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Times New Roman" w:cs="David" w:eastAsia="David" w:hAnsi="Times New Roman"/>
          <w:noProof/>
          <w:b w:val="false"/>
          <w:sz w:val="24"/>
          <w:szCs w:val="24"/>
          <w:rtl/>
        </w:rPr>
        <w:t xml:space="preserve">הפקולטה למדעי הרוח, בית ספר לחינוך</w:t>
      </w:r>
    </w:p>
    <w:p>
      <w:pPr>
        <w:bidi/>
        <w:spacing w:after="60" w:before="0" w:line="360"/>
        <w:jc w:val="center"/>
      </w:pPr>
      <w:r>
        <w:rPr>
          <w:rFonts w:ascii="Times New Roman" w:cs="David" w:eastAsia="David" w:hAnsi="Times New Roman"/>
          <w:noProof/>
          <w:b w:val="false"/>
          <w:sz w:val="24"/>
          <w:szCs w:val="24"/>
          <w:rtl/>
        </w:rPr>
        <w:t xml:space="preserve">התוכנית לתואר בוגר בחינוך וחברה</w:t>
      </w:r>
    </w:p>
    <w:p>
      <w:pPr>
        <w:bidi/>
        <w:spacing w:after="800" w:before="0" w:line="360"/>
        <w:jc w:val="center"/>
      </w:pPr>
      <w:r>
        <w:rPr>
          <w:rFonts w:ascii="Times New Roman" w:cs="David" w:eastAsia="David" w:hAnsi="Times New Roman"/>
          <w:noProof/>
          <w:b w:val="false"/>
          <w:sz w:val="24"/>
          <w:szCs w:val="24"/>
          <w:rtl/>
        </w:rPr>
        <w:t xml:space="preserve">לימודים לתואר ראשון</w:t>
      </w:r>
    </w:p>
    <w:p>
      <w:pPr>
        <w:bidi/>
        <w:spacing w:after="120" w:before="0" w:line="360"/>
        <w:jc w:val="center"/>
      </w:pPr>
      <w:r>
        <w:rPr>
          <w:rFonts w:ascii="Times New Roman" w:cs="David" w:eastAsia="David" w:hAnsi="Times New Roman"/>
          <w:noProof/>
          <w:b/>
          <w:bCs/>
          <w:sz w:val="40"/>
          <w:szCs w:val="40"/>
          <w:rtl/>
        </w:rPr>
        <w:t xml:space="preserve">מוגבלות בלתי נראית ב'</w:t>
      </w:r>
    </w:p>
    <w:p>
      <w:pPr>
        <w:bidi/>
        <w:spacing w:after="120" w:before="0" w:line="360"/>
        <w:jc w:val="center"/>
      </w:pPr>
      <w:r>
        <w:rPr>
          <w:rFonts w:ascii="Times New Roman" w:cs="David" w:eastAsia="David" w:hAnsi="Times New Roman"/>
          <w:noProof/>
          <w:b w:val="false"/>
          <w:sz w:val="32"/>
          <w:szCs w:val="32"/>
          <w:rtl/>
        </w:rPr>
        <w:t xml:space="preserve">עבודת סיכום</w:t>
      </w:r>
    </w:p>
    <w:p>
      <w:pPr>
        <w:bidi/>
        <w:spacing w:after="1200" w:before="0" w:line="360"/>
        <w:jc w:val="center"/>
      </w:pPr>
      <w:r>
        <w:rPr>
          <w:rFonts w:ascii="Times New Roman" w:cs="David" w:eastAsia="David" w:hAnsi="Times New Roman"/>
          <w:noProof/>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Times New Roman" w:cs="David" w:eastAsia="David" w:hAnsi="Times New Roman"/>
          <w:noProof/>
          <w:b w:val="false"/>
          <w:sz w:val="24"/>
          <w:szCs w:val="24"/>
          <w:rtl/>
        </w:rPr>
        <w:t xml:space="preserve">מרצה: דורית מילר</w:t>
      </w:r>
    </w:p>
    <w:p>
      <w:pPr>
        <w:bidi/>
        <w:spacing w:after="600" w:before="0" w:line="360"/>
        <w:jc w:val="center"/>
      </w:pPr>
      <w:r>
        <w:rPr>
          <w:rFonts w:ascii="Times New Roman" w:cs="David" w:eastAsia="David" w:hAnsi="Times New Roman"/>
          <w:noProof/>
          <w:b w:val="false"/>
          <w:sz w:val="24"/>
          <w:szCs w:val="24"/>
          <w:rtl/>
        </w:rPr>
        <w:t xml:space="preserve">סמסטר ב', תשפ"ו</w:t>
      </w:r>
    </w:p>
    <w:p>
      <w:pPr>
        <w:bidi/>
        <w:spacing w:after="60" w:before="0" w:line="360"/>
        <w:jc w:val="center"/>
      </w:pPr>
      <w:r>
        <w:rPr>
          <w:rFonts w:ascii="Times New Roman" w:cs="David" w:eastAsia="David" w:hAnsi="Times New Roman"/>
          <w:noProof/>
          <w:b/>
          <w:bCs/>
          <w:sz w:val="24"/>
          <w:szCs w:val="24"/>
          <w:rtl/>
        </w:rPr>
        <w:t xml:space="preserve">מגישות:</w:t>
      </w:r>
    </w:p>
    <w:p>
      <w:pPr>
        <w:bidi/>
        <w:spacing w:after="60" w:before="0" w:line="360"/>
        <w:jc w:val="center"/>
      </w:pPr>
      <w:r>
        <w:rPr>
          <w:rFonts w:ascii="Times New Roman" w:cs="David" w:eastAsia="David" w:hAnsi="Times New Roman"/>
          <w:noProof/>
          <w:b w:val="false"/>
          <w:sz w:val="24"/>
          <w:szCs w:val="24"/>
          <w:rtl/>
        </w:rPr>
        <w:t xml:space="preserve">חמזה בוסאינה, ת"ז 052806668</w:t>
      </w:r>
    </w:p>
    <w:p>
      <w:pPr>
        <w:bidi/>
        <w:spacing w:after="600" w:before="0" w:line="360"/>
        <w:jc w:val="center"/>
      </w:pPr>
      <w:r>
        <w:rPr>
          <w:rFonts w:ascii="Times New Roman" w:cs="David" w:eastAsia="David" w:hAnsi="Times New Roman"/>
          <w:noProof/>
          <w:b w:val="false"/>
          <w:sz w:val="24"/>
          <w:szCs w:val="24"/>
          <w:rtl/>
        </w:rPr>
        <w:t xml:space="preserve">מגדלין אבו טריף, ת"ז 038140398</w:t>
      </w:r>
    </w:p>
    <w:p>
      <w:pPr>
        <w:bidi/>
        <w:spacing w:after="60" w:before="0" w:line="360"/>
        <w:jc w:val="center"/>
      </w:pPr>
      <w:r>
        <w:rPr>
          <w:rFonts w:ascii="Times New Roman" w:cs="David" w:eastAsia="David" w:hAnsi="Times New Roman"/>
          <w:noProof/>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חלק א': שני ראיונות והשוואה</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מהי מוגבלות בלתי נראית</w:t>
      </w:r>
    </w:p>
    <w:p>
      <w:pPr>
        <w:bidi/>
        <w:spacing w:after="120" w:before="0" w:line="360"/>
        <w:jc w:val="both"/>
      </w:pPr>
      <w:r>
        <w:rPr>
          <w:rFonts w:ascii="Times New Roman" w:cs="David" w:eastAsia="David" w:hAnsi="Times New Roman"/>
          <w:noProof/>
          <w:sz w:val="24"/>
          <w:szCs w:val="24"/>
          <w:rtl/>
        </w:rPr>
        <w:t xml:space="preserve">לפי ההגדרה שנלמדה בקורס, מוגבלות בלתי נראית היא מצב גופני או נפשי שאין לו סימנים חיצוניים שהסביבה מזהה, אבל הוא משפיע באופן ממשי על התנועה, החושים, הפעולות והתפקוד היומיומי של האדם. הקטגוריה כוללת מחלות כרוניות, לקויות חושיות ונפשיות ולקויות התפתחותיות כמו אוטיזם. בקורס הודגש שהמוגבלות היא תוצאה של המפגש בין הלקות לסביבה, ולכן כשהלקות אינה נראית, הסביבה עלולה לפקפק בקושי או לייחס אותו לעצלות.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המרואיינת ומדוע היא עונה להגדרה</w:t>
      </w:r>
    </w:p>
    <w:p>
      <w:pPr>
        <w:bidi/>
        <w:spacing w:after="120" w:before="0" w:line="360"/>
        <w:jc w:val="both"/>
      </w:pPr>
      <w:r>
        <w:rPr>
          <w:rFonts w:ascii="Times New Roman" w:cs="David" w:eastAsia="David" w:hAnsi="Times New Roman"/>
          <w:noProof/>
          <w:sz w:val="24"/>
          <w:szCs w:val="24"/>
          <w:rtl/>
        </w:rPr>
        <w:t xml:space="preserve">תיימא (שם בדוי) בת 31, רוקחת בבית מרקחת של קופת חולים, וגרה עם בן זוגה. היא אובחנה כאוטיסטית בגיל 28, אחרי שקראה את דוח האבחון של אחיינה בן הארבע וזיהתה בו את עצמה. לבקשתה, נעשה כאן שימוש במונח "אוטיסטית", ולא בביטויים "על הרצף" או "בתפקוד גבוה". המונח "מוגבלות בלתי נראית" משמש כמונח של הקורס בלבד.</w:t>
      </w:r>
    </w:p>
    <w:p>
      <w:pPr>
        <w:bidi/>
        <w:spacing w:after="120" w:before="0" w:line="360"/>
        <w:jc w:val="both"/>
      </w:pPr>
      <w:r>
        <w:rPr>
          <w:rFonts w:ascii="Times New Roman" w:cs="David" w:eastAsia="David" w:hAnsi="Times New Roman"/>
          <w:noProof/>
          <w:sz w:val="24"/>
          <w:szCs w:val="24"/>
          <w:rtl/>
        </w:rPr>
        <w:t xml:space="preserve">תיימא עונה לשני המרכיבים של ההגדרה. אין בה סימן חיצוני, והמשפט שהיא שומעת הכי הרבה, גם מרופא משפחה, הוא "את לא נראית אוטיסטית". ובכל זאת ההשפעה ממשית: רעש של מזגן ואור ניאון "תופסים את כל המוח", קריאה של פנים ושל טון נעשית אצלה בחישוב מודע, ובסוף משמרת היא שוכבת עשרים דקות על הרצפה בחושך. תיימא עצמה מדייקת את ההגדרה: "האוטיזם שלי לא 'אינו נראה'. הוא נראה כל הזמן... מה שלא נראה הוא ההסבר."</w:t>
      </w:r>
    </w:p>
    <w:p>
      <w:pPr>
        <w:bidi/>
        <w:spacing w:after="120" w:before="0" w:line="360"/>
        <w:jc w:val="both"/>
      </w:pPr>
      <w:r>
        <w:rPr>
          <w:rFonts w:ascii="Times New Roman" w:cs="David" w:eastAsia="David" w:hAnsi="Times New Roman"/>
          <w:noProof/>
          <w:sz w:val="24"/>
          <w:szCs w:val="24"/>
          <w:rtl/>
        </w:rPr>
        <w:t xml:space="preserve">הראיון נערך ב-19.10.2026 בדירתה, באור מעומעם ובלי מוזיקה, לבקשתה, ונמשך 78 דקות. השאלות נשלחו אליה בכתב יומיים מראש, וההסכמה להקלטה ולשיתוף עם המרצה ניתנה בתחילת ההקלטה. הקישור להקלטה מופיע בנספח 1, והתמליל בנספח 3.</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שאלות הראיון</w:t>
      </w:r>
    </w:p>
    <w:p>
      <w:pPr>
        <w:keepNext/>
        <w:bidi/>
        <w:spacing w:after="120" w:before="0" w:line="360"/>
        <w:jc w:val="both"/>
      </w:pPr>
      <w:r>
        <w:rPr>
          <w:rFonts w:ascii="Times New Roman" w:cs="David" w:eastAsia="David" w:hAnsi="Times New Roman"/>
          <w:noProof/>
          <w:sz w:val="24"/>
          <w:szCs w:val="24"/>
          <w:rtl/>
        </w:rPr>
        <w:t xml:space="preserve">נבחרו שמונה שאלות מתוך ההנחיות, ובסוף נשאלה שאלת סיום. אותן שאלות, באותו נוסח, הוצגו גם ל-AI:</w:t>
      </w:r>
    </w:p>
    <w:p>
      <w:pPr>
        <w:bidi/>
        <w:spacing w:after="0" w:before="0" w:line="360"/>
        <w:jc w:val="both"/>
      </w:pPr>
      <w:r>
        <w:rPr>
          <w:rFonts w:ascii="Times New Roman" w:cs="David" w:eastAsia="David" w:hAnsi="Times New Roman"/>
          <w:noProof/>
          <w:sz w:val="24"/>
          <w:szCs w:val="24"/>
          <w:rtl/>
        </w:rPr>
        <w:t xml:space="preserve">1. ספרי לי על עצמך ועל המוגבלות שלך. כיצד היא באה לידי ביטוי?</w:t>
      </w:r>
    </w:p>
    <w:p>
      <w:pPr>
        <w:bidi/>
        <w:spacing w:after="0" w:before="0" w:line="360"/>
        <w:jc w:val="both"/>
      </w:pPr>
      <w:r>
        <w:rPr>
          <w:rFonts w:ascii="Times New Roman" w:cs="David" w:eastAsia="David" w:hAnsi="Times New Roman"/>
          <w:noProof/>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Times New Roman" w:cs="David" w:eastAsia="David" w:hAnsi="Times New Roman"/>
          <w:noProof/>
          <w:sz w:val="24"/>
          <w:szCs w:val="24"/>
          <w:rtl/>
        </w:rPr>
        <w:t xml:space="preserve">3. עד כמה את מרגישה שיש לך שליטה על המוגבלות ועל השפעתה בחייך?</w:t>
      </w:r>
    </w:p>
    <w:p>
      <w:pPr>
        <w:bidi/>
        <w:spacing w:after="0" w:before="0" w:line="360"/>
        <w:jc w:val="both"/>
      </w:pPr>
      <w:r>
        <w:rPr>
          <w:rFonts w:ascii="Times New Roman" w:cs="David" w:eastAsia="David" w:hAnsi="Times New Roman"/>
          <w:noProof/>
          <w:sz w:val="24"/>
          <w:szCs w:val="24"/>
          <w:rtl/>
        </w:rPr>
        <w:t xml:space="preserve">4. כיצד אנשים קרובים ורחוקים מתייחסים למוגבלות שלך? תוכלי לתת דוגמאות?</w:t>
      </w:r>
    </w:p>
    <w:p>
      <w:pPr>
        <w:bidi/>
        <w:spacing w:after="0" w:before="0" w:line="360"/>
        <w:jc w:val="both"/>
      </w:pPr>
      <w:r>
        <w:rPr>
          <w:rFonts w:ascii="Times New Roman" w:cs="David" w:eastAsia="David" w:hAnsi="Times New Roman"/>
          <w:noProof/>
          <w:sz w:val="24"/>
          <w:szCs w:val="24"/>
          <w:rtl/>
        </w:rPr>
        <w:t xml:space="preserve">5. כיצד את מחליטה למי ומתי לספר על המוגבלות שלך?</w:t>
      </w:r>
    </w:p>
    <w:p>
      <w:pPr>
        <w:bidi/>
        <w:spacing w:after="0" w:before="0" w:line="360"/>
        <w:jc w:val="both"/>
      </w:pPr>
      <w:r>
        <w:rPr>
          <w:rFonts w:ascii="Times New Roman" w:cs="David" w:eastAsia="David" w:hAnsi="Times New Roman"/>
          <w:noProof/>
          <w:sz w:val="24"/>
          <w:szCs w:val="24"/>
          <w:rtl/>
        </w:rPr>
        <w:t xml:space="preserve">6. האם היו מצבים שבהם בחרת להסתיר את המוגבלות? מדוע, וכיצד הרגשת?</w:t>
      </w:r>
    </w:p>
    <w:p>
      <w:pPr>
        <w:bidi/>
        <w:spacing w:after="0" w:before="0" w:line="360"/>
        <w:jc w:val="both"/>
      </w:pPr>
      <w:r>
        <w:rPr>
          <w:rFonts w:ascii="Times New Roman" w:cs="David" w:eastAsia="David" w:hAnsi="Times New Roman"/>
          <w:noProof/>
          <w:sz w:val="24"/>
          <w:szCs w:val="24"/>
          <w:rtl/>
        </w:rPr>
        <w:t xml:space="preserve">7. כיצד העובדה שהמוגבלות אינה נראית כלפי חוץ משפיעה על ההתמודדות שלך?</w:t>
      </w:r>
    </w:p>
    <w:p>
      <w:pPr>
        <w:bidi/>
        <w:spacing w:after="0" w:before="0" w:line="360"/>
        <w:jc w:val="both"/>
      </w:pPr>
      <w:r>
        <w:rPr>
          <w:rFonts w:ascii="Times New Roman" w:cs="David" w:eastAsia="David" w:hAnsi="Times New Roman"/>
          <w:noProof/>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noProof/>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2. ראיון עם בינה מלאכותית</w:t>
      </w:r>
    </w:p>
    <w:p>
      <w:pPr>
        <w:bidi/>
        <w:spacing w:after="120" w:before="0" w:line="360"/>
        <w:jc w:val="both"/>
      </w:pPr>
      <w:r>
        <w:rPr>
          <w:rFonts w:ascii="Times New Roman" w:cs="David" w:eastAsia="David" w:hAnsi="Times New Roman"/>
          <w:noProof/>
          <w:sz w:val="24"/>
          <w:szCs w:val="24"/>
          <w:rtl/>
        </w:rPr>
        <w:t xml:space="preserve">הראיון השני נערך ב-21.10.2026 עם צ'אט בינה מלאכותית. בפרומפט הוגדרו הדמות והמוגבלות שלה (אדם אוטיסט שאובחן בבגרות) ואופן ההתייחסות לשאלות (בגוף ראשון ובפשטות). הדמות הוגדרה בקווים כלליים, בלי שם, גיל או עיסוק, ולכך הייתה השפעה על התשובות. הפרומפט והראיון המלא מובאים בנספח 2 כלשונם.</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3. השוואה בין הראיונות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ההבדלים המרכזיים</w:t>
      </w:r>
    </w:p>
    <w:p>
      <w:pPr>
        <w:bidi/>
        <w:spacing w:after="120" w:before="0" w:line="360"/>
        <w:jc w:val="both"/>
      </w:pPr>
      <w:r>
        <w:rPr>
          <w:rFonts w:ascii="Times New Roman" w:cs="David" w:eastAsia="David" w:hAnsi="Times New Roman"/>
          <w:noProof/>
          <w:sz w:val="24"/>
          <w:szCs w:val="24"/>
          <w:rtl/>
        </w:rPr>
        <w:t xml:space="preserve">ההבדל הבולט ביותר הוא ברמת הפירוט. ה-AI ענה בשתיים-שלוש שורות של הכללות: "רעש חזק מפריע לי מאוד", "אני מתעייף מהר ממפגשים עם הרבה אנשים". תיימא תיארה יום עבודה שלם: היא מגיעה שעה לפני הפתיחה כי השעה הזאת "לבד עם המדפים" היא הטובה ביותר שלה, אוכלת במחסן ולא בחדר הצוות, ובבית בן הזוג "יודע לא לדבר איתי בעשרים הדקות האלה". ה-AI מתאר קטגוריות של קושי. תיימא מתארת חיים.</w:t>
      </w:r>
    </w:p>
    <w:p>
      <w:pPr>
        <w:bidi/>
        <w:spacing w:after="120" w:before="0" w:line="360"/>
        <w:jc w:val="both"/>
      </w:pPr>
      <w:r>
        <w:rPr>
          <w:rFonts w:ascii="Times New Roman" w:cs="David" w:eastAsia="David" w:hAnsi="Times New Roman"/>
          <w:noProof/>
          <w:sz w:val="24"/>
          <w:szCs w:val="24"/>
          <w:rtl/>
        </w:rPr>
        <w:t xml:space="preserve">הבדל שני: תיימא לא קיבלה את השאלות כמובנות מאליהן. היא עצרה על המילה "שליטה", שלדבריה "מניחה שיש בי דבר נפרד ממני", ותיקנה את ההנחה שהאוטיזם שלה אינו נראה. ה-AI קיבל כל הנחה בלי ויכוח. גם המתח נעדר מתשובותיו. תיימא אמרה על השנים שבהן איש לא ידע "אני לא יודעת אם הייתי רוצה לוותר על זה", ומיד אחר כך שאת המחיר שלהן "הייתי מחליפה". ה-AI ענה על אותה שאלה ב"זה טוב ורע", איזון מושלם, בלי שתיקות, בלי צחוק ובלי בכי.</w:t>
      </w:r>
    </w:p>
    <w:p>
      <w:pPr>
        <w:bidi/>
        <w:spacing w:after="120" w:before="0" w:line="360"/>
        <w:jc w:val="both"/>
      </w:pPr>
      <w:r>
        <w:rPr>
          <w:rFonts w:ascii="Times New Roman" w:cs="David" w:eastAsia="David" w:hAnsi="Times New Roman"/>
          <w:noProof/>
          <w:sz w:val="24"/>
          <w:szCs w:val="24"/>
          <w:rtl/>
        </w:rPr>
        <w:t xml:space="preserve">ודווקא הדמיון מלמד משהו. ה-AI הזכיר את המשפט "אתה לא נראה אוטיסט", הסתרה בראיונות עבודה, ואפילו שלוש שאלות שהוא שואל את עצמו לפני חשיפה. כל אלה מופיעים גם אצל תיימא. ה-AI מכיר את המפה, את הדפוסים שחוזרים בסיפורים כאלה. מה שחסר לו הוא השטח. השאלות שלו כלליות ("האם האדם קרוב אליי?"), ואילו שלה חדות: האם יש לאדם כוח להחליט עליה, והאם יגיב ב"מה את צריכה" או ב"את לא נראית".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יתרונות ומגבלות של AI בהבנת חוויות אנושיות</w:t>
      </w:r>
    </w:p>
    <w:p>
      <w:pPr>
        <w:bidi/>
        <w:spacing w:after="120" w:before="0" w:line="360"/>
        <w:jc w:val="both"/>
      </w:pPr>
      <w:r>
        <w:rPr>
          <w:rFonts w:ascii="Times New Roman" w:cs="David" w:eastAsia="David" w:hAnsi="Times New Roman"/>
          <w:noProof/>
          <w:sz w:val="24"/>
          <w:szCs w:val="24"/>
          <w:rtl/>
        </w:rPr>
        <w:t xml:space="preserve">ה-AI שימושי כנקודת פתיחה. הוא זמין, אינו חושף אדם אמיתי, ונותן תמונה כללית שתואמת את הספרות. המשפט "אתה לא נראה אוטיסט" הוא בדיוק החוויה שפינקלשטיין (Finkelstein, 2018) מתארת, של אנשים שהסביבה לא מאמינה להם בגלל המראה ה"נורמלי" שלהם. אבל ה-AI אינו יכול לחדש. התשובות שלו בנויות ממה שכבר נכתב, ולכן הן נכונות באופן כללי וריקות מפרטים. הוא גם תלוי בפרומפט: דמות בלי שם ובלי היסטוריה נשארה בלי חיים. ובסוף הראיון ה-AI אמר זאת בעצמו: "אין לי חוויה אמיתית של אוטיזם. התשובות שלי מבוססות על מידע כללי, ולא על חיים אמיתיים."</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תשובה שעוררה ספק לגבי האותנטיות שלה</w:t>
      </w:r>
    </w:p>
    <w:p>
      <w:pPr>
        <w:keepNext/>
        <w:bidi/>
        <w:spacing w:after="120" w:before="0" w:line="360"/>
        <w:jc w:val="both"/>
      </w:pPr>
      <w:r>
        <w:rPr>
          <w:rFonts w:ascii="Times New Roman" w:cs="David" w:eastAsia="David" w:hAnsi="Times New Roman"/>
          <w:noProof/>
          <w:sz w:val="24"/>
          <w:szCs w:val="24"/>
          <w:rtl/>
        </w:rPr>
        <w:t xml:space="preserve">על השאלה אם בחר להסתיר את המוגבלות, ענה ה-AI:</w:t>
      </w:r>
    </w:p>
    <w:p>
      <w:pPr>
        <w:bidi/>
        <w:spacing w:after="120" w:before="0" w:line="360"/>
        <w:ind w:start="709" w:end="709"/>
        <w:jc w:val="both"/>
      </w:pPr>
      <w:r>
        <w:rPr>
          <w:rFonts w:ascii="Times New Roman" w:cs="David" w:eastAsia="David" w:hAnsi="Times New Roman"/>
          <w:noProof/>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Times New Roman" w:cs="David" w:eastAsia="David" w:hAnsi="Times New Roman"/>
          <w:noProof/>
          <w:sz w:val="24"/>
          <w:szCs w:val="24"/>
          <w:rtl/>
        </w:rPr>
        <w:t xml:space="preserve">התשובה סבירה, ודווקא בגלל זה היא מעוררת ספק. היא בנויה כמו סיכום של פרק בספר: סיבה, תועלת, מחיר וסוף טוב. אין בה מקרה אחד, אין בה מי, מתי או איפה, והרגשות מופיעים במילים הכלליות ביותר, "עייף" ו"לבד". כשתיימא נשאלה אותה שאלה, היא סיפרה על ראיון עבודה שאליו התכוננה "כמו להצגה", עם שלוש בדיחות שלמדה בעל פה. וכשניסתה לתאר מה הרגישה, פסלה במפורש את המילים הצפויות: "זה לא בושה, ולא אשמה. זה יותר כמו... להיעדר." אדם אמיתי מחפש את המילה. ה-AI מוצא אותה מיד, וזה מה שמסגיר אותו.</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חלק ב': ניתוח הראיון עם תיימא</w:t>
      </w:r>
    </w:p>
    <w:p>
      <w:pPr>
        <w:bidi/>
        <w:spacing w:after="120" w:before="0" w:line="360"/>
        <w:jc w:val="both"/>
      </w:pPr>
      <w:r>
        <w:rPr>
          <w:rFonts w:ascii="Times New Roman" w:cs="David" w:eastAsia="David" w:hAnsi="Times New Roman"/>
          <w:noProof/>
          <w:sz w:val="24"/>
          <w:szCs w:val="24"/>
          <w:rtl/>
        </w:rPr>
        <w:t xml:space="preserve">הראיון נותח דרך שלושה נושאים מתוך נספח 3: חשיפה של מוגבלות בלתי נראית, ההשלכות הפסיכולוגיות של הסתרתה, ומיקוד שליטה וייחוס.</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noProof/>
          <w:sz w:val="24"/>
          <w:szCs w:val="24"/>
          <w:rtl/>
        </w:rPr>
        <w:t xml:space="preserve">אדם עם מוגבלות בלתי נראית צריך להחליט כל הזמן למי לספר, מתי וכמה. בקורס הוצגה ההחלטה הזאת כמושפעת משיקולים אישיים, חברתיים ותעסוקתיים, מחשש מאפליה ומבושה, והודגשה זכותו של האדם להחליט בעצמו. סמואלס (2003/2016) מראה שבמוגבלות בלתי נראית היציאה מהארון אינה אירוע חד-פעמי. היא חוזרת עם כל אדם חדש, ומלווה בצורך להוכיח שהמוגבלות אמיתית. צרפתי ניניו ולוריא (2023), שראיינו עובדים עם קדחת ים-תיכונית, מתארות את הדילמה בעולם העבודה כבחירה בין יציאה מהארון לפאסינג. החשיפה עלולה לפגוע בקבלה ובקידום, אבל היא גם מביאה תחושת שחרור ואפשרות לקבל התאמות.</w:t>
      </w:r>
    </w:p>
    <w:p>
      <w:pPr>
        <w:bidi/>
        <w:spacing w:after="120" w:before="0" w:line="360"/>
        <w:jc w:val="both"/>
      </w:pPr>
      <w:r>
        <w:rPr>
          <w:rFonts w:ascii="Times New Roman" w:cs="David" w:eastAsia="David" w:hAnsi="Times New Roman"/>
          <w:noProof/>
          <w:sz w:val="24"/>
          <w:szCs w:val="24"/>
          <w:rtl/>
        </w:rPr>
        <w:t xml:space="preserve">איכנגרין ואחרים (2016) מוסיפים שלהישארות בארון יש היגיון משלה: ההסתרה יכולה להגביר את תחושת השליטה של האדם ולעזור לו לחמוק מסטיגמה. ופינקלשטיין (Finkelstein, 2018) מזכירה שמי שחושף מסתכן בכך שלא יאמינו לו בגלל המראה ה"רגיל".</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noProof/>
          <w:sz w:val="24"/>
          <w:szCs w:val="24"/>
          <w:rtl/>
        </w:rPr>
        <w:t xml:space="preserve">אצל תיימא, החשיפה היא כמעט הליך. "יש לי שיטה, כי אני צריכה שיטה לדברים כאלה, אחרת אני מתלבטת שבועות", היא אומרת, ומפרטת שלוש שאלות: האם האדם רואה אותה מספיק זמן כדי לפרש אותה לא נכון, האם יש לו כוח להחליט עליה, והאם יגיב ב"מה את צריכה" או ב"את לא נראית". השאלה על כוח היא בדיוק החשש שצרפתי ניניו ולוריא (2023) מתארות אצל עובדים.</w:t>
      </w:r>
    </w:p>
    <w:p>
      <w:pPr>
        <w:bidi/>
        <w:spacing w:after="120" w:before="0" w:line="360"/>
        <w:jc w:val="both"/>
      </w:pPr>
      <w:r>
        <w:rPr>
          <w:rFonts w:ascii="Times New Roman" w:cs="David" w:eastAsia="David" w:hAnsi="Times New Roman"/>
          <w:noProof/>
          <w:sz w:val="24"/>
          <w:szCs w:val="24"/>
          <w:rtl/>
        </w:rPr>
        <w:t xml:space="preserve">למנהלת הסניף סיפרה רק אחרי שנתיים וחצי, אחרי הערכה גרועה על "שירות ללקוח" ותלונה שהיא "מתנהגת כמו רובוט". "אין רגע נכון, יש רק רגע מאוחר מדי", היא מסכמת. המנהלת שאלה "מה את צריכה?", ומאז תיימא לא עומדת בדלפק בשעות העומס, "וזה ההסדר שהציל אותי". זו ההתאמה שהחשיפה מאפשרת לפי צרפתי ניניו ולוריא (2023).</w:t>
      </w:r>
    </w:p>
    <w:p>
      <w:pPr>
        <w:bidi/>
        <w:spacing w:after="120" w:before="0" w:line="360"/>
        <w:jc w:val="both"/>
      </w:pPr>
      <w:r>
        <w:rPr>
          <w:rFonts w:ascii="Times New Roman" w:cs="David" w:eastAsia="David" w:hAnsi="Times New Roman"/>
          <w:noProof/>
          <w:sz w:val="24"/>
          <w:szCs w:val="24"/>
          <w:rtl/>
        </w:rPr>
        <w:t xml:space="preserve">לעמיתיה היא בחרה לא לספר, ולא מבושה: "היום אני 'תיימא שקצת מוזרה'. אחרי זה אהיה 'האוטיסטית'." זה ההיגיון של ההישארות בארון שאיכנגרין ואחרים (2016) מתארים. השתיקה שומרת לה שליטה על הדרך שבה רואים אותה. במשפחה, לעומת זאת, החשיפה לא הספיקה. אחותה אמרה "אצלו זה אמיתי, אצלך זה יותר אופי", דוגמה מובהקת לדילמה שוילצ'אק (Vilcsak, 2025) מכנה "לא מוגבל מספיק". וכפי שסמואלס (2003/2016) מראה, החשיפה לא נגמרת באמירה, כי צריך גם לזכות באמון: "במשפחה, האבחון שלי הוא לא עובדה. הוא דעה שלי."</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למדנו על תיימא</w:t>
      </w:r>
    </w:p>
    <w:p>
      <w:pPr>
        <w:bidi/>
        <w:spacing w:after="120" w:before="0" w:line="360"/>
        <w:jc w:val="both"/>
      </w:pPr>
      <w:r>
        <w:rPr>
          <w:rFonts w:ascii="Times New Roman" w:cs="David" w:eastAsia="David" w:hAnsi="Times New Roman"/>
          <w:noProof/>
          <w:sz w:val="24"/>
          <w:szCs w:val="24"/>
          <w:rtl/>
        </w:rPr>
        <w:t xml:space="preserve">אצל תיימא החשיפה היא סדרה של החלטות נפרדות, לכל תחום ולכל אדם. אבל השיטה שלה לא נועדה רק להגן עליה מאפליה. היא נועדה להגן על הזהות שלה מצמצום: מה יישאר ממנה בעיני האחר אחרי שיידע. והסיפור על המנהלת מראה שהצלחת החשיפה תלויה פחות במה שנאמר ויותר במה שהשומע עושה עם זה. תיימא לא נדרשה להוכיח דבר. היא נשאלה מה היא צריכה, ולדבריה זו הייתה "הפעם הראשונה שמישהו שאל אותי את זה".</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4. חיבור אישי</w:t>
      </w:r>
    </w:p>
    <w:p>
      <w:pPr>
        <w:bidi/>
        <w:spacing w:after="120" w:before="0" w:line="360"/>
        <w:jc w:val="both"/>
      </w:pPr>
      <w:r>
        <w:rPr>
          <w:rFonts w:ascii="Times New Roman" w:cs="David" w:eastAsia="David" w:hAnsi="Times New Roman"/>
          <w:noProof/>
          <w:sz w:val="24"/>
          <w:szCs w:val="24"/>
          <w:rtl/>
        </w:rPr>
        <w:t xml:space="preserve">הרגע שנשאר איתי הגיע בסוף הראיון. תיימא אמרה שהשאלות מראש, האור המעומעם והעובדה שלא שאלתי "למה" הם "כל מה שאני מבקשת מהעולם", ושהיא רוצה שיהיה כתוב איפשהו שזה היה קל, "ושזה לא עלה לך כלום". באותו רגע הרגשתי סיפוק, כאילו קיבלתי מחמאה. רק אחר כך, כשכתבתי את הרשימות, הבנתי: חשבתי שאני "מתחשבת". בעצם רק לא הפרעתי. מכאן למדתי שההחלטה לחשוף תלויה בשומע לא פחות מאשר במי שמספר. השאלה היא לא למה אנשים כמו תיימא לא מספרים, אלא למה מי שמקשיב לא שואל "מה את צריכה?".</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noProof/>
          <w:sz w:val="24"/>
          <w:szCs w:val="24"/>
          <w:rtl/>
        </w:rPr>
        <w:t xml:space="preserve">להסתרה יש מחיר. בקורס הוצג המושג "דימוי עצמי מוכפש", תפיסה שלפיה האדם פחות טוב ופחות ראוי מאחרים, שעלולה להוביל להכחשה, לפרישה או להפיכת המוגבלות לסוד. פריינס (Frijns, 2005) מצא ששמירת סודות קשורה לבדידות, לדימוי עצמי נמוך, למצב רוח דיכאוני ולתלונות גופניות, ואילו שיתוף עם אדם קרוב קשור לתחושה טובה יותר. וילצ'אק (Vilcsak, 2025) מתארת את המיסוך (masking) והפאסינג כאסטרטגיות שבהן אנשים עם מוגבלות נסתרת מנהלים את הנראות שלהם. איכנגרין ואחרים (2016) מסבירים את מחירן בעזרת "העצמי הכוזב" של ויניקוט (Winnicott, 1960, כפי שמצוטט אצל איכנגרין ואחרים, 2016): מי שמתאים את עצמו שוב ושוב לציפיות הסביבה, נוצר אצלו פיצול בין העצמי האותנטי לעצמי שמוצג לעולם.</w:t>
      </w:r>
    </w:p>
    <w:p>
      <w:pPr>
        <w:bidi/>
        <w:spacing w:after="120" w:before="0" w:line="360"/>
        <w:jc w:val="both"/>
      </w:pPr>
      <w:r>
        <w:rPr>
          <w:rFonts w:ascii="Times New Roman" w:cs="David" w:eastAsia="David" w:hAnsi="Times New Roman"/>
          <w:noProof/>
          <w:sz w:val="24"/>
          <w:szCs w:val="24"/>
          <w:rtl/>
        </w:rPr>
        <w:t xml:space="preserve">היציאה מהארון היא הצד השני. סווין וקמרון מתארים אותה כרגע שבו המוגבלות כבר אינה סיבה לתיעוב עצמי, אלא קטגוריה חברתית מדכאת שאפשר לערער עליה (Swain &amp; Cameron, 1999, כפי שמצוטט אצל סמואלס, 2003/2016). אלמוג ואחרים (2019) מציגים צעד נוסף, המודל האפירמטיבי, שאינו רואה במוגבלות בעיה כלל ומדגיש זהות חיובית וגאה. הם מביאים את דבריו של ג'ים סינקלייר, אקטיביסט אוטיסט, שלפיהם אי אפשר להפריד את האדם מהאוטיזם, ולכן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noProof/>
          <w:sz w:val="24"/>
          <w:szCs w:val="24"/>
          <w:rtl/>
        </w:rPr>
        <w:t xml:space="preserve">אצל תיימא, ההסתרה היא מצב קבוע: "ההסתרה היא לא מצבים. היא ברירת המחדל." היא קוראת לה מסכה, כמו אצל וילצ'אק (Vilcsak, 2025), ולראיון העבודה התכוננה "כמו להצגה". ההצגה הצליחה, ובמשך שנתיים היא חזרה מכל משמרת וישנה, עד שקרסה: "ההצגה הצליחה כל כך טוב שאף אחד לא ראה שאני טובעת." זה המחיר שפריינס (Frijns, 2005) מתאר, והבדידות גדלה דווקא ככל שההסתרה מצליחה. ההסתרה היקרה ביותר, לדבריה, הייתה מעצמה: "במשך עשרים ושמונה שנה הסתרתי את זה מעצמי... זה הסוד שעלה הכי הרבה." לפני האבחון כל קריסה התפרשה אצלה כ"מה לא בסדר איתי", כלומר כדימוי עצמי מוכפש, כפי שנלמד בקורס.</w:t>
      </w:r>
    </w:p>
    <w:p>
      <w:pPr>
        <w:bidi/>
        <w:spacing w:after="120" w:before="0" w:line="360"/>
        <w:jc w:val="both"/>
      </w:pPr>
      <w:r>
        <w:rPr>
          <w:rFonts w:ascii="Times New Roman" w:cs="David" w:eastAsia="David" w:hAnsi="Times New Roman"/>
          <w:noProof/>
          <w:sz w:val="24"/>
          <w:szCs w:val="24"/>
          <w:rtl/>
        </w:rPr>
        <w:t xml:space="preserve">אבל תיימא גם מתקנת את התיאוריה. על ארוחות השישי המשפחתיות, שבהן היא יושבת שעתיים ומחייכת בלי לשמוע, אמרה: "זה לא בושה, ולא אשמה. זה יותר כמו... להיעדר... ואנשים אוהבים אותי שם, את הגרסה הזאת, ואני יודעת שהם אוהבים... מישהי שלא נמצאת." המחיר שלה אינו בושה, אלא ניתוק. זה העצמי הכוזב של ויניקוט: הגרסה שהמשפחה אוהבת היא הגרסה המותאמת, והעצמי האמיתי נשאר מחוץ לחדר (איכנגרין ואחרים, 2016).</w:t>
      </w:r>
    </w:p>
    <w:p>
      <w:pPr>
        <w:bidi/>
        <w:spacing w:after="120" w:before="0" w:line="360"/>
        <w:jc w:val="both"/>
      </w:pPr>
      <w:r>
        <w:rPr>
          <w:rFonts w:ascii="Times New Roman" w:cs="David" w:eastAsia="David" w:hAnsi="Times New Roman"/>
          <w:noProof/>
          <w:sz w:val="24"/>
          <w:szCs w:val="24"/>
          <w:rtl/>
        </w:rPr>
        <w:t xml:space="preserve">לצד זה מופיעה היציאה מהארון. בקבוצה של אנשים אוטיסטים "הבנתי מה זה לא להתאמץ", ובסוף הראיון אמרה: "זה לא גרסה פגומה של אדם רגיל. זה אדם אחר." היא אף סיפרה שקראה משפט של אדם אוטיסטי, שמי שאומר "הלוואי שלא היית אוטיסטית" אומר בעצם "הלוואי שהיית מישהי אחרת", וחיברה אותו למשפט של אמה, "הלוואי שלא היית צריכה את התווית הזאת". אלה כמעט מילותיו של סינקלייר. בלי להשתמש בשם, תיימא מדברת מתוך המודל האפירמטיבי (אלמוג ואחרים, 2019).</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למדנו על תיימא</w:t>
      </w:r>
    </w:p>
    <w:p>
      <w:pPr>
        <w:bidi/>
        <w:spacing w:after="120" w:before="0" w:line="360"/>
        <w:jc w:val="both"/>
      </w:pPr>
      <w:r>
        <w:rPr>
          <w:rFonts w:ascii="Times New Roman" w:cs="David" w:eastAsia="David" w:hAnsi="Times New Roman"/>
          <w:noProof/>
          <w:sz w:val="24"/>
          <w:szCs w:val="24"/>
          <w:rtl/>
        </w:rPr>
        <w:t xml:space="preserve">תיימא נמצאת באמצע הדרך. היא יצאה מהארון מול עצמה, מול בן הזוג ומול המנהלת, ומצאה קהילה. אבל המסכה ממשיכה לפעול גם כשהיא לא רוצה בה: "אני מחייכת לפני שאני מחליטה לחייך. עשרים ושמונה שנה של אימון." ההסתרה התחילה כבחירה והפכה להרגל. למדנו גם משהו על הכלים שלנו: המושגים בושה ואשמה לא התאימו לחוויה שלה,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4. חיבור אישי</w:t>
      </w:r>
    </w:p>
    <w:p>
      <w:pPr>
        <w:bidi/>
        <w:spacing w:after="120" w:before="0" w:line="360"/>
        <w:jc w:val="both"/>
      </w:pPr>
      <w:r>
        <w:rPr>
          <w:rFonts w:ascii="Times New Roman" w:cs="David" w:eastAsia="David" w:hAnsi="Times New Roman"/>
          <w:noProof/>
          <w:sz w:val="24"/>
          <w:szCs w:val="24"/>
          <w:rtl/>
        </w:rPr>
        <w:t xml:space="preserve">הרגע שעצר אותי היה התיאור של ארוחות השישי, ותיימא שרואה "שפתיים זזות" ועונה "כן" ו"וואו" במקומות שנראים לה נכונים. לא אמרתי דבר. רשמתי לעצמי את המשפט "הם אוהבים... מישהי שלא נמצאת", וחשבתי כמה פעמים ראיתי מישהו שקט ומחייך סביב שולחן והנחתי שהוא פשוט נהנה. למדתי שאני נוטה לקרוא שקט וחיוך כסימן לנוחות. אצל תיימא הם היו עבודה קשה מאוד, ואיש סביב השולחן לא ידע.</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נושא שלישי: מיקוד שליטה וייחוס</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noProof/>
          <w:sz w:val="24"/>
          <w:szCs w:val="24"/>
          <w:rtl/>
        </w:rPr>
        <w:t xml:space="preserve">מיקוד שליטה, מושג שטבע רוטר (Rotter, 1966, כפי שמצוטט אצל Martz et al., 2000), מתאר את האופן שבו אדם מסביר לעצמו את מה שקורה לו. מיקוד פנימי מייחס תוצאות למעשים ולמאמצים של האדם, ומיקוד חיצוני מייחס אותן לנסיבות או לאחרים. מרץ ועמיתיו (Martz et al., 2000) מצאו שמיקוד שליטה פנימי קשור להסתגלות טובה יותר למוגבלות, אבל רק בקרב משתתפים עם מוגבלות נפשית. בקורס הודגש שמיקוד פנימי עלול להפוך להאשמה עצמית על דברים שאינם בשליטת האדם, ולכן המטרה היא איזון.</w:t>
      </w:r>
    </w:p>
    <w:p>
      <w:pPr>
        <w:bidi/>
        <w:spacing w:after="120" w:before="0" w:line="360"/>
        <w:jc w:val="both"/>
      </w:pPr>
      <w:r>
        <w:rPr>
          <w:rFonts w:ascii="Times New Roman" w:cs="David" w:eastAsia="David" w:hAnsi="Times New Roman"/>
          <w:noProof/>
          <w:sz w:val="24"/>
          <w:szCs w:val="24"/>
          <w:rtl/>
        </w:rPr>
        <w:t xml:space="preserve">הנושא קשור גם לייחוס. טעות הייחוס הבסיסית היא הנטייה להסביר התנהגות של אחר בתכונות שלו ולא בנסיבות, והטיית הצופה-משתתף מוסיפה שאת ההתנהגות שלנו אנחנו דווקא מסבירים בנסיבות. כשהמוגבלות אינה נראית, הסביבה אינה רואה את הנסיבות כלל, וביטול ברגע האחרון מתפרש כ"הוא לא אמין", כפי שנלמד בקורס.</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noProof/>
          <w:sz w:val="24"/>
          <w:szCs w:val="24"/>
          <w:rtl/>
        </w:rPr>
        <w:t xml:space="preserve">השאלה על שליטה עוררה את התגובה הארוכה ביותר בראיון. תיימא שתקה, ואמרה שהשאלה מניחה ש"יש בי דבר נפרד ממני, המוגבלות, ושאני אמורה לנהל אותו". לשאול אם יש לה שליטה על האוטיזם, לדבריה, "זה כמו לשאול אם יש לי שליטה על זה שאני שמאלית."</w:t>
      </w:r>
    </w:p>
    <w:p>
      <w:pPr>
        <w:bidi/>
        <w:spacing w:after="120" w:before="0" w:line="360"/>
        <w:jc w:val="both"/>
      </w:pPr>
      <w:r>
        <w:rPr>
          <w:rFonts w:ascii="Times New Roman" w:cs="David" w:eastAsia="David" w:hAnsi="Times New Roman"/>
          <w:noProof/>
          <w:sz w:val="24"/>
          <w:szCs w:val="24"/>
          <w:rtl/>
        </w:rPr>
        <w:t xml:space="preserve">בהמשך מופיע שינוי מעניין. לפני האבחון היא ייחסה כל קושי לעצמה: "מה לא בסדר איתי... אני לא מתאמצת מספיק. הכול היה עליי." זה הצד של מיקוד פנימי שהקורס הזהיר ממנו. אחרי האבחון: "הייתי שמונה שעות במקום שמתוכנן לאנשים שהמוח שלהם מסנן רעש, ושלי לא מסנן. הבעיה היא בהתאמה, לא בי." לכאורה זה מעבר לייחוס חיצוני, אבל דווקא הוא הגדיל את תחושת השליטה שלה: "השליטה שלי גדלה, לא כי השתניתי, אלא כי הפסקתי לחשוב שאני הבעיה." את ההתאמה אפשר לשנות: נהלים בכתב, ארוחה במחסן. המשפט "הבעיה היא בהתאמה, לא בי" הוא כמעט הגדרה של המודל החברתי (שייקספיר, 2010/2016), ואלמוג ואחרים (2019) מביאים עדות דומה של אישה אוטיסטית שאובחנה בגיל 22, ומאז הפסיקה להאשים את עצמה בקשייה.</w:t>
      </w:r>
    </w:p>
    <w:p>
      <w:pPr>
        <w:bidi/>
        <w:spacing w:after="120" w:before="0" w:line="360"/>
        <w:jc w:val="both"/>
      </w:pPr>
      <w:r>
        <w:rPr>
          <w:rFonts w:ascii="Times New Roman" w:cs="David" w:eastAsia="David" w:hAnsi="Times New Roman"/>
          <w:noProof/>
          <w:sz w:val="24"/>
          <w:szCs w:val="24"/>
          <w:rtl/>
        </w:rPr>
        <w:t xml:space="preserve">טעות הייחוס הבסיסית מופיעה כמעט בניסוח של ספר לימוד. תיימא שמעה עמיתות קוראות לה "מתנשאת" ו"קרה", ומנתחת: "הן לא טעו במה שראו. הן טעו בלמה. הן ראו התנהגות והסבירו אותה באופי." מבחוץ רואים תכונה, מבפנים רואים רעש ועומס. אותו דפוס חוזר בהערכות העבודה: "אני טובה בשירות. אני לא טובה בלהיראות כמו מישהי שטובה בשירות."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למדנו על תיימא</w:t>
      </w:r>
    </w:p>
    <w:p>
      <w:pPr>
        <w:bidi/>
        <w:spacing w:after="120" w:before="0" w:line="360"/>
        <w:jc w:val="both"/>
      </w:pPr>
      <w:r>
        <w:rPr>
          <w:rFonts w:ascii="Times New Roman" w:cs="David" w:eastAsia="David" w:hAnsi="Times New Roman"/>
          <w:noProof/>
          <w:sz w:val="24"/>
          <w:szCs w:val="24"/>
          <w:rtl/>
        </w:rPr>
        <w:t xml:space="preserve">אצל תיימא האבחון שינה בעיקר את הייחוס, והשינוי הזה החזיר לה שליטה. זה מתיישב עם הממצא של מרץ ועמיתיו (Martz et al., 2000), שהקשר בין מיקוד פנימי להסתגלות אינו אחיד. מה שעזר לה אינו "יותר" שליטה, אלא הבנה מדויקת של מה בשליטתה ומה לא. היא מונה שני דברים שאינם בשליטתה, המסכה האוטומטית ותגובות של אחרים, ועל השני אומרת "אני לומדת לחיות עם זה".</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4. חיבור אישי</w:t>
      </w:r>
    </w:p>
    <w:p>
      <w:pPr>
        <w:bidi/>
        <w:spacing w:after="120" w:before="0" w:line="360"/>
        <w:jc w:val="both"/>
      </w:pPr>
      <w:r>
        <w:rPr>
          <w:rFonts w:ascii="Times New Roman" w:cs="David" w:eastAsia="David" w:hAnsi="Times New Roman"/>
          <w:noProof/>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שצריך לנהל. בשתיקה הארוכה לא ידעתי אם להמשיך או לחכות, ובחרתי לחכות. אחר כך הבנתי שהיא תפסה אותי במשהו אמיתי. גם אני ראיתי במוגבלות "דבר" שיש לאדם, ולא חלק ממי שהוא. מאז אני שואלת את עצמי איזו הנחה מסתתרת בשאלה, לפני שאני שואלת אותה.</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חלק ג': עבודת ניתוח עצמאית</w:t>
      </w:r>
    </w:p>
    <w:p>
      <w:pPr>
        <w:bidi/>
        <w:spacing w:after="120" w:before="0" w:line="360"/>
        <w:jc w:val="both"/>
      </w:pPr>
      <w:r>
        <w:rPr>
          <w:rFonts w:ascii="Times New Roman" w:cs="David" w:eastAsia="David" w:hAnsi="Times New Roman"/>
          <w:noProof/>
          <w:sz w:val="24"/>
          <w:szCs w:val="24"/>
          <w:rtl/>
        </w:rPr>
        <w:t xml:space="preserve">כל אחת מהכותבות בחרה נושא מהקורס שלא נותח בחלק ב'.</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חלק ג': המודל הרפואי והמודל החברתי של מוגבלות</w:t>
      </w:r>
    </w:p>
    <w:p>
      <w:pPr>
        <w:bidi/>
        <w:spacing w:after="120" w:before="0" w:line="360"/>
        <w:jc w:val="both"/>
      </w:pPr>
      <w:r>
        <w:rPr>
          <w:rFonts w:ascii="Times New Roman" w:cs="David" w:eastAsia="David" w:hAnsi="Times New Roman"/>
          <w:noProof/>
          <w:sz w:val="24"/>
          <w:szCs w:val="24"/>
          <w:rtl/>
        </w:rPr>
        <w:t xml:space="preserve">נכתב על ידי: חמזה בוסאינה, ת"ז 052806668</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noProof/>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כפי שנלמד בקורס.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noProof/>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noProof/>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Times New Roman" w:cs="David" w:eastAsia="David" w:hAnsi="Times New Roman"/>
          <w:noProof/>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חלק ג': דעות קדומות, סטיגמות ואפליה</w:t>
      </w:r>
    </w:p>
    <w:p>
      <w:pPr>
        <w:bidi/>
        <w:spacing w:after="120" w:before="0" w:line="360"/>
        <w:jc w:val="both"/>
      </w:pPr>
      <w:r>
        <w:rPr>
          <w:rFonts w:ascii="Times New Roman" w:cs="David" w:eastAsia="David" w:hAnsi="Times New Roman"/>
          <w:noProof/>
          <w:sz w:val="24"/>
          <w:szCs w:val="24"/>
          <w:rtl/>
        </w:rPr>
        <w:t xml:space="preserve">נכתב על ידי: מגדלין אבו טריף, ת"ז 038140398</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noProof/>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noProof/>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noProof/>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Times New Roman" w:cs="David" w:eastAsia="David" w:hAnsi="Times New Roman"/>
          <w:noProof/>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רשימת מקורות</w:t>
      </w:r>
    </w:p>
    <w:p>
      <w:pPr>
        <w:bidi/>
        <w:spacing w:after="120" w:before="0" w:line="360"/>
        <w:ind w:start="709" w:hanging="709"/>
        <w:jc w:val="right"/>
      </w:pPr>
      <w:r>
        <w:rPr>
          <w:rFonts w:ascii="Times New Roman" w:cs="David" w:eastAsia="David" w:hAnsi="Times New Roman"/>
          <w:noProof/>
          <w:sz w:val="24"/>
          <w:szCs w:val="24"/>
          <w:rtl/>
        </w:rPr>
        <w:t xml:space="preserve">איכנגרין, א., אלמוג, נ., וברויאר, נ. (2016). ארון הנכות: לצאת, להישאר או לפרק. בתוך ש. מור, נ. זיו, א. כנטר, א. איכנגרין, ונ. מזרחי (עורכים), </w:t>
      </w:r>
      <w:r>
        <w:rPr>
          <w:rFonts w:ascii="Times New Roman" w:cs="David" w:eastAsia="David" w:hAnsi="Times New Roman"/>
          <w:noProof/>
          <w:i/>
          <w:iCs/>
          <w:sz w:val="24"/>
          <w:szCs w:val="24"/>
          <w:rtl/>
        </w:rPr>
        <w:t xml:space="preserve">לימודי מוגבלות: מקראה</w:t>
      </w:r>
      <w:r>
        <w:rPr>
          <w:rFonts w:ascii="Times New Roman" w:cs="David" w:eastAsia="David" w:hAnsi="Times New Roman"/>
          <w:noProof/>
          <w:sz w:val="24"/>
          <w:szCs w:val="24"/>
          <w:rtl/>
        </w:rPr>
        <w:t xml:space="preserve"> (עמ' 299-311). מכון ון ליר בירושלים והקיבוץ המאוחד.</w:t>
      </w:r>
    </w:p>
    <w:p>
      <w:pPr>
        <w:bidi/>
        <w:spacing w:after="120" w:before="0" w:line="360"/>
        <w:ind w:start="709" w:hanging="709"/>
        <w:jc w:val="right"/>
      </w:pPr>
      <w:r>
        <w:rPr>
          <w:rFonts w:ascii="Times New Roman" w:cs="David" w:eastAsia="David" w:hAnsi="Times New Roman"/>
          <w:noProof/>
          <w:sz w:val="24"/>
          <w:szCs w:val="24"/>
          <w:rtl/>
        </w:rPr>
        <w:t xml:space="preserve">אלמוג, נ., בר, נ., וברקאי, ש. (2019). נרטיבים של הדרה והכלה: המשפחה בין המודל הרפואי, החברתי והאפירמטיבי. בתוך פ. שביט, וא. גילור (עורכות), </w:t>
      </w:r>
      <w:r>
        <w:rPr>
          <w:rFonts w:ascii="Times New Roman" w:cs="David" w:eastAsia="David" w:hAnsi="Times New Roman"/>
          <w:noProof/>
          <w:i/>
          <w:iCs/>
          <w:sz w:val="24"/>
          <w:szCs w:val="24"/>
          <w:rtl/>
        </w:rPr>
        <w:t xml:space="preserve">הננו: המעשה של המשפחה לילד עם מוגבלות בקהילה ובחברה</w:t>
      </w:r>
      <w:r>
        <w:rPr>
          <w:rFonts w:ascii="Times New Roman" w:cs="David" w:eastAsia="David" w:hAnsi="Times New Roman"/>
          <w:noProof/>
          <w:sz w:val="24"/>
          <w:szCs w:val="24"/>
          <w:rtl/>
        </w:rPr>
        <w:t xml:space="preserve"> (עמ' 29-63). אח.</w:t>
      </w:r>
    </w:p>
    <w:p>
      <w:pPr>
        <w:bidi/>
        <w:spacing w:after="120" w:before="0" w:line="360"/>
        <w:ind w:start="709" w:hanging="709"/>
        <w:jc w:val="right"/>
      </w:pPr>
      <w:r>
        <w:rPr>
          <w:rFonts w:ascii="Times New Roman" w:cs="David" w:eastAsia="David" w:hAnsi="Times New Roman"/>
          <w:noProof/>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w:t>
      </w:r>
      <w:r>
        <w:rPr>
          <w:rFonts w:ascii="Times New Roman" w:cs="David" w:eastAsia="David" w:hAnsi="Times New Roman"/>
          <w:noProof/>
          <w:i/>
          <w:iCs/>
          <w:sz w:val="24"/>
          <w:szCs w:val="24"/>
          <w:rtl/>
        </w:rPr>
        <w:t xml:space="preserve">לימודי מוגבלות: מקראה</w:t>
      </w:r>
      <w:r>
        <w:rPr>
          <w:rFonts w:ascii="Times New Roman" w:cs="David" w:eastAsia="David" w:hAnsi="Times New Roman"/>
          <w:noProof/>
          <w:sz w:val="24"/>
          <w:szCs w:val="24"/>
          <w:rtl/>
        </w:rPr>
        <w:t xml:space="preserve"> (עמ' 276-298). מכון ון ליר בירושלים והקיבוץ המאוחד. (פורסם במקור בשנת 2003)</w:t>
      </w:r>
    </w:p>
    <w:p>
      <w:pPr>
        <w:bidi/>
        <w:spacing w:after="120" w:before="0" w:line="360"/>
        <w:ind w:start="709" w:hanging="709"/>
        <w:jc w:val="right"/>
      </w:pPr>
      <w:r>
        <w:rPr>
          <w:rFonts w:ascii="Times New Roman" w:cs="David" w:eastAsia="David" w:hAnsi="Times New Roman"/>
          <w:noProof/>
          <w:sz w:val="24"/>
          <w:szCs w:val="24"/>
          <w:rtl/>
        </w:rPr>
        <w:t xml:space="preserve">צרפתי ניניו, ע. ח., ולוריא, ל. (2023). עובדים עם מוגבלות בלתי נראית: קדחת ים-תיכונית. </w:t>
      </w:r>
      <w:r>
        <w:rPr>
          <w:rFonts w:ascii="Times New Roman" w:cs="David" w:eastAsia="David" w:hAnsi="Times New Roman"/>
          <w:noProof/>
          <w:i/>
          <w:iCs/>
          <w:sz w:val="24"/>
          <w:szCs w:val="24"/>
          <w:rtl/>
        </w:rPr>
        <w:t xml:space="preserve">ביטחון סוציאלי, 121</w:t>
      </w:r>
      <w:r>
        <w:rPr>
          <w:rFonts w:ascii="Times New Roman" w:cs="David" w:eastAsia="David" w:hAnsi="Times New Roman"/>
          <w:noProof/>
          <w:sz w:val="24"/>
          <w:szCs w:val="24"/>
          <w:rtl/>
        </w:rPr>
        <w:t xml:space="preserve">, 63-92.</w:t>
      </w:r>
    </w:p>
    <w:p>
      <w:pPr>
        <w:bidi/>
        <w:spacing w:after="120" w:before="0" w:line="360"/>
        <w:ind w:start="709" w:hanging="709"/>
        <w:jc w:val="right"/>
      </w:pPr>
      <w:r>
        <w:rPr>
          <w:rFonts w:ascii="Times New Roman" w:cs="David" w:eastAsia="David" w:hAnsi="Times New Roman"/>
          <w:noProof/>
          <w:sz w:val="24"/>
          <w:szCs w:val="24"/>
          <w:rtl/>
        </w:rPr>
        <w:t xml:space="preserve">שייקספיר, ט. (2016). המודל החברתי של המוגבלות (ז. כוכבי, מתרגם). בתוך ש. מור, נ. זיו, א. כנטר, א. איכנגרין, ונ. מזרחי (עורכים), </w:t>
      </w:r>
      <w:r>
        <w:rPr>
          <w:rFonts w:ascii="Times New Roman" w:cs="David" w:eastAsia="David" w:hAnsi="Times New Roman"/>
          <w:noProof/>
          <w:i/>
          <w:iCs/>
          <w:sz w:val="24"/>
          <w:szCs w:val="24"/>
          <w:rtl/>
        </w:rPr>
        <w:t xml:space="preserve">לימודי מוגבלות: מקראה</w:t>
      </w:r>
      <w:r>
        <w:rPr>
          <w:rFonts w:ascii="Times New Roman" w:cs="David" w:eastAsia="David" w:hAnsi="Times New Roman"/>
          <w:noProof/>
          <w:sz w:val="24"/>
          <w:szCs w:val="24"/>
          <w:rtl/>
        </w:rPr>
        <w:t xml:space="preserve"> (עמ' 91-101). מכון ון ליר בירושלים והקיבוץ המאוחד. (פורסם במקור בשנת 2010)</w:t>
      </w:r>
    </w:p>
    <w:p>
      <w:pPr>
        <w:bidi w:val="false"/>
        <w:spacing w:after="120" w:before="0" w:line="360"/>
        <w:ind w:left="709" w:hanging="709"/>
        <w:jc w:val="left"/>
      </w:pPr>
      <w:r>
        <w:rPr>
          <w:rFonts w:ascii="Times New Roman" w:cs="David" w:eastAsia="David" w:hAnsi="Times New Roman"/>
          <w:noProof/>
          <w:sz w:val="24"/>
          <w:szCs w:val="24"/>
          <w:rtl w:val="false"/>
        </w:rPr>
        <w:t xml:space="preserve">Finkelstein, A. (2018). To share or not to share? Pedagogical dilemmas of a chronically-ill lecturer in teaching with invisible disability. In M. S. Jeffress (Ed.), </w:t>
      </w:r>
      <w:r>
        <w:rPr>
          <w:rFonts w:ascii="Times New Roman" w:cs="David" w:eastAsia="David" w:hAnsi="Times New Roman"/>
          <w:noProof/>
          <w:i/>
          <w:iCs/>
          <w:sz w:val="24"/>
          <w:szCs w:val="24"/>
          <w:rtl w:val="false"/>
        </w:rPr>
        <w:t xml:space="preserve">International perspectives on teaching with disability: Overcoming obstacles and enriching lives</w:t>
      </w:r>
      <w:r>
        <w:rPr>
          <w:rFonts w:ascii="Times New Roman" w:cs="David" w:eastAsia="David" w:hAnsi="Times New Roman"/>
          <w:noProof/>
          <w:sz w:val="24"/>
          <w:szCs w:val="24"/>
          <w:rtl w:val="false"/>
        </w:rPr>
        <w:t xml:space="preserve"> (pp. 143-157). Routledge.</w:t>
      </w:r>
    </w:p>
    <w:p>
      <w:pPr>
        <w:bidi w:val="false"/>
        <w:spacing w:after="120" w:before="0" w:line="360"/>
        <w:ind w:left="709" w:hanging="709"/>
        <w:jc w:val="left"/>
      </w:pPr>
      <w:r>
        <w:rPr>
          <w:rFonts w:ascii="Times New Roman" w:cs="David" w:eastAsia="David" w:hAnsi="Times New Roman"/>
          <w:noProof/>
          <w:sz w:val="24"/>
          <w:szCs w:val="24"/>
          <w:rtl w:val="false"/>
        </w:rPr>
        <w:t xml:space="preserve">Frijns, T. (2005). </w:t>
      </w:r>
      <w:r>
        <w:rPr>
          <w:rFonts w:ascii="Times New Roman" w:cs="David" w:eastAsia="David" w:hAnsi="Times New Roman"/>
          <w:noProof/>
          <w:i/>
          <w:iCs/>
          <w:sz w:val="24"/>
          <w:szCs w:val="24"/>
          <w:rtl w:val="false"/>
        </w:rPr>
        <w:t xml:space="preserve">Keeping secrets: Quantity, quality and consequences</w:t>
      </w:r>
      <w:r>
        <w:rPr>
          <w:rFonts w:ascii="Times New Roman" w:cs="David" w:eastAsia="David" w:hAnsi="Times New Roman"/>
          <w:noProof/>
          <w:sz w:val="24"/>
          <w:szCs w:val="24"/>
          <w:rtl w:val="false"/>
        </w:rPr>
        <w:t xml:space="preserve"> [Doctoral dissertation, Vrije Universiteit Amsterdam].</w:t>
      </w:r>
    </w:p>
    <w:p>
      <w:pPr>
        <w:bidi w:val="false"/>
        <w:spacing w:after="120" w:before="0" w:line="360"/>
        <w:ind w:left="709" w:hanging="709"/>
        <w:jc w:val="left"/>
      </w:pPr>
      <w:r>
        <w:rPr>
          <w:rFonts w:ascii="Times New Roman" w:cs="David" w:eastAsia="David" w:hAnsi="Times New Roman"/>
          <w:noProof/>
          <w:sz w:val="24"/>
          <w:szCs w:val="24"/>
          <w:rtl w:val="false"/>
        </w:rPr>
        <w:t xml:space="preserve">Martz, E., Livneh, H., &amp; Turpin, J. (2000). Locus of control orientation and acceptance of disability. </w:t>
      </w:r>
      <w:r>
        <w:rPr>
          <w:rFonts w:ascii="Times New Roman" w:cs="David" w:eastAsia="David" w:hAnsi="Times New Roman"/>
          <w:noProof/>
          <w:i/>
          <w:iCs/>
          <w:sz w:val="24"/>
          <w:szCs w:val="24"/>
          <w:rtl w:val="false"/>
        </w:rPr>
        <w:t xml:space="preserve">Journal of Applied Rehabilitation Counseling, 31</w:t>
      </w:r>
      <w:r>
        <w:rPr>
          <w:rFonts w:ascii="Times New Roman" w:cs="David" w:eastAsia="David" w:hAnsi="Times New Roman"/>
          <w:noProof/>
          <w:sz w:val="24"/>
          <w:szCs w:val="24"/>
          <w:rtl w:val="false"/>
        </w:rPr>
        <w:t xml:space="preserve">(3), 14-21.</w:t>
      </w:r>
    </w:p>
    <w:p>
      <w:pPr>
        <w:bidi w:val="false"/>
        <w:spacing w:after="120" w:before="0" w:line="360"/>
        <w:ind w:left="709" w:hanging="709"/>
        <w:jc w:val="left"/>
      </w:pPr>
      <w:r>
        <w:rPr>
          <w:rFonts w:ascii="Times New Roman" w:cs="David" w:eastAsia="David" w:hAnsi="Times New Roman"/>
          <w:noProof/>
          <w:sz w:val="24"/>
          <w:szCs w:val="24"/>
          <w:rtl w:val="false"/>
        </w:rPr>
        <w:t xml:space="preserve">Vilcsak, E. (2025). </w:t>
      </w:r>
      <w:r>
        <w:rPr>
          <w:rFonts w:ascii="Times New Roman" w:cs="David" w:eastAsia="David" w:hAnsi="Times New Roman"/>
          <w:noProof/>
          <w:i/>
          <w:iCs/>
          <w:sz w:val="24"/>
          <w:szCs w:val="24"/>
          <w:rtl w:val="false"/>
        </w:rPr>
        <w:t xml:space="preserve">Beyond the binary and barriers: A critical narrative inquiry of hidden disability identity on Instagram</w:t>
      </w:r>
      <w:r>
        <w:rPr>
          <w:rFonts w:ascii="Times New Roman" w:cs="David" w:eastAsia="David" w:hAnsi="Times New Roman"/>
          <w:noProof/>
          <w:sz w:val="24"/>
          <w:szCs w:val="24"/>
          <w:rtl w:val="false"/>
        </w:rPr>
        <w:t xml:space="preserve"> [Master's capstone project, University of Alberta].</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נספח 1: קישור להקלטת הראיון</w:t>
      </w:r>
    </w:p>
    <w:p>
      <w:pPr>
        <w:bidi/>
        <w:spacing w:after="120" w:before="0" w:line="360"/>
        <w:jc w:val="both"/>
      </w:pPr>
      <w:r>
        <w:rPr>
          <w:rFonts w:ascii="Times New Roman" w:cs="David" w:eastAsia="David" w:hAnsi="Times New Roman"/>
          <w:noProof/>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נספח 2: הפרומפט והראיון המלא עם הבינה המלאכותית</w:t>
      </w:r>
    </w:p>
    <w:p>
      <w:pPr>
        <w:bidi/>
        <w:spacing w:after="120" w:before="0" w:line="360"/>
        <w:jc w:val="both"/>
      </w:pPr>
      <w:r>
        <w:rPr>
          <w:rFonts w:ascii="Times New Roman" w:cs="David" w:eastAsia="David" w:hAnsi="Times New Roman"/>
          <w:noProof/>
          <w:sz w:val="24"/>
          <w:szCs w:val="24"/>
          <w:rtl/>
        </w:rPr>
        <w:t xml:space="preserve">הכלי: צ'אט בינה מלאכותית מבוסס מודל שפה. תאריך: 21.10.2026.</w:t>
      </w:r>
    </w:p>
    <w:p>
      <w:pPr>
        <w:bidi/>
        <w:spacing w:after="120" w:before="0" w:line="360"/>
        <w:jc w:val="both"/>
      </w:pPr>
      <w:r>
        <w:rPr>
          <w:rFonts w:ascii="Times New Roman" w:cs="David" w:eastAsia="David" w:hAnsi="Times New Roman"/>
          <w:noProof/>
          <w:b/>
          <w:bCs/>
          <w:sz w:val="24"/>
          <w:szCs w:val="24"/>
          <w:rtl/>
        </w:rPr>
        <w:t xml:space="preserve">ההנחיה שניתנה לכלי:</w:t>
      </w:r>
      <w:r>
        <w:rPr>
          <w:rFonts w:ascii="Times New Roman" w:cs="David" w:eastAsia="David" w:hAnsi="Times New Roman"/>
          <w:noProof/>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Times New Roman" w:cs="David" w:eastAsia="David" w:hAnsi="Times New Roman"/>
          <w:noProof/>
          <w:b/>
          <w:bCs/>
          <w:sz w:val="24"/>
          <w:szCs w:val="24"/>
          <w:rtl/>
        </w:rPr>
        <w:t xml:space="preserve">1. ספר לי על עצמך ועל המוגבלות שלך. כיצד היא באה לידי ביטוי?</w:t>
      </w:r>
    </w:p>
    <w:p>
      <w:pPr>
        <w:bidi/>
        <w:spacing w:after="120" w:before="0" w:line="360"/>
        <w:jc w:val="both"/>
      </w:pPr>
      <w:r>
        <w:rPr>
          <w:rFonts w:ascii="Times New Roman" w:cs="David" w:eastAsia="David" w:hAnsi="Times New Roman"/>
          <w:noProof/>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Times New Roman" w:cs="David" w:eastAsia="David" w:hAnsi="Times New Roman"/>
          <w:noProof/>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Times New Roman" w:cs="David" w:eastAsia="David" w:hAnsi="Times New Roman"/>
          <w:noProof/>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noProof/>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Times New Roman" w:cs="David" w:eastAsia="David" w:hAnsi="Times New Roman"/>
          <w:noProof/>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Times New Roman" w:cs="David" w:eastAsia="David" w:hAnsi="Times New Roman"/>
          <w:noProof/>
          <w:b/>
          <w:bCs/>
          <w:sz w:val="24"/>
          <w:szCs w:val="24"/>
          <w:rtl/>
        </w:rPr>
        <w:t xml:space="preserve">3. עד כמה אתה מרגיש שיש לך שליטה על המוגבלות ועל השפעתה בחייך?</w:t>
      </w:r>
    </w:p>
    <w:p>
      <w:pPr>
        <w:bidi/>
        <w:spacing w:after="120" w:before="0" w:line="360"/>
        <w:jc w:val="both"/>
      </w:pPr>
      <w:r>
        <w:rPr>
          <w:rFonts w:ascii="Times New Roman" w:cs="David" w:eastAsia="David" w:hAnsi="Times New Roman"/>
          <w:noProof/>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Times New Roman" w:cs="David" w:eastAsia="David" w:hAnsi="Times New Roman"/>
          <w:noProof/>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Times New Roman" w:cs="David" w:eastAsia="David" w:hAnsi="Times New Roman"/>
          <w:noProof/>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Times New Roman" w:cs="David" w:eastAsia="David" w:hAnsi="Times New Roman"/>
          <w:noProof/>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Times New Roman" w:cs="David" w:eastAsia="David" w:hAnsi="Times New Roman"/>
          <w:noProof/>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Times New Roman" w:cs="David" w:eastAsia="David" w:hAnsi="Times New Roman"/>
          <w:noProof/>
          <w:b/>
          <w:bCs/>
          <w:sz w:val="24"/>
          <w:szCs w:val="24"/>
          <w:rtl/>
        </w:rPr>
        <w:t xml:space="preserve">5. כיצד אתה מחליט למי ומתי לספר על המוגבלות שלך?</w:t>
      </w:r>
    </w:p>
    <w:p>
      <w:pPr>
        <w:bidi/>
        <w:spacing w:after="120" w:before="0" w:line="360"/>
        <w:jc w:val="both"/>
      </w:pPr>
      <w:r>
        <w:rPr>
          <w:rFonts w:ascii="Times New Roman" w:cs="David" w:eastAsia="David" w:hAnsi="Times New Roman"/>
          <w:noProof/>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Times New Roman" w:cs="David" w:eastAsia="David" w:hAnsi="Times New Roman"/>
          <w:noProof/>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Times New Roman" w:cs="David" w:eastAsia="David" w:hAnsi="Times New Roman"/>
          <w:noProof/>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noProof/>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Times New Roman" w:cs="David" w:eastAsia="David" w:hAnsi="Times New Roman"/>
          <w:noProof/>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Times New Roman" w:cs="David" w:eastAsia="David" w:hAnsi="Times New Roman"/>
          <w:noProof/>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noProof/>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Times New Roman" w:cs="David" w:eastAsia="David" w:hAnsi="Times New Roman"/>
          <w:noProof/>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Times New Roman" w:cs="David" w:eastAsia="David" w:hAnsi="Times New Roman"/>
          <w:noProof/>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noProof/>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Times New Roman" w:cs="David" w:eastAsia="David" w:hAnsi="Times New Roman"/>
          <w:noProof/>
          <w:sz w:val="24"/>
          <w:szCs w:val="24"/>
          <w:rtl/>
        </w:rPr>
        <w:t xml:space="preserve">והייתי רוצה שיבינו שאוטיזם הוא לא פגם. זו דרך אחרת להיות.</w:t>
      </w:r>
    </w:p>
    <w:p>
      <w:pPr>
        <w:keepNext/>
        <w:bidi/>
        <w:spacing w:after="120" w:before="120" w:line="360"/>
        <w:jc w:val="both"/>
      </w:pPr>
      <w:r>
        <w:rPr>
          <w:rFonts w:ascii="Times New Roman" w:cs="David" w:eastAsia="David" w:hAnsi="Times New Roman"/>
          <w:noProof/>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noProof/>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Times New Roman" w:cs="David" w:eastAsia="David" w:hAnsi="Times New Roman"/>
          <w:noProof/>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נספח 3: תמליל הראיון עם תיימא</w:t>
      </w:r>
    </w:p>
    <w:p>
      <w:pPr>
        <w:bidi/>
        <w:spacing w:after="120" w:before="0" w:line="360"/>
        <w:jc w:val="both"/>
      </w:pPr>
      <w:r>
        <w:rPr>
          <w:rFonts w:ascii="Times New Roman" w:cs="David" w:eastAsia="David" w:hAnsi="Times New Roman"/>
          <w:noProof/>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Times New Roman" w:cs="David" w:eastAsia="David" w:hAnsi="Times New Roman"/>
          <w:noProof/>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Times New Roman" w:cs="David" w:eastAsia="David" w:hAnsi="Times New Roman"/>
          <w:noProof/>
          <w:b/>
          <w:bCs/>
          <w:sz w:val="24"/>
          <w:szCs w:val="24"/>
          <w:rtl/>
        </w:rPr>
        <w:t xml:space="preserve">פתיחה והסכמה</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לגמרי בסדר.</w:t>
      </w:r>
    </w:p>
    <w:p>
      <w:pPr>
        <w:keepNext/>
        <w:bidi/>
        <w:spacing w:after="120" w:before="120" w:line="360"/>
        <w:jc w:val="both"/>
      </w:pPr>
      <w:r>
        <w:rPr>
          <w:rFonts w:ascii="Times New Roman" w:cs="David" w:eastAsia="David" w:hAnsi="Times New Roman"/>
          <w:noProof/>
          <w:b/>
          <w:bCs/>
          <w:sz w:val="24"/>
          <w:szCs w:val="24"/>
          <w:rtl/>
        </w:rPr>
        <w:t xml:space="preserve">שאלות הראיון</w:t>
      </w:r>
    </w:p>
    <w:p>
      <w:pPr>
        <w:keepNext/>
        <w:bidi/>
        <w:spacing w:after="120" w:before="120" w:line="360"/>
        <w:jc w:val="both"/>
      </w:pPr>
      <w:r>
        <w:rPr>
          <w:rFonts w:ascii="Times New Roman" w:cs="David" w:eastAsia="David" w:hAnsi="Times New Roman"/>
          <w:noProof/>
          <w:b/>
          <w:bCs/>
          <w:sz w:val="24"/>
          <w:szCs w:val="24"/>
          <w:rtl/>
        </w:rPr>
        <w:t xml:space="preserve">1. ספרי לי על עצמך ועל המוגבלות שלך. כיצד היא באה לידי ביטוי?</w:t>
      </w:r>
    </w:p>
    <w:p>
      <w:pPr>
        <w:bidi/>
        <w:spacing w:after="120" w:before="0" w:line="360"/>
        <w:jc w:val="both"/>
      </w:pPr>
      <w:r>
        <w:rPr>
          <w:rFonts w:ascii="Times New Roman" w:cs="David" w:eastAsia="David" w:hAnsi="Times New Roman"/>
          <w:noProof/>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Times New Roman" w:cs="David" w:eastAsia="David" w:hAnsi="Times New Roman"/>
          <w:noProof/>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Times New Roman" w:cs="David" w:eastAsia="David" w:hAnsi="Times New Roman"/>
          <w:noProof/>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תוכלי לספר על יום אחד בעבודה, מהתחלה עד הסוף, איך זה נראה?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Times New Roman" w:cs="David" w:eastAsia="David" w:hAnsi="Times New Roman"/>
          <w:noProof/>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noProof/>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Times New Roman" w:cs="David" w:eastAsia="David" w:hAnsi="Times New Roman"/>
          <w:noProof/>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Times New Roman" w:cs="David" w:eastAsia="David" w:hAnsi="Times New Roman"/>
          <w:noProof/>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Times New Roman" w:cs="David" w:eastAsia="David" w:hAnsi="Times New Roman"/>
          <w:noProof/>
          <w:b/>
          <w:bCs/>
          <w:sz w:val="24"/>
          <w:szCs w:val="24"/>
          <w:rtl/>
        </w:rPr>
        <w:t xml:space="preserve">3. עד כמה את מרגישה שיש לך שליטה על המוגבלות ועל השפעתה בחייך?</w:t>
      </w:r>
    </w:p>
    <w:p>
      <w:pPr>
        <w:bidi/>
        <w:spacing w:after="120" w:before="0" w:line="360"/>
        <w:jc w:val="both"/>
      </w:pPr>
      <w:r>
        <w:rPr>
          <w:rFonts w:ascii="Times New Roman" w:cs="David" w:eastAsia="David" w:hAnsi="Times New Roman"/>
          <w:noProof/>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Times New Roman" w:cs="David" w:eastAsia="David" w:hAnsi="Times New Roman"/>
          <w:noProof/>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ויש דברים שבהם את מרגישה חסרת שליטה?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Times New Roman" w:cs="David" w:eastAsia="David" w:hAnsi="Times New Roman"/>
          <w:noProof/>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Times New Roman" w:cs="David" w:eastAsia="David" w:hAnsi="Times New Roman"/>
          <w:noProof/>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Times New Roman" w:cs="David" w:eastAsia="David" w:hAnsi="Times New Roman"/>
          <w:noProof/>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Times New Roman" w:cs="David" w:eastAsia="David" w:hAnsi="Times New Roman"/>
          <w:noProof/>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Times New Roman" w:cs="David" w:eastAsia="David" w:hAnsi="Times New Roman"/>
          <w:noProof/>
          <w:b/>
          <w:bCs/>
          <w:sz w:val="24"/>
          <w:szCs w:val="24"/>
          <w:rtl/>
        </w:rPr>
        <w:t xml:space="preserve">5. כיצד את מחליטה למי ומתי לספר על המוגבלות שלך?</w:t>
      </w:r>
    </w:p>
    <w:p>
      <w:pPr>
        <w:bidi/>
        <w:spacing w:after="120" w:before="0" w:line="360"/>
        <w:jc w:val="both"/>
      </w:pPr>
      <w:r>
        <w:rPr>
          <w:rFonts w:ascii="Times New Roman" w:cs="David" w:eastAsia="David" w:hAnsi="Times New Roman"/>
          <w:noProof/>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Times New Roman" w:cs="David" w:eastAsia="David" w:hAnsi="Times New Roman"/>
          <w:noProof/>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יש מישהו שהחלטת לא לספר לו, ולמה?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Times New Roman" w:cs="David" w:eastAsia="David" w:hAnsi="Times New Roman"/>
          <w:noProof/>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noProof/>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Times New Roman" w:cs="David" w:eastAsia="David" w:hAnsi="Times New Roman"/>
          <w:noProof/>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Times New Roman" w:cs="David" w:eastAsia="David" w:hAnsi="Times New Roman"/>
          <w:noProof/>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Times New Roman" w:cs="David" w:eastAsia="David" w:hAnsi="Times New Roman"/>
          <w:noProof/>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Times New Roman" w:cs="David" w:eastAsia="David" w:hAnsi="Times New Roman"/>
          <w:noProof/>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noProof/>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Times New Roman" w:cs="David" w:eastAsia="David" w:hAnsi="Times New Roman"/>
          <w:noProof/>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Times New Roman" w:cs="David" w:eastAsia="David" w:hAnsi="Times New Roman"/>
          <w:noProof/>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Times New Roman" w:cs="David" w:eastAsia="David" w:hAnsi="Times New Roman"/>
          <w:noProof/>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noProof/>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Times New Roman" w:cs="David" w:eastAsia="David" w:hAnsi="Times New Roman"/>
          <w:noProof/>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Times New Roman" w:cs="David" w:eastAsia="David" w:hAnsi="Times New Roman"/>
          <w:noProof/>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Times New Roman" w:cs="David" w:eastAsia="David" w:hAnsi="Times New Roman"/>
          <w:noProof/>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noProof/>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Times New Roman" w:cs="David" w:eastAsia="David" w:hAnsi="Times New Roman"/>
          <w:noProof/>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2026-10-27T17:17:52.637Z</dcterms:created>
  <dcterms:modified xsi:type="dcterms:W3CDTF">2026-10-27T17:17:52.648Z</dcterms:modified>
</cp:coreProperties>
</file>

<file path=docProps/custom.xml><?xml version="1.0" encoding="utf-8"?>
<Properties xmlns="http://schemas.openxmlformats.org/officeDocument/2006/custom-properties" xmlns:vt="http://schemas.openxmlformats.org/officeDocument/2006/docPropsVTypes"/>
</file>