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80975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885825"/>
                    </a:xfrm>
                    <a:prstGeom prst="rect">
                      <a:avLst/>
                    </a:prstGeom>
                  </pic:spPr>
                </pic:pic>
              </a:graphicData>
            </a:graphic>
          </wp:inline>
        </w:drawing>
      </w:r>
    </w:p>
    <w:p>
      <w:pPr>
        <w:bidi/>
        <w:spacing w:after="100" w:line="360"/>
        <w:jc w:val="center"/>
      </w:pPr>
      <w:r>
        <w:rPr>
          <w:rFonts w:ascii="David" w:cs="David" w:eastAsia="David" w:hAnsi="David"/>
          <w:b/>
          <w:bCs/>
          <w:sz w:val="28"/>
          <w:szCs w:val="28"/>
          <w:rtl/>
        </w:rPr>
        <w:t xml:space="preserve">הקריה האקדמית אונו</w:t>
      </w:r>
    </w:p>
    <w:p>
      <w:pPr>
        <w:bidi/>
        <w:spacing w:after="100" w:line="360"/>
        <w:jc w:val="center"/>
      </w:pPr>
      <w:r>
        <w:rPr>
          <w:rFonts w:ascii="David" w:cs="David" w:eastAsia="David" w:hAnsi="David"/>
          <w:b w:val="false"/>
          <w:bCs w:val="false"/>
          <w:sz w:val="24"/>
          <w:szCs w:val="24"/>
          <w:rtl/>
        </w:rPr>
        <w:t xml:space="preserve">הפקולטה למדעי הרוח והחברה</w:t>
      </w:r>
    </w:p>
    <w:p>
      <w:pPr>
        <w:bidi/>
        <w:spacing w:after="500" w:line="360"/>
        <w:jc w:val="center"/>
      </w:pPr>
      <w:r>
        <w:rPr>
          <w:rFonts w:ascii="David" w:cs="David" w:eastAsia="David" w:hAnsi="David"/>
          <w:b w:val="false"/>
          <w:bCs w:val="false"/>
          <w:sz w:val="24"/>
          <w:szCs w:val="24"/>
          <w:rtl/>
        </w:rPr>
        <w:t xml:space="preserve">התוכנית לתואר ראשון בחינוך וחברה</w:t>
      </w:r>
    </w:p>
    <w:p>
      <w:pPr>
        <w:bidi/>
        <w:spacing w:after="100" w:line="360"/>
        <w:jc w:val="center"/>
      </w:pPr>
      <w:r>
        <w:rPr>
          <w:rFonts w:ascii="David" w:cs="David" w:eastAsia="David" w:hAnsi="David"/>
          <w:b/>
          <w:bCs/>
          <w:sz w:val="24"/>
          <w:szCs w:val="24"/>
          <w:rtl/>
        </w:rPr>
        <w:t xml:space="preserve">החוג לחינוך</w:t>
      </w:r>
    </w:p>
    <w:p>
      <w:pPr>
        <w:bidi/>
        <w:spacing w:after="500" w:line="360"/>
        <w:jc w:val="center"/>
      </w:pPr>
      <w:r>
        <w:rPr>
          <w:rFonts w:ascii="David" w:cs="David" w:eastAsia="David" w:hAnsi="David"/>
          <w:b w:val="false"/>
          <w:bCs w:val="false"/>
          <w:sz w:val="24"/>
          <w:szCs w:val="24"/>
          <w:rtl/>
        </w:rPr>
        <w:t xml:space="preserve">הקורס: ילד, משפחה וקהילה</w:t>
      </w:r>
    </w:p>
    <w:p>
      <w:pPr>
        <w:bidi/>
        <w:spacing w:after="200" w:line="360"/>
        <w:jc w:val="center"/>
      </w:pPr>
      <w:r>
        <w:rPr>
          <w:rFonts w:ascii="David" w:cs="David" w:eastAsia="David" w:hAnsi="David"/>
          <w:b/>
          <w:bCs/>
          <w:sz w:val="32"/>
          <w:szCs w:val="32"/>
          <w:rtl/>
        </w:rPr>
        <w:t xml:space="preserve">עבודה מסכמת</w:t>
      </w:r>
    </w:p>
    <w:p>
      <w:pPr>
        <w:bidi/>
        <w:spacing w:after="60" w:line="360"/>
        <w:jc w:val="center"/>
      </w:pPr>
      <w:r>
        <w:rPr>
          <w:rFonts w:ascii="David" w:cs="David" w:eastAsia="David" w:hAnsi="David"/>
          <w:b/>
          <w:bCs/>
          <w:sz w:val="28"/>
          <w:szCs w:val="28"/>
          <w:rtl/>
        </w:rPr>
        <w:t xml:space="preserve">ילד, משפחה וקהילה במעגלים אקולוגיים:</w:t>
      </w:r>
    </w:p>
    <w:p>
      <w:pPr>
        <w:bidi/>
        <w:spacing w:after="600" w:line="360"/>
        <w:jc w:val="center"/>
      </w:pPr>
      <w:r>
        <w:rPr>
          <w:rFonts w:ascii="David" w:cs="David" w:eastAsia="David" w:hAnsi="David"/>
          <w:b/>
          <w:bCs/>
          <w:sz w:val="28"/>
          <w:szCs w:val="28"/>
          <w:rtl/>
        </w:rPr>
        <w:t xml:space="preserve">חיברות, סיכון וחוסן בסיפורו של תאמר</w:t>
      </w:r>
    </w:p>
    <w:p>
      <w:pPr>
        <w:bidi/>
        <w:spacing w:after="500" w:line="360"/>
        <w:jc w:val="center"/>
      </w:pPr>
      <w:r>
        <w:rPr>
          <w:rFonts w:ascii="David" w:cs="David" w:eastAsia="David" w:hAnsi="David"/>
          <w:b w:val="false"/>
          <w:bCs w:val="false"/>
          <w:sz w:val="24"/>
          <w:szCs w:val="24"/>
          <w:rtl/>
        </w:rPr>
        <w:t xml:space="preserve">מרצה: ח'אולה סעיד</w:t>
      </w:r>
    </w:p>
    <w:p>
      <w:pPr>
        <w:bidi/>
        <w:spacing w:after="80" w:line="360"/>
        <w:jc w:val="center"/>
      </w:pPr>
      <w:r>
        <w:rPr>
          <w:rFonts w:ascii="David" w:cs="David" w:eastAsia="David" w:hAnsi="David"/>
          <w:b/>
          <w:bCs/>
          <w:sz w:val="24"/>
          <w:szCs w:val="24"/>
          <w:rtl/>
        </w:rPr>
        <w:t xml:space="preserve">מגישים:</w:t>
      </w:r>
    </w:p>
    <w:p>
      <w:pPr>
        <w:bidi/>
        <w:spacing w:after="60" w:line="360"/>
        <w:jc w:val="center"/>
      </w:pPr>
      <w:r>
        <w:rPr>
          <w:rFonts w:ascii="David" w:cs="David" w:eastAsia="David" w:hAnsi="David"/>
          <w:b w:val="false"/>
          <w:bCs w:val="false"/>
          <w:sz w:val="24"/>
          <w:szCs w:val="24"/>
          <w:rtl/>
        </w:rPr>
        <w:t xml:space="preserve">רביע אלטורי, ת.ז. 209529783</w:t>
      </w:r>
    </w:p>
    <w:p>
      <w:pPr>
        <w:bidi/>
        <w:spacing w:after="600" w:line="360"/>
        <w:jc w:val="center"/>
      </w:pPr>
      <w:r>
        <w:rPr>
          <w:rFonts w:ascii="David" w:cs="David" w:eastAsia="David" w:hAnsi="David"/>
          <w:b w:val="false"/>
          <w:bCs w:val="false"/>
          <w:sz w:val="24"/>
          <w:szCs w:val="24"/>
          <w:rtl/>
        </w:rPr>
        <w:t xml:space="preserve">רדואן אלטורי, ת.ז. 300632767</w:t>
      </w:r>
    </w:p>
    <w:p>
      <w:pPr>
        <w:bidi/>
        <w:spacing w:after="100" w:line="360"/>
        <w:jc w:val="center"/>
      </w:pPr>
      <w:r>
        <w:rPr>
          <w:rFonts w:ascii="David" w:cs="David" w:eastAsia="David" w:hAnsi="David"/>
          <w:b w:val="false"/>
          <w:bCs w:val="false"/>
          <w:sz w:val="24"/>
          <w:szCs w:val="24"/>
          <w:rtl/>
        </w:rPr>
        <w:t xml:space="preserve">ט"ז באב תשפ"ו, 30 ביולי 2026</w:t>
      </w:r>
    </w:p>
    <w:p>
      <w:pPr>
        <w:sectPr>
          <w:pgSz w:w="11906" w:h="16838" w:orient="portrait"/>
          <w:pgMar w:top="1417" w:right="1417" w:bottom="1417" w:left="1417" w:header="708" w:footer="708" w:gutter="0"/>
          <w:pgNumType/>
          <w:docGrid w:linePitch="360"/>
        </w:sectPr>
      </w:pPr>
    </w:p>
    <w:p>
      <w:pPr>
        <w:pStyle w:val="Heading1"/>
        <w:bidi/>
        <w:spacing w:after="40" w:before="100" w:line="360"/>
        <w:jc w:val="start"/>
      </w:pPr>
      <w:r>
        <w:rPr>
          <w:rFonts w:ascii="David" w:cs="David" w:eastAsia="David" w:hAnsi="David"/>
          <w:b/>
          <w:bCs/>
          <w:color w:val="000000"/>
          <w:sz w:val="26"/>
          <w:szCs w:val="26"/>
          <w:rtl/>
        </w:rPr>
        <w:t xml:space="preserve">תוכן עניינים</w:t>
      </w:r>
    </w:p>
    <w:p>
      <w:pPr>
        <w:tabs>
          <w:tab w:val="left" w:pos="8812" w:leader="dot"/>
        </w:tabs>
        <w:bidi/>
        <w:spacing w:after="60" w:line="360"/>
        <w:jc w:val="start"/>
      </w:pPr>
      <w:r>
        <w:rPr>
          <w:rFonts w:ascii="David" w:cs="David" w:eastAsia="David" w:hAnsi="David"/>
          <w:sz w:val="24"/>
          <w:szCs w:val="24"/>
          <w:rtl/>
        </w:rPr>
        <w:t xml:space="preserve">מבוא</w:t>
        <w:tab/>
        <w:t xml:space="preserve">2</w:t>
      </w:r>
    </w:p>
    <w:p>
      <w:pPr>
        <w:tabs>
          <w:tab w:val="left" w:pos="8812" w:leader="dot"/>
        </w:tabs>
        <w:bidi/>
        <w:spacing w:after="60" w:line="360"/>
        <w:jc w:val="start"/>
      </w:pPr>
      <w:r>
        <w:rPr>
          <w:rFonts w:ascii="David" w:cs="David" w:eastAsia="David" w:hAnsi="David"/>
          <w:sz w:val="24"/>
          <w:szCs w:val="24"/>
          <w:rtl/>
        </w:rPr>
        <w:t xml:space="preserve">שאלה 1: המשפחה, הילדות והקהילה</w:t>
        <w:tab/>
        <w:t xml:space="preserve">2</w:t>
      </w:r>
    </w:p>
    <w:p>
      <w:pPr>
        <w:tabs>
          <w:tab w:val="left" w:pos="8812" w:leader="dot"/>
        </w:tabs>
        <w:bidi/>
        <w:spacing w:after="60" w:line="360"/>
        <w:jc w:val="start"/>
      </w:pPr>
      <w:r>
        <w:rPr>
          <w:rFonts w:ascii="David" w:cs="David" w:eastAsia="David" w:hAnsi="David"/>
          <w:sz w:val="24"/>
          <w:szCs w:val="24"/>
          <w:rtl/>
        </w:rPr>
        <w:t xml:space="preserve">שאלה 2: צמתי הכרעה בתהליך החיברות</w:t>
        <w:tab/>
        <w:t xml:space="preserve">3</w:t>
      </w:r>
    </w:p>
    <w:p>
      <w:pPr>
        <w:tabs>
          <w:tab w:val="left" w:pos="8812" w:leader="dot"/>
        </w:tabs>
        <w:bidi/>
        <w:spacing w:after="60" w:line="360"/>
        <w:jc w:val="start"/>
      </w:pPr>
      <w:r>
        <w:rPr>
          <w:rFonts w:ascii="David" w:cs="David" w:eastAsia="David" w:hAnsi="David"/>
          <w:sz w:val="24"/>
          <w:szCs w:val="24"/>
          <w:rtl/>
        </w:rPr>
        <w:t xml:space="preserve">שאלה 3: סיפורו של תאמר במעגלי המודל האקולוגי</w:t>
        <w:tab/>
        <w:t xml:space="preserve">4</w:t>
      </w:r>
    </w:p>
    <w:p>
      <w:pPr>
        <w:tabs>
          <w:tab w:val="left" w:pos="8812" w:leader="dot"/>
        </w:tabs>
        <w:bidi/>
        <w:spacing w:after="60" w:line="360"/>
        <w:jc w:val="start"/>
      </w:pPr>
      <w:r>
        <w:rPr>
          <w:rFonts w:ascii="David" w:cs="David" w:eastAsia="David" w:hAnsi="David"/>
          <w:sz w:val="24"/>
          <w:szCs w:val="24"/>
          <w:rtl/>
        </w:rPr>
        <w:t xml:space="preserve">שאלה 4: העברה בין-דורית, גורמי סיכון ומשבר</w:t>
        <w:tab/>
        <w:t xml:space="preserve">5</w:t>
      </w:r>
    </w:p>
    <w:p>
      <w:pPr>
        <w:tabs>
          <w:tab w:val="left" w:pos="8812" w:leader="dot"/>
        </w:tabs>
        <w:bidi/>
        <w:spacing w:after="60" w:line="360"/>
        <w:jc w:val="start"/>
      </w:pPr>
      <w:r>
        <w:rPr>
          <w:rFonts w:ascii="David" w:cs="David" w:eastAsia="David" w:hAnsi="David"/>
          <w:sz w:val="24"/>
          <w:szCs w:val="24"/>
          <w:rtl/>
        </w:rPr>
        <w:t xml:space="preserve">שאלה 5: סיכום ואמירה אישית</w:t>
        <w:tab/>
        <w:t xml:space="preserve">6</w:t>
      </w:r>
    </w:p>
    <w:p>
      <w:pPr>
        <w:tabs>
          <w:tab w:val="left" w:pos="8812" w:leader="dot"/>
        </w:tabs>
        <w:bidi/>
        <w:spacing w:after="60" w:line="360"/>
        <w:jc w:val="start"/>
      </w:pPr>
      <w:r>
        <w:rPr>
          <w:rFonts w:ascii="David" w:cs="David" w:eastAsia="David" w:hAnsi="David"/>
          <w:sz w:val="24"/>
          <w:szCs w:val="24"/>
          <w:rtl/>
        </w:rPr>
        <w:t xml:space="preserve">רשימת מקורות</w:t>
        <w:tab/>
        <w:t xml:space="preserve">7</w:t>
      </w:r>
    </w:p>
    <w:p>
      <w:pPr>
        <w:spacing w:after="400"/>
      </w:pPr>
    </w:p>
    <w:p>
      <w:pPr>
        <w:bidi/>
        <w:spacing w:after="0" w:before="0" w:line="360"/>
        <w:ind w:firstLine="340"/>
        <w:jc w:val="start"/>
      </w:pPr>
      <w:r>
        <w:rPr>
          <w:rFonts w:ascii="David" w:cs="David" w:eastAsia="David" w:hAnsi="David"/>
          <w:b w:val="false"/>
          <w:bCs w:val="false"/>
          <w:i w:val="false"/>
          <w:iCs w:val="false"/>
          <w:sz w:val="24"/>
          <w:szCs w:val="24"/>
          <w:highlight w:val="yellow"/>
          <w:highlightCs w:val="yellow"/>
          <w:rtl/>
        </w:rPr>
        <w:t xml:space="preserve">הקטעים המסומנים בצהוב הם הקטעים האישיים והתלויים בצפייה בסרטון. יש להתאים אותם לחוויה האישית ולפרטי הסרטון, ולהסיר את הסימון לפני ההגשה. יש למחוק גם פסקה זו.</w:t>
      </w:r>
    </w:p>
    <w:p>
      <w:r>
        <w:br w:type="page"/>
      </w:r>
    </w:p>
    <w:p>
      <w:pPr>
        <w:pStyle w:val="Heading1"/>
        <w:bidi/>
        <w:spacing w:after="40" w:before="100" w:line="360"/>
        <w:jc w:val="start"/>
      </w:pPr>
      <w:r>
        <w:rPr>
          <w:rFonts w:ascii="David" w:cs="David" w:eastAsia="David" w:hAnsi="David"/>
          <w:b/>
          <w:bCs/>
          <w:color w:val="000000"/>
          <w:sz w:val="26"/>
          <w:szCs w:val="26"/>
          <w:rtl/>
        </w:rPr>
        <w:t xml:space="preserve">מבוא</w:t>
      </w:r>
    </w:p>
    <w:p>
      <w:pPr>
        <w:bidi/>
        <w:spacing w:after="0" w:before="0" w:line="360"/>
        <w:ind w:firstLine="340"/>
        <w:jc w:val="both"/>
      </w:pPr>
      <w:r>
        <w:rPr>
          <w:rFonts w:ascii="David" w:cs="David" w:eastAsia="David" w:hAnsi="David"/>
          <w:b w:val="false"/>
          <w:bCs w:val="false"/>
          <w:i w:val="false"/>
          <w:iCs w:val="false"/>
          <w:sz w:val="24"/>
          <w:szCs w:val="24"/>
          <w:rtl/>
        </w:rPr>
        <w:t xml:space="preserve">המשפחה אינה יחידה עצמאית המתקיימת בחלל ריק אלא תא החי בתוך מערכת של קהילה, מוסדות ותרבות, ומושפע מהם כשם שהוא משפיע עליהם (ברונפנברנר, 1979). העבודה בוחנת הנחה זו דרך המושגים ילדות, משפחה וקהילה, תהליך החיברות, ויישום המודל האקולוגי על סיפורו של תאמר בסרטון "שלא יהיה מאוחר מדי" (סעיד, 2026).</w:t>
      </w:r>
    </w:p>
    <w:p>
      <w:pPr>
        <w:pStyle w:val="Heading1"/>
        <w:bidi/>
        <w:spacing w:after="40" w:before="100" w:line="360"/>
        <w:jc w:val="start"/>
      </w:pPr>
      <w:r>
        <w:rPr>
          <w:rFonts w:ascii="David" w:cs="David" w:eastAsia="David" w:hAnsi="David"/>
          <w:b/>
          <w:bCs/>
          <w:color w:val="000000"/>
          <w:sz w:val="26"/>
          <w:szCs w:val="26"/>
          <w:rtl/>
        </w:rPr>
        <w:t xml:space="preserve">שאלה 1: המשפחה, הילדות והקהילה</w:t>
      </w:r>
    </w:p>
    <w:p>
      <w:pPr>
        <w:pStyle w:val="Heading2"/>
        <w:bidi/>
        <w:spacing w:after="20" w:before="60" w:line="360"/>
        <w:jc w:val="start"/>
      </w:pPr>
      <w:r>
        <w:rPr>
          <w:rFonts w:ascii="David" w:cs="David" w:eastAsia="David" w:hAnsi="David"/>
          <w:b/>
          <w:bCs/>
          <w:color w:val="000000"/>
          <w:sz w:val="24"/>
          <w:szCs w:val="24"/>
          <w:rtl/>
        </w:rPr>
        <w:t xml:space="preserve">ילדות ומשפחה</w:t>
      </w:r>
    </w:p>
    <w:p>
      <w:pPr>
        <w:bidi/>
        <w:spacing w:after="0" w:before="0" w:line="360"/>
        <w:ind w:firstLine="340"/>
        <w:jc w:val="both"/>
      </w:pPr>
      <w:r>
        <w:rPr>
          <w:rFonts w:ascii="David" w:cs="David" w:eastAsia="David" w:hAnsi="David"/>
          <w:b w:val="false"/>
          <w:bCs w:val="false"/>
          <w:i w:val="false"/>
          <w:iCs w:val="false"/>
          <w:sz w:val="24"/>
          <w:szCs w:val="24"/>
          <w:rtl/>
        </w:rPr>
        <w:t xml:space="preserve">הילדות אינה נתון ביולוגי בלבד אלא הבניה חברתית והיסטורית. גבולותיה, חלוקת התפקידים בין הדורות ומקומו של הילד במשפחה השתנו לאורך ההיסטוריה (אגמון, 2022). בעבר, ובעיקר במשפחות כפריות ובמשפחות שחיו בעוני, נסתיימה הילדות עם הכניסה למעגל העבודה או עם הנישואים. כיום המגמה הפוכה: הלימודים מתארכים, גיל הנישואים עולה והעצמאות הכלכלית נדחית. החוק בישראל מגדיר את הקטין עד גיל שמונה עשרה (משרד החינוך, ל.ת.), אך אינו זהה להגדרה החברתית, ונער שמפרנס את משפחתו נתפס כמבוגר. הילדות היא אפוא קטגוריה משפטית, קטגוריה תרבותית וחוויה סובייקטיבית בעת ובעונה אחת.</w:t>
      </w:r>
    </w:p>
    <w:p>
      <w:pPr>
        <w:bidi/>
        <w:spacing w:after="0" w:before="0" w:line="360"/>
        <w:ind w:firstLine="340"/>
        <w:jc w:val="both"/>
      </w:pPr>
      <w:r>
        <w:rPr>
          <w:rFonts w:ascii="David" w:cs="David" w:eastAsia="David" w:hAnsi="David"/>
          <w:b w:val="false"/>
          <w:bCs w:val="false"/>
          <w:i w:val="false"/>
          <w:iCs w:val="false"/>
          <w:sz w:val="24"/>
          <w:szCs w:val="24"/>
          <w:rtl/>
        </w:rPr>
        <w:t xml:space="preserve">גם המשפחה נתונה לשתי הגדרות. הצרה נשענת על קשרי דם, נישואים ואימוץ, והרחבה על תפקוד: מי מגדל, מי דואג ומי מהווה כתובת בשעת מצוקה. מודל מעגל חיי המשפחה רואה בה יחידה דינמית העוברת שלבים שבכל אחד מהם משתנים התפקידים והמשימות ההתפתחותיות (Carter &amp; McGoldrick, 1989). לצידה מתקיימים קשרים של "כמו משפחה", כמו שכנה שגידלה או מדריך בתנועת נוער, וההבדל אינו בעוצמת הקשר אלא בהכרה בו: קשרי דם ונישואים מקנים מעמד, ירושה ואפוטרופסות, וקשרים תפקודיים אינם מקנים דבר. בחברה הערבית המשפחה המסורתית מתוארת כמורחבת, פטריארכלית, פטרילוקלית ואנדוגמית, ובנויה על היררכיה של גיל, מין, דור וסדר לידה (ג'נאים חסין, 2026א). מאז שנות החמישים רכשה היחידה הגרעינית עצמאות, אך השינוי כמותי יותר מאיכותי: החמולה נותרה מקור כוח וההיררכיה שרדה.</w:t>
      </w:r>
    </w:p>
    <w:p>
      <w:pPr>
        <w:pStyle w:val="Heading2"/>
        <w:bidi/>
        <w:spacing w:after="20" w:before="60" w:line="360"/>
        <w:jc w:val="start"/>
      </w:pPr>
      <w:r>
        <w:rPr>
          <w:rFonts w:ascii="David" w:cs="David" w:eastAsia="David" w:hAnsi="David"/>
          <w:b/>
          <w:bCs/>
          <w:color w:val="000000"/>
          <w:sz w:val="24"/>
          <w:szCs w:val="24"/>
          <w:rtl/>
        </w:rPr>
        <w:t xml:space="preserve">הקהילה והמעגלים המקיפים אותה</w:t>
      </w:r>
    </w:p>
    <w:p>
      <w:pPr>
        <w:bidi/>
        <w:spacing w:after="0" w:before="0" w:line="360"/>
        <w:ind w:firstLine="340"/>
        <w:jc w:val="both"/>
      </w:pPr>
      <w:r>
        <w:rPr>
          <w:rFonts w:ascii="David" w:cs="David" w:eastAsia="David" w:hAnsi="David"/>
          <w:b w:val="false"/>
          <w:bCs w:val="false"/>
          <w:i w:val="false"/>
          <w:iCs w:val="false"/>
          <w:sz w:val="24"/>
          <w:szCs w:val="24"/>
          <w:rtl/>
        </w:rPr>
        <w:t xml:space="preserve">הקהילה היא מסגרת ביניים בין המשפחה ובין החברה, ואת החברה המודרנית מוטב לתאר כחברה של קהילות (גולדמן, 2002). היא משפיעה בשלושה אפיקים: אספקת שירותים, ובכללם חינוך בלתי פורמלי הנותן מקום לילדים שאינם מצליחים במסגרת הפורמלית (גולדברגר, 2007); יצירת הון חברתי המשמש משאב חוסן (אמית רארין ופליישר, 2005); ופיקוח חברתי המגדיר מה מכובד ומה מבייש. על הקהילה עצמה פועלים מעגלים רחבים ממנה. הקצאת קרקעות, תכנון ותקצוב קובעים אם ליישוב יהיו תעסוקה ושירותים, ותשעים וחמישה אחוזים מהיישובים הערביים מדורגים בארבעת האשכולות החברתיים-כלכליים הנמוכים לעומת שבעה עשר אחוזים מהיישובים היהודיים (ג'נאים חסין, 2026א). החלטות אלה קובעות לאיזה בית ספר ילך הילד ואם הוריו ימצאו עבודה, ולכן עוני החוצה דורות אינו רק תוצר של בחירות משפחתיות אלא של הזדמנויות שנחסמו (אלפסי, 2019).</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רביע: בבית שגדלתי בו לא היה גבול חד בין המשפחה הגרעינית למורחבת, ובדיעבד אני מזהה בכך את שני הצדדים: רשת תמיכה זמינה בכל שעה, ולצידה מרחב פרטי מצומצם. גם הילדות שלי נגמרה מוקדם מהמצוין בחוק, כשהתחלתי לעבוד בחופשים ולשאת באחריות על אחיי.</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רדואן: הקהילה ביישוב שלי הייתה סוכן חינוך לא פחות מבית הספר, והכיכר, המסגד וקבוצת הכדורגל קבעו כיצד נראה נער "בסדר". את המעגלים הרחוקים הרגשתי בהיעדר תחבורה ציבורית ובמחסור בחוגים שהותיר את שעות אחר הצהריים ריקות.</w:t>
      </w:r>
    </w:p>
    <w:p>
      <w:pPr>
        <w:pStyle w:val="Heading1"/>
        <w:bidi/>
        <w:spacing w:after="40" w:before="100" w:line="360"/>
        <w:jc w:val="start"/>
      </w:pPr>
      <w:r>
        <w:rPr>
          <w:rFonts w:ascii="David" w:cs="David" w:eastAsia="David" w:hAnsi="David"/>
          <w:b/>
          <w:bCs/>
          <w:color w:val="000000"/>
          <w:sz w:val="26"/>
          <w:szCs w:val="26"/>
          <w:rtl/>
        </w:rPr>
        <w:t xml:space="preserve">שאלה 2: צמתי הכרעה בתהליך החיברות</w:t>
      </w:r>
    </w:p>
    <w:p>
      <w:pPr>
        <w:bidi/>
        <w:spacing w:after="0" w:before="0" w:line="360"/>
        <w:ind w:firstLine="340"/>
        <w:jc w:val="both"/>
      </w:pPr>
      <w:r>
        <w:rPr>
          <w:rFonts w:ascii="David" w:cs="David" w:eastAsia="David" w:hAnsi="David"/>
          <w:b w:val="false"/>
          <w:bCs w:val="false"/>
          <w:i w:val="false"/>
          <w:iCs w:val="false"/>
          <w:sz w:val="24"/>
          <w:szCs w:val="24"/>
          <w:rtl/>
        </w:rPr>
        <w:t xml:space="preserve">סוכני חברות הם הגורמים המעבירים לפרט את הנורמות, הערכים והכשירויות המאפשרים לו להשתלב בחברה שבה הוא חי, ופועלים בהדגמה ובחיזוק יומיומי לא פחות מאשר בהוראה מפורשת. המרכזיים שבהם הם המשפחה, קבוצת השווים, מערכת החינוך, הקהילה והמסגרת הדתית, ובעשורים האחרונים גם המדיה, שחדלה להיות אמצעי והפכה למרחב חיים (ג'נאים חסין, 2026ב). מקומם של ההורים השתנה: תמורות תרבותיות צמצמו את כוחה של סמכות מוחלטת והעבירו את הדגש להצבת גבולות בתוך קשר (לבוב ואלקיים, ל.ת.).</w:t>
      </w:r>
    </w:p>
    <w:p>
      <w:pPr>
        <w:bidi/>
        <w:spacing w:after="0" w:before="0" w:line="360"/>
        <w:ind w:firstLine="340"/>
        <w:jc w:val="both"/>
      </w:pPr>
      <w:r>
        <w:rPr>
          <w:rFonts w:ascii="David" w:cs="David" w:eastAsia="David" w:hAnsi="David"/>
          <w:b w:val="false"/>
          <w:bCs w:val="false"/>
          <w:i w:val="false"/>
          <w:iCs w:val="false"/>
          <w:sz w:val="24"/>
          <w:szCs w:val="24"/>
          <w:rtl/>
        </w:rPr>
        <w:t xml:space="preserve">על תאמר פועלים כמה סוכנים בבת אחת, והמסרים שהם משדרים אינם מתלכדים. המשפחה מעבירה מסר של שייכות וציפייה לתפקוד, אך בתנאים של עומס ומצוקה המקטינים את הפניות הרגשית של ההורים אליו. בית הספר משדר מסר של כישלון: תאמר מתויג כמפריע, הישגיו הנמוכים מוסברים בו ולא בסביבתו, והצוות מגיב לקשיים ולא לחוזקות, וכך נוצר מה שהגישה הנרטיבית מכנה תיאור דק של הילד (ג'נאים חסין, 2026ב). קבוצת השווים ברחוב היא הסוכן היחיד המציע לו מסר של ערך, גם במחיר של עבריינות, והקהילה משדרת מסר כפול של פיקוח ובושה מזה והשתקת המצוקה מזה. ההצטברות מסבירה את מי שהוא כיום: כששני מרחבים משמעותיים אינם מספקים תחושת ערך, מקבל השלישי עוצמה גדולה מכפי חלקו. תאמר אינו בוחר ברחוב מתוך משיכה לעבריינות אלא מהיעדר חלופה שבה הוא מרגיש רצוי.</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[להשלים: סצנה מן הסרטון שבה נשמע מסר מפורש של סוכן חברות ותגובתו של תאמר.]</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רביע: סוכן החברות המשמעותי בעבורי היה סבי. הוא לא הטיף אלא הראה, והדרך שבה שמר על מילה שנתן הפכה אצלי לאמת מידה. את המסר קיבלתי בהדגמה ולא בדיבור, ולכן הוא החזיק גם מול מסרים אחרים.</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רדואן: בעבורי היה זה מדריך בתנועת הנוער, המבוגר הראשון שראה בי מוביל ולא תלמיד שצריך לתקן. חינוך בלתי פורמלי נתן לי מקום שבית הספר לא נתן (גולדברגר, 2007).</w:t>
      </w:r>
    </w:p>
    <w:p>
      <w:pPr>
        <w:bidi/>
        <w:spacing w:after="0" w:before="0" w:line="360"/>
        <w:ind w:firstLine="340"/>
        <w:jc w:val="both"/>
      </w:pPr>
      <w:r>
        <w:rPr>
          <w:rFonts w:ascii="David" w:cs="David" w:eastAsia="David" w:hAnsi="David"/>
          <w:b w:val="false"/>
          <w:bCs w:val="false"/>
          <w:i w:val="false"/>
          <w:iCs w:val="false"/>
          <w:sz w:val="24"/>
          <w:szCs w:val="24"/>
          <w:rtl/>
        </w:rPr>
        <w:t xml:space="preserve">מסרים סותרים משני סוכנים משמעותיים מעמידים את הילד בקונפליקט של נאמנות ולא רק בהתלבטות על תוכן, משום ששניהם מספקים לו שייכות וכל בחירה כמוה כאובדן. ההכרעה נעשית לרוב לפי מחיר הנאמנות ולא לפי נכונות המסר, ובגיל ההתבגרות, כשקבוצת השווים היא מקור השייכות המרכזי, נוטה הכף לכיוונה. מבחינה מערכתית זהו כשל של המזוסיסטם: שתי מיקרו-מערכות המחזקות מסר זהה מכפילות את עוצמת הלמידה, וכשהן סותרות נותר הילד לבדו עם ההכרעה (ג'נאים חסין, 2026ב). בחברה הערבית נטען הקונפליקט גם במתח שבין קונפורמיות לקולקטיב ובין אינדיווידואליות (ג'נאים חסין, 2026א).</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רביע: בסיום התיכון רצתה משפחתי שאעבוד בעסק המשפחתי, ומחנך הכיתה דחק בי להירשם ללימודים. בחרתי בלימודים, אך בדרך שלא חייבה הכרעה: המשכתי לעבוד בעסק בסופי שבוע. ההחלטה התאפשרה משום שפירקתי את הסתירה במקום להכריע בה.</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רדואן: כשהוצע לי להצטרף לקורס הדרכה שנפרש על פני שבתות, התנגדו בבית בטענה שהזמן הזה שייך למשפחה, וקבוצת החברים לחצה להירשם. בחרתי להשתתף בחלק מהמפגשים ולהסביר בבית מה נעשה בהם. את ההכרעה קיבלתי לפי המחיר: אובדן האמון בבית נראה לי כבד יותר.</w:t>
      </w:r>
    </w:p>
    <w:p>
      <w:pPr>
        <w:pStyle w:val="Heading1"/>
        <w:bidi/>
        <w:spacing w:after="40" w:before="100" w:line="360"/>
        <w:jc w:val="start"/>
      </w:pPr>
      <w:r>
        <w:rPr>
          <w:rFonts w:ascii="David" w:cs="David" w:eastAsia="David" w:hAnsi="David"/>
          <w:b/>
          <w:bCs/>
          <w:color w:val="000000"/>
          <w:sz w:val="26"/>
          <w:szCs w:val="26"/>
          <w:rtl/>
        </w:rPr>
        <w:t xml:space="preserve">שאלה 3: סיפורו של תאמר במעגלי המודל האקולוגי</w:t>
      </w:r>
    </w:p>
    <w:p>
      <w:pPr>
        <w:bidi/>
        <w:spacing w:after="0" w:before="0" w:line="360"/>
        <w:ind w:firstLine="340"/>
        <w:jc w:val="both"/>
      </w:pPr>
      <w:r>
        <w:rPr>
          <w:rFonts w:ascii="David" w:cs="David" w:eastAsia="David" w:hAnsi="David"/>
          <w:b w:val="false"/>
          <w:bCs w:val="false"/>
          <w:i w:val="false"/>
          <w:iCs w:val="false"/>
          <w:sz w:val="24"/>
          <w:szCs w:val="24"/>
          <w:rtl/>
        </w:rPr>
        <w:t xml:space="preserve">המודל האקולוגי בוחן את התפתחות הילד לא כתכונה פנימית אלא כתוצר של יחסי גומלין דו-כיווניים בין הפרט ובין המערכות הסביבתיות העוטפות אותו (ברונפנברנר, 1979).</w:t>
      </w:r>
    </w:p>
    <w:p>
      <w:pPr>
        <w:pStyle w:val="Heading2"/>
        <w:bidi/>
        <w:spacing w:after="20" w:before="60" w:line="360"/>
        <w:jc w:val="start"/>
      </w:pPr>
      <w:r>
        <w:rPr>
          <w:rFonts w:ascii="David" w:cs="David" w:eastAsia="David" w:hAnsi="David"/>
          <w:b/>
          <w:bCs/>
          <w:color w:val="000000"/>
          <w:sz w:val="24"/>
          <w:szCs w:val="24"/>
          <w:rtl/>
        </w:rPr>
        <w:t xml:space="preserve">המיקרוסיסטם והמזוסיסטם</w:t>
      </w:r>
    </w:p>
    <w:p>
      <w:pPr>
        <w:bidi/>
        <w:spacing w:after="0" w:before="0" w:line="360"/>
        <w:ind w:firstLine="340"/>
        <w:jc w:val="both"/>
      </w:pPr>
      <w:r>
        <w:rPr>
          <w:rFonts w:ascii="David" w:cs="David" w:eastAsia="David" w:hAnsi="David"/>
          <w:b w:val="false"/>
          <w:bCs w:val="false"/>
          <w:i w:val="false"/>
          <w:iCs w:val="false"/>
          <w:sz w:val="24"/>
          <w:szCs w:val="24"/>
          <w:rtl/>
        </w:rPr>
        <w:t xml:space="preserve">במעגל הפנימי נמצאים הוריו ואחיו, המשפחה המורחבת המתגוררת בסמוך, מחנכת הכיתה והמורים, וקבוצת החברים בשכונה. אלה הסביבות שבהן הוא שוהה רוב שעות היום, ולכן השפעתן על התפתחותו הקוגניטיבית, הרגשית וההתנהגותית ישירה (ג'נאים חסין, 2026ב). אצל תאמר הם פועלים לרעתו בבת אחת: בבית הוא פוגש הורים עסוקים בהישרדות ולכן פחות פנויים לאותת לו שהוא נראה, בבית הספר הוא פוגש תיוג, ואצל החברים הוא פוגש קבלה ולכן שם הוא נשאר. מכיוון שהמרכיבים מזינים זה את זה, הכישלון בבית הספר חוזר אל הבית בדמות עימותים, והעימותים מחזירים אותו אל הרחוב.</w:t>
      </w:r>
    </w:p>
    <w:p>
      <w:pPr>
        <w:bidi/>
        <w:spacing w:after="0" w:before="0" w:line="360"/>
        <w:ind w:firstLine="340"/>
        <w:jc w:val="both"/>
      </w:pPr>
      <w:r>
        <w:rPr>
          <w:rFonts w:ascii="David" w:cs="David" w:eastAsia="David" w:hAnsi="David"/>
          <w:b w:val="false"/>
          <w:bCs w:val="false"/>
          <w:i w:val="false"/>
          <w:iCs w:val="false"/>
          <w:sz w:val="24"/>
          <w:szCs w:val="24"/>
          <w:rtl/>
        </w:rPr>
        <w:t xml:space="preserve">המזוסיסטם הוא רשת הקשרים שבין המיקרו-מערכות: בין ההורים ובית הספר, בין היועצת ומחלקת הרווחה, בין המחנכת והמדריך בחינוך הבלתי פורמלי, ובין המשפחה המורחבת והגורמים המקצועיים. תפקידו לאפשר זרימת מידע ולהעצים למידה המתרחשת בשתי סביבות (ג'נאים חסין, 2026ב). אצל תאמר היא לא פעלה נכון: המידע לא זרם, כל גורם החזיק פיסת מצוקה אחת, והאחריות התגלגלה מגורם לגורם. הפנייה למחלקת הרווחה נעשתה כשההתנהגות כבר חצתה גבול, כלומר המערכת הגיבה לאירוע במקום לסימנים שקדמו לו. ההתנהלות הנכונה הייתה מחייבת ערוץ עבודה משותף כבר עם הופעת הסימנים הראשונים, ומיפוי של גורמי הסיכון ושל גורמי החוסן ולא של הקשיים בלבד, שכן עדיף להתמקד בגורמי הסיכון הדינמיים ולייצב את גורמי החוסן (ג'נאים חסין, 2026ב). מול ההורים היה נכון להצטרף למוטיבציה הקיימת בהם במקום להעמידם כנאשמים (מילר ורולניק, 2009), ובאופן רגיש לתרבות שבו גיוס המשפחה המורחבת אינו הפרעה אלא מנוף (שמר, 2009).</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[להשלים: הכשל המזוסיסטמי הקונקרטי בסרטון, למשל פנייה שלא נענתה.]</w:t>
      </w:r>
    </w:p>
    <w:p>
      <w:pPr>
        <w:pStyle w:val="Heading2"/>
        <w:bidi/>
        <w:spacing w:after="20" w:before="60" w:line="360"/>
        <w:jc w:val="start"/>
      </w:pPr>
      <w:r>
        <w:rPr>
          <w:rFonts w:ascii="David" w:cs="David" w:eastAsia="David" w:hAnsi="David"/>
          <w:b/>
          <w:bCs/>
          <w:color w:val="000000"/>
          <w:sz w:val="24"/>
          <w:szCs w:val="24"/>
          <w:rtl/>
        </w:rPr>
        <w:t xml:space="preserve">האקזוסיסטם, המקרוסיסטם והשרשרת שהובילה לתקרית</w:t>
      </w:r>
    </w:p>
    <w:p>
      <w:pPr>
        <w:bidi/>
        <w:spacing w:after="0" w:before="0" w:line="360"/>
        <w:ind w:firstLine="340"/>
        <w:jc w:val="both"/>
      </w:pPr>
      <w:r>
        <w:rPr>
          <w:rFonts w:ascii="David" w:cs="David" w:eastAsia="David" w:hAnsi="David"/>
          <w:b w:val="false"/>
          <w:bCs w:val="false"/>
          <w:i w:val="false"/>
          <w:iCs w:val="false"/>
          <w:sz w:val="24"/>
          <w:szCs w:val="24"/>
          <w:rtl/>
        </w:rPr>
        <w:t xml:space="preserve">באקזוסיסטם נמצאות מערכות שתאמר אינו משתתף בהן ישירות אך המתרחש בהן מגיע אליו: מקום עבודתו של אביו, עומס התיקים של העובדת הסוציאלית, החלטות הרשות המקומית על מסגרות אחר הצהריים וועדות ההשמה. במקרוסיסטם נמצאים הנורמות והערכים של החברה: תפיסות של גבריות וכבוד המקשות על נער להודות בקושי, מקומה של הבושה בהסתרת מצוקה, ונוכחותם של אלימות ונשק בסביבת המגורים. הכרונוסיסטם מוסיף את ציר הזמן: המעבר לחטיבת הביניים, גיל ההתבגרות והלמידה מרחוק בקורונה, נקודות שבהן הפיקוח נחלש והפערים התרחבו.</w:t>
      </w:r>
    </w:p>
    <w:p>
      <w:pPr>
        <w:bidi/>
        <w:spacing w:after="0" w:before="0" w:line="360"/>
        <w:ind w:firstLine="340"/>
        <w:jc w:val="both"/>
      </w:pPr>
      <w:r>
        <w:rPr>
          <w:rFonts w:ascii="David" w:cs="David" w:eastAsia="David" w:hAnsi="David"/>
          <w:b w:val="false"/>
          <w:bCs w:val="false"/>
          <w:i w:val="false"/>
          <w:iCs w:val="false"/>
          <w:sz w:val="24"/>
          <w:szCs w:val="24"/>
          <w:rtl/>
        </w:rPr>
        <w:t xml:space="preserve">השרשרת שהובילה לתקרית הסופית מובנת דרך המעגלים כהצטברות ולא כאירוע. עוני ולחץ תעסוקתי במעגל הרחוק מצמצמים את הפניות ההורית במעגל הקרוב, פניות מצומצמת יחד עם תיוג בבית הספר מייצרים היעדרויות, ההיעדרויות מגדילות את הפערים, והכישלון דוחף אל קבוצת השווים ברחוב שבה הערך נמדד בנכונות לעימות. כשגורמי המזוסיסטם אינם מתכנסים בזמן, אין מי שיעצור את השרשרת. התקרית היא הנקודה שבה נעשתה השרשרת גלויה, לא זו שבה החלה.</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[להשלים: תיאור התקרית הסופית ושתי נקודות שבהן ניתן היה לעצור את השרשרת.]</w:t>
      </w:r>
    </w:p>
    <w:p>
      <w:pPr>
        <w:bidi/>
        <w:spacing w:after="0" w:before="0" w:line="360"/>
        <w:ind w:firstLine="340"/>
        <w:jc w:val="both"/>
      </w:pPr>
      <w:r>
        <w:rPr>
          <w:rFonts w:ascii="David" w:cs="David" w:eastAsia="David" w:hAnsi="David"/>
          <w:b w:val="false"/>
          <w:bCs w:val="false"/>
          <w:i w:val="false"/>
          <w:iCs w:val="false"/>
          <w:sz w:val="24"/>
          <w:szCs w:val="24"/>
          <w:rtl/>
        </w:rPr>
        <w:t xml:space="preserve">כדי לבנות בתאמר תחושת שייכות וערך עצמי היה על כל מעגל למלא תפקיד מוגדר. בית הספר היה צריך להעביר את המשקל מטיפול בהפרעה לאיתור תחום שבו הוא מצליח ולהעניק לו בו תפקיד, שכן התערבות סביב מאפיינים המקדמים חוסן מניבה תועלת גדולה מהתערבות סביב הקשיים (ג'נאים חסין, 2026ב). מחלקת הרווחה הייתה צריכה להיכנס מוקדם ומתוך תפיסת ליווי ולא פיקוח (סבו לאל, 2017). המשפחה המורחבת יכולה הייתה לספק דמות מבוגרת מחזיקה שאינה נמצאת בעימות היומיומי עמו, והחינוך הבלתי פורמלי הוא המרחב שבו לנער עם כישלון לימודי יש סיכוי להצליח בזירה אחרת (גולדברגר, 2007). הקהילה הייתה צריכה לעבור מפיקוח ליצירת הזדמנויות, בעבודה בין-מקצועית שהיא לב הפיתוח הקהילתי (כורזים-קורושח ואחרים, 2009). שייכות אינה נבנית בשיחת מוסר אלא כשמישהו מצפה לו במקום מסוים בשעה מסוימת.</w:t>
      </w:r>
    </w:p>
    <w:p>
      <w:pPr>
        <w:pStyle w:val="Heading1"/>
        <w:bidi/>
        <w:spacing w:after="40" w:before="100" w:line="360"/>
        <w:jc w:val="start"/>
      </w:pPr>
      <w:r>
        <w:rPr>
          <w:rFonts w:ascii="David" w:cs="David" w:eastAsia="David" w:hAnsi="David"/>
          <w:b/>
          <w:bCs/>
          <w:color w:val="000000"/>
          <w:sz w:val="26"/>
          <w:szCs w:val="26"/>
          <w:rtl/>
        </w:rPr>
        <w:t xml:space="preserve">שאלה 4: העברה בין-דורית, גורמי סיכון ומשבר</w:t>
      </w:r>
    </w:p>
    <w:p>
      <w:pPr>
        <w:pStyle w:val="Heading2"/>
        <w:bidi/>
        <w:spacing w:after="20" w:before="60" w:line="360"/>
        <w:jc w:val="start"/>
      </w:pPr>
      <w:r>
        <w:rPr>
          <w:rFonts w:ascii="David" w:cs="David" w:eastAsia="David" w:hAnsi="David"/>
          <w:b/>
          <w:bCs/>
          <w:color w:val="000000"/>
          <w:sz w:val="24"/>
          <w:szCs w:val="24"/>
          <w:rtl/>
        </w:rPr>
        <w:t xml:space="preserve">רוחות רפאים מחדר הילדים וגורמי סיכון</w:t>
      </w:r>
    </w:p>
    <w:p>
      <w:pPr>
        <w:bidi/>
        <w:spacing w:after="0" w:before="0" w:line="360"/>
        <w:ind w:firstLine="340"/>
        <w:jc w:val="both"/>
      </w:pPr>
      <w:r>
        <w:rPr>
          <w:rFonts w:ascii="David" w:cs="David" w:eastAsia="David" w:hAnsi="David"/>
          <w:b w:val="false"/>
          <w:bCs w:val="false"/>
          <w:i w:val="false"/>
          <w:iCs w:val="false"/>
          <w:sz w:val="24"/>
          <w:szCs w:val="24"/>
          <w:rtl/>
        </w:rPr>
        <w:t xml:space="preserve">המושג נטבע בעבודתם של פרייברג ואחרים, שתיארו כיצד חוויות פגיעה מוקדמות של ההורה, שלא עובדו ולא נזכרו יחד עם הרגש שנלווה להן, חוזרות ומופיעות ביחסיו עם תינוקו. ה"רוחות" הן דמויות מעברו הפולשות אל חדר הילדים בהווה ומכתיבות את תגובותיו בלי שהוא מודע לכך (Fraiberg et al., 1975). המבחין בין הורה שחוזר על הפגיעה ובין הורה שעוצר אותה אינו עוצמת הפגיעה שחווה אלא הנגישות שלו לזיכרון הרגשי שלה. המושג עומד בבסיס ההעברה הבין-דורית, שלפיה דפוסי תפקוד וחרדה נעים במשפחה על פני שלושה דורות ויותר (The Bowen Center for the Study of the Family, n.d.). לצידו הוצע המושג המשלים "מלאכים בחדר הילדים", זיכרונות של דמות מיטיבה המשמשים מקור חוסן ומאפשרים להורה לפעול אחרת מכפי שנהגו עמו (מכון חרוב, 2018).</w:t>
      </w:r>
    </w:p>
    <w:p>
      <w:pPr>
        <w:bidi/>
        <w:spacing w:after="0" w:before="0" w:line="360"/>
        <w:ind w:firstLine="340"/>
        <w:jc w:val="both"/>
      </w:pPr>
      <w:r>
        <w:rPr>
          <w:rFonts w:ascii="David" w:cs="David" w:eastAsia="David" w:hAnsi="David"/>
          <w:b w:val="false"/>
          <w:bCs w:val="false"/>
          <w:i w:val="false"/>
          <w:iCs w:val="false"/>
          <w:sz w:val="24"/>
          <w:szCs w:val="24"/>
          <w:rtl/>
        </w:rPr>
        <w:t xml:space="preserve">שלושה גורמי סיכון מרכזיים במשפחה הם עוני מתמשך ותנאי דיור לקויים, שאינם רק מחסור חומרי אלא שחיקה של הפניות ההורית (אלפסי, 2019); אלימות בתוך המשפחה או בסביבת המגורים, המלמדת שיחסי כוח הם הדרך להשגת מטרות; והורה שאינו פנוי רגשית בשל מחלה, התמכרות או משבר, מצב שבו הילד לומד לצמצם את צרכיו.</w:t>
      </w:r>
    </w:p>
    <w:p>
      <w:pPr>
        <w:pStyle w:val="Heading2"/>
        <w:bidi/>
        <w:spacing w:after="20" w:before="60" w:line="360"/>
        <w:jc w:val="start"/>
      </w:pPr>
      <w:r>
        <w:rPr>
          <w:rFonts w:ascii="David" w:cs="David" w:eastAsia="David" w:hAnsi="David"/>
          <w:b/>
          <w:bCs/>
          <w:color w:val="000000"/>
          <w:sz w:val="24"/>
          <w:szCs w:val="24"/>
          <w:rtl/>
        </w:rPr>
        <w:t xml:space="preserve">משבר, מבנה משפחתי ודרכי עזרה</w:t>
      </w:r>
    </w:p>
    <w:p>
      <w:pPr>
        <w:bidi/>
        <w:spacing w:after="0" w:before="0" w:line="360"/>
        <w:ind w:firstLine="340"/>
        <w:jc w:val="both"/>
      </w:pPr>
      <w:r>
        <w:rPr>
          <w:rFonts w:ascii="David" w:cs="David" w:eastAsia="David" w:hAnsi="David"/>
          <w:b w:val="false"/>
          <w:bCs w:val="false"/>
          <w:i w:val="false"/>
          <w:iCs w:val="false"/>
          <w:sz w:val="24"/>
          <w:szCs w:val="24"/>
          <w:rtl/>
        </w:rPr>
        <w:t xml:space="preserve">משבר הוא מצב שבו אירוע או שינוי מעמיסים על המשפחה דרישות שהמשאבים והדפוסים הקיימים אינם מספיקים כדי לענות עליהן, והאיזון שנשמר עד אז מתערער. המשבר אינו זהה לאירוע: אותו אירוע יכול להיות משבר בעבור משפחה אחת ואתגר נסבל בעבור אחרת, בהתאם למערכת האמונות שלה, לגמישות הארגון שלה ולאיכות התקשורת בתוכה (Walsh, 1993). מכאן הסובייקטיביות שבמשבר, בשתי רמות. ברמת המשפחה, הפירוש שהיא מעניקה לאירוע, אם כעונש, כגזרה או כמשימה, קובע את יכולתה לגייס משאבים. ברמת הפרט, אותו אירוע נחווה אחרת בידי כל אחד מחבריה: גירושין יכולים להיות שחרור בעיני הורה אחד ובגידה בעיני הבן הבכור. אמרי מראה שהפגיעה בהסתגלות הילדים בגירושין נובעת פחות מן הפרידה עצמה ויותר מעוצמת הסכסוך המתמשך ומאיכות ההורות שנשמרת אחריה (Emery, 1999).</w:t>
      </w:r>
    </w:p>
    <w:p>
      <w:pPr>
        <w:bidi/>
        <w:spacing w:after="0" w:before="0" w:line="360"/>
        <w:ind w:firstLine="340"/>
        <w:jc w:val="both"/>
      </w:pPr>
      <w:r>
        <w:rPr>
          <w:rFonts w:ascii="David" w:cs="David" w:eastAsia="David" w:hAnsi="David"/>
          <w:b w:val="false"/>
          <w:bCs w:val="false"/>
          <w:i w:val="false"/>
          <w:iCs w:val="false"/>
          <w:sz w:val="24"/>
          <w:szCs w:val="24"/>
          <w:rtl/>
        </w:rPr>
        <w:t xml:space="preserve">הנחה נפוצה היא שמבנה משפחתי מסוים מבטיח התמודדות טובה יותר, אך אין קשר ישיר כזה. משפחה חד-הורית אינה בהכרח פחות מתמודדת, ומשפחה גרעינית שלמה אינה חסינה. מה שמשנה הוא גמישות התפקידים, קיומו של מבוגר זמין רגשית ורוחב רשת התמיכה (Walsh, 1993). המשפחה המורחבת מספקת תמיכה מיידית בשעת חירום, ובאותה נשימה מגבילה את מרחב ההחלטה של היחידה הגרעינית (ג'נאים חסין, 2026א). סוגי הלחץ נחלקים בין מעברים צפויים במעגל חיי המשפחה (Carter &amp; McGoldrick, 1989), אירועים בלתי צפויים כמחלה, מוות או גירושין, ולחצים כרוניים שאינם אירוע אלא מצב: עוני, הגירה, מוגבלות והדרה של קבוצת מיעוט. על התפקוד משפיעים אפוא המשאבים החומריים, המשמעות שהמשפחה מעניקה לאירוע, איכות התקשורת בין חבריה ורשת התמיכה שסביבה.</w:t>
      </w:r>
    </w:p>
    <w:p>
      <w:pPr>
        <w:bidi/>
        <w:spacing w:after="0" w:before="0" w:line="360"/>
        <w:ind w:firstLine="340"/>
        <w:jc w:val="both"/>
      </w:pPr>
      <w:r>
        <w:rPr>
          <w:rFonts w:ascii="David" w:cs="David" w:eastAsia="David" w:hAnsi="David"/>
          <w:b w:val="false"/>
          <w:bCs w:val="false"/>
          <w:i w:val="false"/>
          <w:iCs w:val="false"/>
          <w:sz w:val="24"/>
          <w:szCs w:val="24"/>
          <w:rtl/>
        </w:rPr>
        <w:t xml:space="preserve">עזרה למשפחות בסיכון יעילה כשהיא מגיעה מוקדם, מכמה מעגלים במקביל, ונשענת על חוזקות ולא רק על קשיים, וזהו ההיגיון של התוכנית הלאומית לילדים ולנוער בסיכון (סבו לאל, 2017). ברמה הפרטנית עדיף להתמקד בגורמי הסיכון הדינמיים ולייצב את גורמי החוסן (ג'נאים חסין, 2026ב), ומול ההורים לעבוד בגישה המצטרפת למוטיבציה שלהם (מילר ורולניק, 2009) ובאופן רגיש לתרבות (שמר, 2009).</w:t>
      </w:r>
    </w:p>
    <w:p>
      <w:pPr>
        <w:bidi/>
        <w:spacing w:after="0" w:before="0" w:line="360"/>
        <w:ind w:firstLine="340"/>
        <w:jc w:val="both"/>
      </w:pPr>
      <w:r>
        <w:rPr>
          <w:rFonts w:ascii="David" w:cs="David" w:eastAsia="David" w:hAnsi="David"/>
          <w:b w:val="false"/>
          <w:bCs w:val="false"/>
          <w:i w:val="false"/>
          <w:iCs w:val="false"/>
          <w:sz w:val="24"/>
          <w:szCs w:val="24"/>
          <w:rtl/>
        </w:rPr>
        <w:t xml:space="preserve">מודל גש"ר מאח"ד מציע ששה ערוצי התמודדות עם לחץ: גופני, שכלי, רגשי, אמוני-ערכי, חברתי ודמיוני. לכל אדם צירוף מועדף של שניים או שלושה ערוצים, וזהו האוטומט שאליו הוא פונה בלי לבחור בו. הרחבת מספר הערוצים הפעילים מגדילה את מרחב ההתמודדות (להד וקפלינסקי, ל.ת.).</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רביע: בהכנה לבחינות הגמר פעלתי באוטומט השכלי, בניתי לוחות זמנים ופירקתי את החומר. זה עבד עד שהתוכנית התבדרה ולא היה לי מקום אחר לפנות אליו. את ההקלה מצאתי דווקא בערוץ הגופני ובחברתי. הייתי רוצה לפתח את הרגשי, את היכולת לומר שקשה לי לפני שהמצב מגיע לשיא.</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רדואן: האוטומט שלי חברתי, ובכל לחץ אני פונה מיד לאנשים. זה יתרון עד לרגע שבו הקושי אישי מכדי לשתף. בתקופה של אובדן במשפחה גיליתי שהוא לבדו אינו מספיק, ומה שהחזיק אותי היה הערוץ האמוני. הייתי רוצה לפתח את השכלי, את היכולת לתכנן במקום להגיב.</w:t>
      </w:r>
    </w:p>
    <w:p>
      <w:pPr>
        <w:pStyle w:val="Heading1"/>
        <w:bidi/>
        <w:spacing w:after="40" w:before="100" w:line="360"/>
        <w:jc w:val="start"/>
      </w:pPr>
      <w:r>
        <w:rPr>
          <w:rFonts w:ascii="David" w:cs="David" w:eastAsia="David" w:hAnsi="David"/>
          <w:b/>
          <w:bCs/>
          <w:color w:val="000000"/>
          <w:sz w:val="26"/>
          <w:szCs w:val="26"/>
          <w:rtl/>
        </w:rPr>
        <w:t xml:space="preserve">שאלה 5: סיכום ואמירה אישית</w:t>
      </w:r>
    </w:p>
    <w:p>
      <w:pPr>
        <w:bidi/>
        <w:spacing w:after="0" w:before="0" w:line="360"/>
        <w:ind w:firstLine="340"/>
        <w:jc w:val="both"/>
      </w:pPr>
      <w:r>
        <w:rPr>
          <w:rFonts w:ascii="David" w:cs="David" w:eastAsia="David" w:hAnsi="David"/>
          <w:b w:val="false"/>
          <w:bCs w:val="false"/>
          <w:i w:val="false"/>
          <w:iCs w:val="false"/>
          <w:sz w:val="24"/>
          <w:szCs w:val="24"/>
          <w:rtl/>
        </w:rPr>
        <w:t xml:space="preserve">הקורס מציע העברה של מבט: מן השאלה מה לא בסדר בילד אל השאלה מה לא עבד סביבו. סיפורו של תאמר מדגים שהתקרית הסופית היא סופה של שרשרת שבה כל מעגל החמיץ את תפקידו. מכאן שתי מסקנות מעשיות: ערוץ תקשורת קבוע בין הבית, בית הספר וגורמי הרווחה, ואיתור נקודת החוזק של ילד ומתן תפקיד המבוסס עליה, צעד שכל מחנך יכול לעשות מחר בבוקר.</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רביע: למדתי על עצמי שני דברים. הראשון, שהיה לי נוח להסביר את הצלחתי בהתמדה אישית, וכשמיפיתי את המעגלים שלי ראיתי כמה מהם עבדו לטובתי בלי שביקשתי. השני, פחות מחמיא, הוא שגיליתי כמה פעמים שפטתי נערים כמו תאמר לפי ההתנהגות בלבד. על משפחתי למדתי שהמבנה המורחב הוא משאב חוסן ובה בעת מקור להגבלה, ועל ילדים למדתי שהשאלה אינה מדוע הוא מתנהג כך אלא מה מחזיק אותו שם.</w:t>
      </w:r>
    </w:p>
    <w:p>
      <w:pPr>
        <w:bidi/>
        <w:spacing w:after="0" w:before="0" w:line="360"/>
        <w:ind w:firstLine="340"/>
        <w:jc w:val="both"/>
      </w:pPr>
      <w:r>
        <w:rPr>
          <w:rFonts w:ascii="David" w:cs="David" w:eastAsia="David" w:hAnsi="David"/>
          <w:b w:val="false"/>
          <w:bCs w:val="false"/>
          <w:i w:val="false"/>
          <w:iCs w:val="false"/>
          <w:sz w:val="24"/>
          <w:szCs w:val="24"/>
          <w:highlight w:val="yellow"/>
          <w:highlightCs w:val="yellow"/>
          <w:rtl/>
        </w:rPr>
        <w:t xml:space="preserve">רדואן: מה שנשאר איתי הוא הבנת המחיר של תיאור דק. גם אני נתפסתי בבית הספר כתלמיד בעייתי, וההבדל בין תאמר וביני היה בכך שנמצא מבוגר אחד שראה בי משהו אחר. על משפחתי למדתי לזהות דפוסים העוברים בין הדורות, כמו הקושי לדבר על מצוקה, ולהבין שאין בהם אשמה אלא היסטוריה. לגבי עצמי המטלה ברורה: להיות המבוגר שמחזיק, ולא זה שממתין לתקרית.</w:t>
      </w:r>
    </w:p>
    <w:p>
      <w:r>
        <w:br w:type="page"/>
      </w:r>
    </w:p>
    <w:p>
      <w:pPr>
        <w:pStyle w:val="Heading1"/>
        <w:bidi/>
        <w:spacing w:after="40" w:before="100" w:line="360"/>
        <w:jc w:val="start"/>
      </w:pPr>
      <w:r>
        <w:rPr>
          <w:rFonts w:ascii="David" w:cs="David" w:eastAsia="David" w:hAnsi="David"/>
          <w:b/>
          <w:bCs/>
          <w:color w:val="000000"/>
          <w:sz w:val="26"/>
          <w:szCs w:val="26"/>
          <w:rtl/>
        </w:rPr>
        <w:t xml:space="preserve">רשימת מקורות</w:t>
      </w:r>
    </w:p>
    <w:p>
      <w:pPr>
        <w:bidi/>
        <w:spacing w:after="0" w:line="480"/>
        <w:ind w:start="708" w:hanging="708"/>
        <w:jc w:val="start"/>
      </w:pPr>
      <w:r>
        <w:rPr>
          <w:rFonts w:ascii="David" w:cs="David" w:eastAsia="David" w:hAnsi="David"/>
          <w:i w:val="false"/>
          <w:iCs w:val="false"/>
          <w:sz w:val="24"/>
          <w:szCs w:val="24"/>
          <w:rtl/>
        </w:rPr>
        <w:t xml:space="preserve">אגמון, א' (2022). מחשבות על היסטוריה של המשפחה. </w:t>
      </w:r>
      <w:r>
        <w:rPr>
          <w:rFonts w:ascii="David" w:cs="David" w:eastAsia="David" w:hAnsi="David"/>
          <w:i/>
          <w:iCs/>
          <w:sz w:val="24"/>
          <w:szCs w:val="24"/>
          <w:rtl/>
        </w:rPr>
        <w:t xml:space="preserve">ג'מאעה, כ"ו</w:t>
      </w:r>
      <w:r>
        <w:rPr>
          <w:rFonts w:ascii="David" w:cs="David" w:eastAsia="David" w:hAnsi="David"/>
          <w:i w:val="false"/>
          <w:iCs w:val="false"/>
          <w:sz w:val="24"/>
          <w:szCs w:val="24"/>
          <w:rtl/>
        </w:rPr>
        <w:t xml:space="preserve">, 191-204.</w:t>
      </w:r>
    </w:p>
    <w:p>
      <w:pPr>
        <w:bidi/>
        <w:spacing w:after="0" w:line="480"/>
        <w:ind w:start="708" w:hanging="708"/>
        <w:jc w:val="start"/>
      </w:pPr>
      <w:r>
        <w:rPr>
          <w:rFonts w:ascii="David" w:cs="David" w:eastAsia="David" w:hAnsi="David"/>
          <w:i w:val="false"/>
          <w:iCs w:val="false"/>
          <w:sz w:val="24"/>
          <w:szCs w:val="24"/>
          <w:rtl/>
        </w:rPr>
        <w:t xml:space="preserve">אלפסי, י' (2019). צמצום עוני בין דורי וקידום שוויון הזדמנויות בישראל. </w:t>
      </w:r>
      <w:r>
        <w:rPr>
          <w:rFonts w:ascii="David" w:cs="David" w:eastAsia="David" w:hAnsi="David"/>
          <w:i/>
          <w:iCs/>
          <w:sz w:val="24"/>
          <w:szCs w:val="24"/>
          <w:rtl/>
        </w:rPr>
        <w:t xml:space="preserve">סוגיות חברתיות בישראל, 27</w:t>
      </w:r>
      <w:r>
        <w:rPr>
          <w:rFonts w:ascii="David" w:cs="David" w:eastAsia="David" w:hAnsi="David"/>
          <w:i w:val="false"/>
          <w:iCs w:val="false"/>
          <w:sz w:val="24"/>
          <w:szCs w:val="24"/>
          <w:rtl/>
        </w:rPr>
        <w:t xml:space="preserve">, 7-42.</w:t>
      </w:r>
    </w:p>
    <w:p>
      <w:pPr>
        <w:bidi/>
        <w:spacing w:after="0" w:line="480"/>
        <w:ind w:start="708" w:hanging="708"/>
        <w:jc w:val="start"/>
      </w:pPr>
      <w:r>
        <w:rPr>
          <w:rFonts w:ascii="David" w:cs="David" w:eastAsia="David" w:hAnsi="David"/>
          <w:i w:val="false"/>
          <w:iCs w:val="false"/>
          <w:sz w:val="24"/>
          <w:szCs w:val="24"/>
          <w:rtl/>
        </w:rPr>
        <w:t xml:space="preserve">אמית רארין, א', ופליישר, נ' (2005). </w:t>
      </w:r>
      <w:r>
        <w:rPr>
          <w:rFonts w:ascii="David" w:cs="David" w:eastAsia="David" w:hAnsi="David"/>
          <w:i/>
          <w:iCs/>
          <w:sz w:val="24"/>
          <w:szCs w:val="24"/>
          <w:rtl/>
        </w:rPr>
        <w:t xml:space="preserve">חוסן חברתי, הון חברתי ומה שביניהם</w:t>
      </w:r>
      <w:r>
        <w:rPr>
          <w:rFonts w:ascii="David" w:cs="David" w:eastAsia="David" w:hAnsi="David"/>
          <w:i w:val="false"/>
          <w:iCs w:val="false"/>
          <w:sz w:val="24"/>
          <w:szCs w:val="24"/>
          <w:rtl/>
        </w:rPr>
        <w:t xml:space="preserve">. מוסד שמואל נאמן, הטכניון.</w:t>
      </w:r>
    </w:p>
    <w:p>
      <w:pPr>
        <w:bidi/>
        <w:spacing w:after="0" w:line="480"/>
        <w:ind w:start="708" w:hanging="708"/>
        <w:jc w:val="start"/>
      </w:pPr>
      <w:r>
        <w:rPr>
          <w:rFonts w:ascii="David" w:cs="David" w:eastAsia="David" w:hAnsi="David"/>
          <w:i w:val="false"/>
          <w:iCs w:val="false"/>
          <w:sz w:val="24"/>
          <w:szCs w:val="24"/>
          <w:rtl/>
        </w:rPr>
        <w:t xml:space="preserve">ברונפנברנר, י' (1979). </w:t>
      </w:r>
      <w:r>
        <w:rPr>
          <w:rFonts w:ascii="David" w:cs="David" w:eastAsia="David" w:hAnsi="David"/>
          <w:i/>
          <w:iCs/>
          <w:sz w:val="24"/>
          <w:szCs w:val="24"/>
          <w:rtl/>
        </w:rPr>
        <w:t xml:space="preserve">האקולוגיה של התפתחות האדם</w:t>
      </w:r>
      <w:r>
        <w:rPr>
          <w:rFonts w:ascii="David" w:cs="David" w:eastAsia="David" w:hAnsi="David"/>
          <w:i w:val="false"/>
          <w:iCs w:val="false"/>
          <w:sz w:val="24"/>
          <w:szCs w:val="24"/>
          <w:rtl/>
        </w:rPr>
        <w:t xml:space="preserve">. אוניברסיטת הרווארד.</w:t>
      </w:r>
    </w:p>
    <w:p>
      <w:pPr>
        <w:bidi/>
        <w:spacing w:after="0" w:line="480"/>
        <w:ind w:start="708" w:hanging="708"/>
        <w:jc w:val="start"/>
      </w:pPr>
      <w:r>
        <w:rPr>
          <w:rFonts w:ascii="David" w:cs="David" w:eastAsia="David" w:hAnsi="David"/>
          <w:i w:val="false"/>
          <w:iCs w:val="false"/>
          <w:sz w:val="24"/>
          <w:szCs w:val="24"/>
          <w:rtl/>
        </w:rPr>
        <w:t xml:space="preserve">גולדברגר, ד' (2007). חינוך קהילתי, מרכזים קהילתיים ומתנ"סים. בתוך ש' רומי וש' שמידע (עורכים), </w:t>
      </w:r>
      <w:r>
        <w:rPr>
          <w:rFonts w:ascii="David" w:cs="David" w:eastAsia="David" w:hAnsi="David"/>
          <w:i/>
          <w:iCs/>
          <w:sz w:val="24"/>
          <w:szCs w:val="24"/>
          <w:rtl/>
        </w:rPr>
        <w:t xml:space="preserve">החינוך הבלתי פורמאלי במציאות משתנה</w:t>
      </w:r>
      <w:r>
        <w:rPr>
          <w:rFonts w:ascii="David" w:cs="David" w:eastAsia="David" w:hAnsi="David"/>
          <w:i w:val="false"/>
          <w:iCs w:val="false"/>
          <w:sz w:val="24"/>
          <w:szCs w:val="24"/>
          <w:rtl/>
        </w:rPr>
        <w:t xml:space="preserve"> (עמ' 317-339). מאגנס.</w:t>
      </w:r>
    </w:p>
    <w:p>
      <w:pPr>
        <w:bidi/>
        <w:spacing w:after="0" w:line="480"/>
        <w:ind w:start="708" w:hanging="708"/>
        <w:jc w:val="start"/>
      </w:pPr>
      <w:r>
        <w:rPr>
          <w:rFonts w:ascii="David" w:cs="David" w:eastAsia="David" w:hAnsi="David"/>
          <w:i w:val="false"/>
          <w:iCs w:val="false"/>
          <w:sz w:val="24"/>
          <w:szCs w:val="24"/>
          <w:rtl/>
        </w:rPr>
        <w:t xml:space="preserve">גולדמן, י' (2002). חברה של קהילות. </w:t>
      </w:r>
      <w:r>
        <w:rPr>
          <w:rFonts w:ascii="David" w:cs="David" w:eastAsia="David" w:hAnsi="David"/>
          <w:i/>
          <w:iCs/>
          <w:sz w:val="24"/>
          <w:szCs w:val="24"/>
          <w:rtl/>
        </w:rPr>
        <w:t xml:space="preserve">חברה, 4</w:t>
      </w:r>
      <w:r>
        <w:rPr>
          <w:rFonts w:ascii="David" w:cs="David" w:eastAsia="David" w:hAnsi="David"/>
          <w:i w:val="false"/>
          <w:iCs w:val="false"/>
          <w:sz w:val="24"/>
          <w:szCs w:val="24"/>
          <w:rtl/>
        </w:rPr>
        <w:t xml:space="preserve">(46).</w:t>
      </w:r>
    </w:p>
    <w:p>
      <w:pPr>
        <w:bidi/>
        <w:spacing w:after="0" w:line="480"/>
        <w:ind w:start="708" w:hanging="708"/>
        <w:jc w:val="start"/>
      </w:pPr>
      <w:r>
        <w:rPr>
          <w:rFonts w:ascii="David" w:cs="David" w:eastAsia="David" w:hAnsi="David"/>
          <w:i w:val="false"/>
          <w:iCs w:val="false"/>
          <w:sz w:val="24"/>
          <w:szCs w:val="24"/>
          <w:rtl/>
        </w:rPr>
        <w:t xml:space="preserve">ג'נאים חסין, ע' (2026א). </w:t>
      </w:r>
      <w:r>
        <w:rPr>
          <w:rFonts w:ascii="David" w:cs="David" w:eastAsia="David" w:hAnsi="David"/>
          <w:i/>
          <w:iCs/>
          <w:sz w:val="24"/>
          <w:szCs w:val="24"/>
          <w:rtl/>
        </w:rPr>
        <w:t xml:space="preserve">המשפחה הערבית בישראל</w:t>
      </w:r>
      <w:r>
        <w:rPr>
          <w:rFonts w:ascii="David" w:cs="David" w:eastAsia="David" w:hAnsi="David"/>
          <w:i w:val="false"/>
          <w:iCs w:val="false"/>
          <w:sz w:val="24"/>
          <w:szCs w:val="24"/>
          <w:rtl/>
        </w:rPr>
        <w:t xml:space="preserve"> [מצגת הרצאה]. ילד, משפחה וקהילה, הקריה האקדמית אונו.</w:t>
      </w:r>
    </w:p>
    <w:p>
      <w:pPr>
        <w:bidi/>
        <w:spacing w:after="0" w:line="480"/>
        <w:ind w:start="708" w:hanging="708"/>
        <w:jc w:val="start"/>
      </w:pPr>
      <w:r>
        <w:rPr>
          <w:rFonts w:ascii="David" w:cs="David" w:eastAsia="David" w:hAnsi="David"/>
          <w:i w:val="false"/>
          <w:iCs w:val="false"/>
          <w:sz w:val="24"/>
          <w:szCs w:val="24"/>
          <w:rtl/>
        </w:rPr>
        <w:t xml:space="preserve">ג'נאים חסין, ע' (2026ב). </w:t>
      </w:r>
      <w:r>
        <w:rPr>
          <w:rFonts w:ascii="David" w:cs="David" w:eastAsia="David" w:hAnsi="David"/>
          <w:i/>
          <w:iCs/>
          <w:sz w:val="24"/>
          <w:szCs w:val="24"/>
          <w:rtl/>
        </w:rPr>
        <w:t xml:space="preserve">התיאוריה האקולוגית: יורי ברונפנברנר</w:t>
      </w:r>
      <w:r>
        <w:rPr>
          <w:rFonts w:ascii="David" w:cs="David" w:eastAsia="David" w:hAnsi="David"/>
          <w:i w:val="false"/>
          <w:iCs w:val="false"/>
          <w:sz w:val="24"/>
          <w:szCs w:val="24"/>
          <w:rtl/>
        </w:rPr>
        <w:t xml:space="preserve"> [מצגת הרצאה]. ילד, משפחה וקהילה, הקריה האקדמית אונו.</w:t>
      </w:r>
    </w:p>
    <w:p>
      <w:pPr>
        <w:bidi/>
        <w:spacing w:after="0" w:line="480"/>
        <w:ind w:start="708" w:hanging="708"/>
        <w:jc w:val="start"/>
      </w:pPr>
      <w:r>
        <w:rPr>
          <w:rFonts w:ascii="David" w:cs="David" w:eastAsia="David" w:hAnsi="David"/>
          <w:i w:val="false"/>
          <w:iCs w:val="false"/>
          <w:sz w:val="24"/>
          <w:szCs w:val="24"/>
          <w:rtl/>
        </w:rPr>
        <w:t xml:space="preserve">כורזים-קורושח, י', כ"ץ, ח', וכרמי, א' (2009). </w:t>
      </w:r>
      <w:r>
        <w:rPr>
          <w:rFonts w:ascii="David" w:cs="David" w:eastAsia="David" w:hAnsi="David"/>
          <w:i/>
          <w:iCs/>
          <w:sz w:val="24"/>
          <w:szCs w:val="24"/>
          <w:rtl/>
        </w:rPr>
        <w:t xml:space="preserve">פיתוח קהילתי בין תחומי: מהות, עקרונות ודרכי פעולה</w:t>
      </w:r>
      <w:r>
        <w:rPr>
          <w:rFonts w:ascii="David" w:cs="David" w:eastAsia="David" w:hAnsi="David"/>
          <w:i w:val="false"/>
          <w:iCs w:val="false"/>
          <w:sz w:val="24"/>
          <w:szCs w:val="24"/>
          <w:rtl/>
        </w:rPr>
        <w:t xml:space="preserve">. משרד הרווחה ומרכז ציפורי.</w:t>
      </w:r>
    </w:p>
    <w:p>
      <w:pPr>
        <w:bidi/>
        <w:spacing w:after="0" w:line="480"/>
        <w:ind w:start="708" w:hanging="708"/>
        <w:jc w:val="start"/>
      </w:pPr>
      <w:r>
        <w:rPr>
          <w:rFonts w:ascii="David" w:cs="David" w:eastAsia="David" w:hAnsi="David"/>
          <w:i w:val="false"/>
          <w:iCs w:val="false"/>
          <w:sz w:val="24"/>
          <w:szCs w:val="24"/>
          <w:rtl/>
        </w:rPr>
        <w:t xml:space="preserve">לבוב, א', ואלקיים, ה' (ל.ת.). </w:t>
      </w:r>
      <w:r>
        <w:rPr>
          <w:rFonts w:ascii="David" w:cs="David" w:eastAsia="David" w:hAnsi="David"/>
          <w:i/>
          <w:iCs/>
          <w:sz w:val="24"/>
          <w:szCs w:val="24"/>
          <w:rtl/>
        </w:rPr>
        <w:t xml:space="preserve">הורות מגדלת</w:t>
      </w:r>
      <w:r>
        <w:rPr>
          <w:rFonts w:ascii="David" w:cs="David" w:eastAsia="David" w:hAnsi="David"/>
          <w:i w:val="false"/>
          <w:iCs w:val="false"/>
          <w:sz w:val="24"/>
          <w:szCs w:val="24"/>
          <w:rtl/>
        </w:rPr>
        <w:t xml:space="preserve">. פסיכולוגיה עברית. https://www.hebpsy.net/articles.asp?id=4136</w:t>
      </w:r>
    </w:p>
    <w:p>
      <w:pPr>
        <w:bidi/>
        <w:spacing w:after="0" w:line="480"/>
        <w:ind w:start="708" w:hanging="708"/>
        <w:jc w:val="start"/>
      </w:pPr>
      <w:r>
        <w:rPr>
          <w:rFonts w:ascii="David" w:cs="David" w:eastAsia="David" w:hAnsi="David"/>
          <w:i w:val="false"/>
          <w:iCs w:val="false"/>
          <w:sz w:val="24"/>
          <w:szCs w:val="24"/>
          <w:rtl/>
        </w:rPr>
        <w:t xml:space="preserve">להד, מ', וקפלינסקי, נ' (ל.ת.). הורות בשישה ערוצים: הורים מפתחים חוסן בילדיהם. בתוך א' כהן (עורך), </w:t>
      </w:r>
      <w:r>
        <w:rPr>
          <w:rFonts w:ascii="David" w:cs="David" w:eastAsia="David" w:hAnsi="David"/>
          <w:i/>
          <w:iCs/>
          <w:sz w:val="24"/>
          <w:szCs w:val="24"/>
          <w:rtl/>
        </w:rPr>
        <w:t xml:space="preserve">חוויית ההורות</w:t>
      </w:r>
      <w:r>
        <w:rPr>
          <w:rFonts w:ascii="David" w:cs="David" w:eastAsia="David" w:hAnsi="David"/>
          <w:i w:val="false"/>
          <w:iCs w:val="false"/>
          <w:sz w:val="24"/>
          <w:szCs w:val="24"/>
          <w:rtl/>
        </w:rPr>
        <w:t xml:space="preserve"> (עמ' 191-214).</w:t>
      </w:r>
    </w:p>
    <w:p>
      <w:pPr>
        <w:bidi/>
        <w:spacing w:after="0" w:line="480"/>
        <w:ind w:start="708" w:hanging="708"/>
        <w:jc w:val="start"/>
      </w:pPr>
      <w:r>
        <w:rPr>
          <w:rFonts w:ascii="David" w:cs="David" w:eastAsia="David" w:hAnsi="David"/>
          <w:i w:val="false"/>
          <w:iCs w:val="false"/>
          <w:sz w:val="24"/>
          <w:szCs w:val="24"/>
          <w:rtl/>
        </w:rPr>
        <w:t xml:space="preserve">מילר, ו', ורולניק, ס' (2009). </w:t>
      </w:r>
      <w:r>
        <w:rPr>
          <w:rFonts w:ascii="David" w:cs="David" w:eastAsia="David" w:hAnsi="David"/>
          <w:i/>
          <w:iCs/>
          <w:sz w:val="24"/>
          <w:szCs w:val="24"/>
          <w:rtl/>
        </w:rPr>
        <w:t xml:space="preserve">הגישה המוטיבציונית</w:t>
      </w:r>
      <w:r>
        <w:rPr>
          <w:rFonts w:ascii="David" w:cs="David" w:eastAsia="David" w:hAnsi="David"/>
          <w:i w:val="false"/>
          <w:iCs w:val="false"/>
          <w:sz w:val="24"/>
          <w:szCs w:val="24"/>
          <w:rtl/>
        </w:rPr>
        <w:t xml:space="preserve">. אח.</w:t>
      </w:r>
    </w:p>
    <w:p>
      <w:pPr>
        <w:bidi/>
        <w:spacing w:after="0" w:line="480"/>
        <w:ind w:start="708" w:hanging="708"/>
        <w:jc w:val="start"/>
      </w:pPr>
      <w:r>
        <w:rPr>
          <w:rFonts w:ascii="David" w:cs="David" w:eastAsia="David" w:hAnsi="David"/>
          <w:i w:val="false"/>
          <w:iCs w:val="false"/>
          <w:sz w:val="24"/>
          <w:szCs w:val="24"/>
          <w:rtl/>
        </w:rPr>
        <w:t xml:space="preserve">מכון חרוב. (2018). </w:t>
      </w:r>
      <w:r>
        <w:rPr>
          <w:rFonts w:ascii="David" w:cs="David" w:eastAsia="David" w:hAnsi="David"/>
          <w:i/>
          <w:iCs/>
          <w:sz w:val="24"/>
          <w:szCs w:val="24"/>
          <w:rtl/>
        </w:rPr>
        <w:t xml:space="preserve">מלאכים בחדר הילדים</w:t>
      </w:r>
      <w:r>
        <w:rPr>
          <w:rFonts w:ascii="David" w:cs="David" w:eastAsia="David" w:hAnsi="David"/>
          <w:i w:val="false"/>
          <w:iCs w:val="false"/>
          <w:sz w:val="24"/>
          <w:szCs w:val="24"/>
          <w:rtl/>
        </w:rPr>
        <w:t xml:space="preserve">. https://haruv.org.il/wp-content/uploads/2018/11/%D7%9E%D7%9C%D7%90%D7%9B%D7%99%D7%9D-%D7%91%D7%97%D7%93%D7%A8-%D7%94%D7%99%D7%9C%D7%93%D7%99%D7%9D-1.pdf</w:t>
      </w:r>
    </w:p>
    <w:p>
      <w:pPr>
        <w:bidi/>
        <w:spacing w:after="0" w:line="480"/>
        <w:ind w:start="708" w:hanging="708"/>
        <w:jc w:val="start"/>
      </w:pPr>
      <w:r>
        <w:rPr>
          <w:rFonts w:ascii="David" w:cs="David" w:eastAsia="David" w:hAnsi="David"/>
          <w:i w:val="false"/>
          <w:iCs w:val="false"/>
          <w:sz w:val="24"/>
          <w:szCs w:val="24"/>
          <w:rtl/>
        </w:rPr>
        <w:t xml:space="preserve">משרד החינוך. (ל.ת.). </w:t>
      </w:r>
      <w:r>
        <w:rPr>
          <w:rFonts w:ascii="David" w:cs="David" w:eastAsia="David" w:hAnsi="David"/>
          <w:i/>
          <w:iCs/>
          <w:sz w:val="24"/>
          <w:szCs w:val="24"/>
          <w:rtl/>
        </w:rPr>
        <w:t xml:space="preserve">חוקי ילדים ונוער</w:t>
      </w:r>
      <w:r>
        <w:rPr>
          <w:rFonts w:ascii="David" w:cs="David" w:eastAsia="David" w:hAnsi="David"/>
          <w:i w:val="false"/>
          <w:iCs w:val="false"/>
          <w:sz w:val="24"/>
          <w:szCs w:val="24"/>
          <w:rtl/>
        </w:rPr>
        <w:t xml:space="preserve">. https://meyda.education.gov.il/files/YeledNoarBesikun/youthlaw.pdf</w:t>
      </w:r>
    </w:p>
    <w:p>
      <w:pPr>
        <w:bidi/>
        <w:spacing w:after="0" w:line="480"/>
        <w:ind w:start="708" w:hanging="708"/>
        <w:jc w:val="start"/>
      </w:pPr>
      <w:r>
        <w:rPr>
          <w:rFonts w:ascii="David" w:cs="David" w:eastAsia="David" w:hAnsi="David"/>
          <w:i w:val="false"/>
          <w:iCs w:val="false"/>
          <w:sz w:val="24"/>
          <w:szCs w:val="24"/>
          <w:rtl/>
        </w:rPr>
        <w:t xml:space="preserve">סבו לאל, ר' (2017). </w:t>
      </w:r>
      <w:r>
        <w:rPr>
          <w:rFonts w:ascii="David" w:cs="David" w:eastAsia="David" w:hAnsi="David"/>
          <w:i/>
          <w:iCs/>
          <w:sz w:val="24"/>
          <w:szCs w:val="24"/>
          <w:rtl/>
        </w:rPr>
        <w:t xml:space="preserve">ילדים ובני נוער בסיכון בישראל</w:t>
      </w:r>
      <w:r>
        <w:rPr>
          <w:rFonts w:ascii="David" w:cs="David" w:eastAsia="David" w:hAnsi="David"/>
          <w:i w:val="false"/>
          <w:iCs w:val="false"/>
          <w:sz w:val="24"/>
          <w:szCs w:val="24"/>
          <w:rtl/>
        </w:rPr>
        <w:t xml:space="preserve">. התוכנית הלאומית לילדים ולנוער בסיכון.</w:t>
      </w:r>
    </w:p>
    <w:p>
      <w:pPr>
        <w:bidi/>
        <w:spacing w:after="0" w:line="480"/>
        <w:ind w:start="708" w:hanging="708"/>
        <w:jc w:val="start"/>
      </w:pPr>
      <w:r>
        <w:rPr>
          <w:rFonts w:ascii="David" w:cs="David" w:eastAsia="David" w:hAnsi="David"/>
          <w:i w:val="false"/>
          <w:iCs w:val="false"/>
          <w:sz w:val="24"/>
          <w:szCs w:val="24"/>
          <w:rtl/>
        </w:rPr>
        <w:t xml:space="preserve">סעיד, ח' (2026). </w:t>
      </w:r>
      <w:r>
        <w:rPr>
          <w:rFonts w:ascii="David" w:cs="David" w:eastAsia="David" w:hAnsi="David"/>
          <w:i/>
          <w:iCs/>
          <w:sz w:val="24"/>
          <w:szCs w:val="24"/>
          <w:rtl/>
        </w:rPr>
        <w:t xml:space="preserve">שלא יהיה מאוחר מדי</w:t>
      </w:r>
      <w:r>
        <w:rPr>
          <w:rFonts w:ascii="David" w:cs="David" w:eastAsia="David" w:hAnsi="David"/>
          <w:i w:val="false"/>
          <w:iCs w:val="false"/>
          <w:sz w:val="24"/>
          <w:szCs w:val="24"/>
          <w:rtl/>
        </w:rPr>
        <w:t xml:space="preserve"> [סרטון]. ילד, משפחה וקהילה, הקריה האקדמית אונו.</w:t>
      </w:r>
    </w:p>
    <w:p>
      <w:pPr>
        <w:bidi/>
        <w:spacing w:after="0" w:line="480"/>
        <w:ind w:start="708" w:hanging="708"/>
        <w:jc w:val="start"/>
      </w:pPr>
      <w:r>
        <w:rPr>
          <w:rFonts w:ascii="David" w:cs="David" w:eastAsia="David" w:hAnsi="David"/>
          <w:i w:val="false"/>
          <w:iCs w:val="false"/>
          <w:sz w:val="24"/>
          <w:szCs w:val="24"/>
          <w:rtl/>
        </w:rPr>
        <w:t xml:space="preserve">שמר, א' (2009). מריבוי תרבויות לרב-תרבותיות: אתגרים מקצועיים בעבודה רגישת תרבות עם ילדים והוריהם. </w:t>
      </w:r>
      <w:r>
        <w:rPr>
          <w:rFonts w:ascii="David" w:cs="David" w:eastAsia="David" w:hAnsi="David"/>
          <w:i/>
          <w:iCs/>
          <w:sz w:val="24"/>
          <w:szCs w:val="24"/>
          <w:rtl/>
        </w:rPr>
        <w:t xml:space="preserve">עט השדה, 3</w:t>
      </w:r>
      <w:r>
        <w:rPr>
          <w:rFonts w:ascii="David" w:cs="David" w:eastAsia="David" w:hAnsi="David"/>
          <w:i w:val="false"/>
          <w:iCs w:val="false"/>
          <w:sz w:val="24"/>
          <w:szCs w:val="24"/>
          <w:rtl/>
        </w:rPr>
        <w:t xml:space="preserve">, 4-10.</w:t>
      </w:r>
    </w:p>
    <w:p>
      <w:pPr>
        <w:bidi w:val="false"/>
        <w:spacing w:after="0" w:line="480"/>
        <w:ind w:left="708" w:hanging="708"/>
        <w:jc w:val="left"/>
      </w:pPr>
      <w:r>
        <w:rPr>
          <w:rFonts w:ascii="Times New Roman" w:cs="Times New Roman" w:eastAsia="Times New Roman" w:hAnsi="Times New Roman"/>
          <w:i w:val="false"/>
          <w:iCs w:val="false"/>
          <w:sz w:val="24"/>
          <w:szCs w:val="24"/>
        </w:rPr>
        <w:t xml:space="preserve">Carter, B., &amp; McGoldrick, M. (1989). </w:t>
      </w:r>
      <w:r>
        <w:rPr>
          <w:rFonts w:ascii="Times New Roman" w:cs="Times New Roman" w:eastAsia="Times New Roman" w:hAnsi="Times New Roman"/>
          <w:i/>
          <w:iCs/>
          <w:sz w:val="24"/>
          <w:szCs w:val="24"/>
        </w:rPr>
        <w:t xml:space="preserve">The changing family life cycle: A framework for family therapy</w:t>
      </w:r>
      <w:r>
        <w:rPr>
          <w:rFonts w:ascii="Times New Roman" w:cs="Times New Roman" w:eastAsia="Times New Roman" w:hAnsi="Times New Roman"/>
          <w:i w:val="false"/>
          <w:iCs w:val="false"/>
          <w:sz w:val="24"/>
          <w:szCs w:val="24"/>
        </w:rPr>
        <w:t xml:space="preserve"> (2nd ed.). Allyn &amp; Bacon.</w:t>
      </w:r>
    </w:p>
    <w:p>
      <w:pPr>
        <w:bidi w:val="false"/>
        <w:spacing w:after="0" w:line="480"/>
        <w:ind w:left="708" w:hanging="708"/>
        <w:jc w:val="left"/>
      </w:pPr>
      <w:r>
        <w:rPr>
          <w:rFonts w:ascii="Times New Roman" w:cs="Times New Roman" w:eastAsia="Times New Roman" w:hAnsi="Times New Roman"/>
          <w:i w:val="false"/>
          <w:iCs w:val="false"/>
          <w:sz w:val="24"/>
          <w:szCs w:val="24"/>
        </w:rPr>
        <w:t xml:space="preserve">Emery, R. E. (1999). </w:t>
      </w:r>
      <w:r>
        <w:rPr>
          <w:rFonts w:ascii="Times New Roman" w:cs="Times New Roman" w:eastAsia="Times New Roman" w:hAnsi="Times New Roman"/>
          <w:i/>
          <w:iCs/>
          <w:sz w:val="24"/>
          <w:szCs w:val="24"/>
        </w:rPr>
        <w:t xml:space="preserve">Marriage, divorce, and children's adjustment</w:t>
      </w:r>
      <w:r>
        <w:rPr>
          <w:rFonts w:ascii="Times New Roman" w:cs="Times New Roman" w:eastAsia="Times New Roman" w:hAnsi="Times New Roman"/>
          <w:i w:val="false"/>
          <w:iCs w:val="false"/>
          <w:sz w:val="24"/>
          <w:szCs w:val="24"/>
        </w:rPr>
        <w:t xml:space="preserve"> (2nd ed.). Sage.</w:t>
      </w:r>
    </w:p>
    <w:p>
      <w:pPr>
        <w:bidi w:val="false"/>
        <w:spacing w:after="0" w:line="480"/>
        <w:ind w:left="708" w:hanging="708"/>
        <w:jc w:val="left"/>
      </w:pPr>
      <w:r>
        <w:rPr>
          <w:rFonts w:ascii="Times New Roman" w:cs="Times New Roman" w:eastAsia="Times New Roman" w:hAnsi="Times New Roman"/>
          <w:i w:val="false"/>
          <w:iCs w:val="false"/>
          <w:sz w:val="24"/>
          <w:szCs w:val="24"/>
        </w:rPr>
        <w:t xml:space="preserve">Fraiberg, S., Adelson, E., &amp; Shapiro, V. (1975). Ghosts in the nursery: A psychoanalytic approach to the problems of impaired infant-mother relationships. </w:t>
      </w:r>
      <w:r>
        <w:rPr>
          <w:rFonts w:ascii="Times New Roman" w:cs="Times New Roman" w:eastAsia="Times New Roman" w:hAnsi="Times New Roman"/>
          <w:i/>
          <w:iCs/>
          <w:sz w:val="24"/>
          <w:szCs w:val="24"/>
        </w:rPr>
        <w:t xml:space="preserve">Journal of the American Academy of Child Psychiatry, 14</w:t>
      </w:r>
      <w:r>
        <w:rPr>
          <w:rFonts w:ascii="Times New Roman" w:cs="Times New Roman" w:eastAsia="Times New Roman" w:hAnsi="Times New Roman"/>
          <w:i w:val="false"/>
          <w:iCs w:val="false"/>
          <w:sz w:val="24"/>
          <w:szCs w:val="24"/>
        </w:rPr>
        <w:t xml:space="preserve">(3), 387-421.</w:t>
      </w:r>
    </w:p>
    <w:p>
      <w:pPr>
        <w:bidi w:val="false"/>
        <w:spacing w:after="0" w:line="480"/>
        <w:ind w:left="708" w:hanging="708"/>
        <w:jc w:val="left"/>
      </w:pPr>
      <w:r>
        <w:rPr>
          <w:rFonts w:ascii="Times New Roman" w:cs="Times New Roman" w:eastAsia="Times New Roman" w:hAnsi="Times New Roman"/>
          <w:i w:val="false"/>
          <w:iCs w:val="false"/>
          <w:sz w:val="24"/>
          <w:szCs w:val="24"/>
        </w:rPr>
        <w:t xml:space="preserve">The Bowen Center for the Study of the Family. (n.d.). </w:t>
      </w:r>
      <w:r>
        <w:rPr>
          <w:rFonts w:ascii="Times New Roman" w:cs="Times New Roman" w:eastAsia="Times New Roman" w:hAnsi="Times New Roman"/>
          <w:i/>
          <w:iCs/>
          <w:sz w:val="24"/>
          <w:szCs w:val="24"/>
        </w:rPr>
        <w:t xml:space="preserve">Multigenerational transmission process</w:t>
      </w:r>
      <w:r>
        <w:rPr>
          <w:rFonts w:ascii="Times New Roman" w:cs="Times New Roman" w:eastAsia="Times New Roman" w:hAnsi="Times New Roman"/>
          <w:i w:val="false"/>
          <w:iCs w:val="false"/>
          <w:sz w:val="24"/>
          <w:szCs w:val="24"/>
        </w:rPr>
        <w:t xml:space="preserve">. https://www.thebowencenter.org/multigenerational-transmission-process</w:t>
      </w:r>
    </w:p>
    <w:p>
      <w:pPr>
        <w:bidi w:val="false"/>
        <w:spacing w:after="0" w:line="480"/>
        <w:ind w:left="708" w:hanging="708"/>
        <w:jc w:val="left"/>
      </w:pPr>
      <w:r>
        <w:rPr>
          <w:rFonts w:ascii="Times New Roman" w:cs="Times New Roman" w:eastAsia="Times New Roman" w:hAnsi="Times New Roman"/>
          <w:i w:val="false"/>
          <w:iCs w:val="false"/>
          <w:sz w:val="24"/>
          <w:szCs w:val="24"/>
        </w:rPr>
        <w:t xml:space="preserve">Walsh, F. (Ed.). (1993). </w:t>
      </w:r>
      <w:r>
        <w:rPr>
          <w:rFonts w:ascii="Times New Roman" w:cs="Times New Roman" w:eastAsia="Times New Roman" w:hAnsi="Times New Roman"/>
          <w:i/>
          <w:iCs/>
          <w:sz w:val="24"/>
          <w:szCs w:val="24"/>
        </w:rPr>
        <w:t xml:space="preserve">Normal family processes</w:t>
      </w:r>
      <w:r>
        <w:rPr>
          <w:rFonts w:ascii="Times New Roman" w:cs="Times New Roman" w:eastAsia="Times New Roman" w:hAnsi="Times New Roman"/>
          <w:i w:val="false"/>
          <w:iCs w:val="false"/>
          <w:sz w:val="24"/>
          <w:szCs w:val="24"/>
        </w:rPr>
        <w:t xml:space="preserve"> (2nd ed.). Guilford Press.</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26"/>
      <w:szCs w:val="26"/>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d07874049be16710f86d66a94f6c5373126a1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2026-07-30T12:44:04.153Z</dcterms:created>
  <dcterms:modified xsi:type="dcterms:W3CDTF">2026-07-30T12:44:04.153Z</dcterms:modified>
</cp:coreProperties>
</file>

<file path=docProps/custom.xml><?xml version="1.0" encoding="utf-8"?>
<Properties xmlns="http://schemas.openxmlformats.org/officeDocument/2006/custom-properties" xmlns:vt="http://schemas.openxmlformats.org/officeDocument/2006/docPropsVTypes"/>
</file>