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ותק באגף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pPr>
        <w:bidi/>
        <w:spacing w:after="120" w:line="360"/>
        <w:jc w:val="center"/>
      </w:pPr>
      <w:r>
        <w:rPr>
          <w:rFonts w:ascii="David" w:cs="David" w:eastAsia="David" w:hAnsi="David"/>
          <w:sz w:val="24"/>
          <w:szCs w:val="24"/>
          <w:rtl/>
        </w:rPr>
        <w:t xml:space="preserve">מרצה: ד"ר יוחנן ועקנין</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ageBreakBefore/>
        <w:bidi/>
        <w:spacing w:after="24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שתי שאלות קשורות: באיזו מידה קיים קשר בין רווחה נפשית לבין תפיסת הלגיטימיות של סגל הכליאה בקרב אסירים שפוטים בישראל, ובאיזו מידה הלגיטימיות קשורה לוותק באגף.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והרווחה הנפשית הסבירה כעשרה אחוזים מהשונות בלגיטימיות גם בפיקוח על גיל ולאום. לא נמצא קשר עקבי בין ותק באגף ללגיטימיות.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two related questions: to what extent is mental well-being associated with the perceived legitimacy of prison staff among sentenced prisoners in Israel, and to what extent is legitimacy associated with time spent in the wing.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and well-being explained about ten percent of the variance in legitimacy after controlling for age and nationality. No consistent relationship was found between time in the wing and legitimacy.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לצדו נבחנת שאלה משנית, האם הלגיטימיות משתנה עם הוותק באגף.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ואת הקשר בין ותק באגף ללגיטימיות. הלגיטימיות היא המשתנה התלוי. הרווחה הנפשית והוותק באגף הם המשתנים הבלתי תלויים, ולצדם משתני רקע: גיל, לאום ומספר מאסרים. העבודה פותחת בסקירת ספרות בשני חלקים, הסתגלות למאסר ורווחה נפשית מצד אחד ולגיטימיות של סגל הכליאה מצד שני, ומסתיימת בשאלות המחקר ובהשערות. לאחר מכן מוצגים פרק השיטה, פרק הממצאים והדיון, ובסופם מגבלות המחקר, סיכום, גילוי נאות ורשימת המקורות. הפלטים הסטטיסטיים מובאים בנספח.</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סף אמפירי: בבתי סוהר שבהם ציון היחסים בין סגל לאסירים נמוך מ</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שיעורי האלימות, הפגיעה העצמית והמוות נמצאו גבוהים באופן מובהק. בהולנד מצאו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באמצעות סקר "החיים במשמורת" שממנו נגזר גם השאלון הישראלי, שממדי האקלים של בית הסוהר, ובראשם היחסים עם הסגל, קשורים לרווחתם הנפשית של האסירים.</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הראו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שצדק פרוצדורלי קשור לרווחה נפשית גבוהה יותר לאורך זמן, ושהקשר עובר בחלקו דרך איכות היחסים עם הסגל, ואילו תחושת הביטחון בבית הסוהר לא ניבאה רווחה לאורך זמן.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ולא את הקשר לוותק באגף. לאור המחקרים שהוזכרו, שאלת המחקר המרכזית של העבודה הנוכחית היא באיזו מידה קיים קשר בין רווחה נפשית לבין תפיסת הלגיטימיות של סגל הכליאה בקרב אסירים שפוטים, ולצדה נבחן הקשר בין ותק באגף ללגיטימיות.</w:t>
      </w:r>
    </w:p>
    <w:p>
      <w:pPr>
        <w:pStyle w:val="Heading1"/>
        <w:pageBreakBefore/>
        <w:bidi/>
        <w:spacing w:after="240" w:before="0" w:line="360"/>
        <w:jc w:val="right"/>
      </w:pPr>
      <w:r>
        <w:rPr>
          <w:rFonts w:ascii="David" w:cs="David" w:eastAsia="David" w:hAnsi="David"/>
          <w:b/>
          <w:bCs/>
          <w:sz w:val="32"/>
          <w:szCs w:val="32"/>
          <w:rtl/>
        </w:rPr>
        <w:t xml:space="preserve">שאלות המחקר והשערות</w:t>
      </w:r>
    </w:p>
    <w:p>
      <w:pPr>
        <w:bidi/>
        <w:spacing w:after="120" w:line="360"/>
        <w:jc w:val="both"/>
      </w:pPr>
      <w:r>
        <w:rPr>
          <w:rFonts w:ascii="David" w:cs="David" w:eastAsia="David" w:hAnsi="David"/>
          <w:sz w:val="24"/>
          <w:szCs w:val="24"/>
          <w:rtl/>
        </w:rPr>
        <w:t xml:space="preserve">שאלת המחקר הראשונה: באיזו מידה קיים קשר בין רווחה נפשית לבין תפיסת הלגיטימיות של סגל הכליאה בקרב אסירים שפוטים?</w:t>
      </w:r>
    </w:p>
    <w:p>
      <w:pPr>
        <w:bidi/>
        <w:spacing w:after="120" w:line="360"/>
        <w:jc w:val="both"/>
      </w:pPr>
      <w:r>
        <w:rPr>
          <w:rFonts w:ascii="David" w:cs="David" w:eastAsia="David" w:hAnsi="David"/>
          <w:sz w:val="24"/>
          <w:szCs w:val="24"/>
          <w:rtl/>
        </w:rPr>
        <w:t xml:space="preserve">שאלת המחקר השנייה: באיזו מידה קיים קשר בין ותק באגף לבין תפיסת הלגיטימיות של סגל הכליאה בקרב אסירים שפוטים?</w:t>
      </w:r>
    </w:p>
    <w:p>
      <w:pPr>
        <w:bidi/>
        <w:spacing w:after="120" w:line="360"/>
        <w:jc w:val="both"/>
      </w:pPr>
      <w:r>
        <w:rPr>
          <w:rFonts w:ascii="David" w:cs="David" w:eastAsia="David" w:hAnsi="David"/>
          <w:sz w:val="24"/>
          <w:szCs w:val="24"/>
          <w:rtl/>
        </w:rPr>
        <w:t xml:space="preserve">משתנה תלוי: תפיסת הלגיטימיות של סגל הכליאה. משתנים בלתי תלויים: רווחה נפשית וותק באגף. משתני רקע: גיל, לאום (יהודים ולא יהודים) ומספר מאסרים.</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יימצא קשר חיובי מובהק בין רווחה נפשית לבין תפיסת הלגיטימיות של הסגל, כך שככל שהרווחה הנפשית גבוהה יותר, הלגיטימיות המיוחסת לסגל גבוהה יותר.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הרווחה הנפשית תתרום תרומה מובהקת להסבר השונות בלגיטימיות גם לאחר פיקוח על גיל ולאום. ההשערה נשענת על השונות בלגיטימיות לפי מאפייני האסיר שדווחה אצל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תפיסת הלגיטימיות תהיה נמוכה יותר ככל שהוותק באגף ארוך יותר. ההשערה נשענת על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השהות בבית סוהר רגיל פוגעת בלגיטימיות לאורך זמן.</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שפותח ונבדק בבתי הסוהר בהולנד וכולל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w:t>
      </w:r>
      <w:r>
        <w:rPr>
          <w:rFonts w:ascii="Times New Roman" w:cs="Times New Roman" w:eastAsia="Times New Roman" w:hAnsi="Times New Roman"/>
          <w:sz w:val="24"/>
          <w:szCs w:val="24"/>
        </w:rPr>
        <w:t xml:space="preserve">-21</w:t>
      </w:r>
      <w:r>
        <w:rPr>
          <w:rFonts w:ascii="David" w:cs="David" w:eastAsia="David" w:hAnsi="David"/>
          <w:sz w:val="24"/>
          <w:szCs w:val="24"/>
          <w:rtl/>
        </w:rPr>
        <w:t xml:space="preserve"> נושאים, עם מהימנויות של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0.90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ותק באגף נמדד בארבע קטגוריות (פחות משבוע, שבוע עד חודש, חודש עד שלושה חודשים, מעל שלושה חודשים) ובקידוד בינארי נגזר (עד חודש לעומת יותר מחודש). לאום קודד לשתי קטגוריות (יהודים ולא יהודים), מספר המאסרים כשפוט לשלוש קטגוריות (מאסר ראשון, שני, שלישי ומעלה), והגיל בשנים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בשלב הרביעי נערכה רגרסיה ליניארית היררכית שבה הלגיטימיות שימשה משתנה תלוי: בצעד הראשון הוזנה הרווחה הנפשית, בצעד השני הגיל והלאום, ובצעד השלישי מספר המאסרים והוותק באגף. בשלב החמישי נבחן הקשר בין ותק באגף ללגיטימיות באמצעות ניתוח שונות חד-כיווני על פני ארבע קטגוריות הוותק, מתאם ספירמן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המתאמים, הרגרסיה, ולבסוף הקשר לוותק באגף.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ורגרסיה ליניארית עדיין תקפים, אך כדי להיות בטוחות חושב לצד מתאם פירסון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ההולנדי שלפיו יחסי הסגל הם ממד האקלים הקשור ביותר לרווחה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ההשערה הראשונה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פער בגודל כזה בין קבוצות שנבדלות רק בתפיסת הסגל דומה בעוצמתו לפער שמצאו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בין בתי סוהר שמעל ומתחת לסף היחסים שזיהו.</w:t>
      </w:r>
    </w:p>
    <w:p>
      <w:pPr>
        <w:pStyle w:val="Heading2"/>
        <w:keepNext/>
        <w:bidi/>
        <w:spacing w:after="120" w:before="240" w:line="360"/>
        <w:jc w:val="right"/>
      </w:pPr>
      <w:r>
        <w:rPr>
          <w:rFonts w:ascii="David" w:cs="David" w:eastAsia="David" w:hAnsi="David"/>
          <w:b/>
          <w:bCs/>
          <w:sz w:val="28"/>
          <w:szCs w:val="28"/>
          <w:rtl/>
        </w:rPr>
        <w:t xml:space="preserve">ניתוח רגרסיה</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נערכה רגרסיה ליניארית היררכית שבה הלגיטימיות שימשה משתנה תלוי. בצעד הראשון הוזנה הרווחה הנפשית, בצעד השני הגיל והלאום (יהודי =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ובצעד השלישי מספר המאסרים והוותק באגף (יותר מחודש =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לוח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8</w:t>
      </w:r>
      <w:r>
        <w:rPr>
          <w:rFonts w:ascii="David" w:cs="David" w:eastAsia="David" w:hAnsi="David"/>
          <w:b/>
          <w:bCs/>
          <w:sz w:val="24"/>
          <w:szCs w:val="24"/>
          <w:rtl/>
        </w:rPr>
        <w:t xml:space="preserve">: רגרסיה ליניארית היררכית לניבוי לגיטימיות הסגל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900"/>
        <w:gridCol w:w="900"/>
        <w:gridCol w:w="900"/>
        <w:gridCol w:w="1000"/>
        <w:gridCol w:w="14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צעד ומנבא</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SE</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β</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1</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0.102, F(1, 2342) = 266.0,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2</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0.112, ΔR² = 0.010, F(3, 2340) = 98.4,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גיל (שנים)</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 (יהודי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0.905</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3</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0.114, ΔR² = 0.002, F(5, 2338) = 60.4,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גיל (שנים)</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 (יהודי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0.912</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0.297</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 (מעל חודש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0.023</w:t>
            </w:r>
          </w:p>
        </w:tc>
      </w:tr>
    </w:tbl>
    <w:p>
      <w:pPr>
        <w:bidi/>
        <w:spacing w:after="200" w:before="60" w:line="276"/>
        <w:jc w:val="right"/>
      </w:pPr>
      <w:r>
        <w:rPr>
          <w:rFonts w:ascii="David" w:cs="David" w:eastAsia="David" w:hAnsi="David"/>
          <w:sz w:val="20"/>
          <w:szCs w:val="20"/>
          <w:rtl/>
        </w:rPr>
        <w:t xml:space="preserve">מקור: פלט </w:t>
      </w:r>
      <w:r>
        <w:rPr>
          <w:rFonts w:ascii="Times New Roman" w:cs="Times New Roman" w:eastAsia="Times New Roman" w:hAnsi="Times New Roman"/>
          <w:sz w:val="20"/>
          <w:szCs w:val="20"/>
        </w:rPr>
        <w:t xml:space="preserve">Regression</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ניתן ללמוד כי הרווחה הנפשית לבדה מסבירה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אחוזים מהשונות בלגיטימיות, והמודל מובהק. הוספת הגיל והלאום מעלה את ההסבר ל</w:t>
      </w:r>
      <w:r>
        <w:rPr>
          <w:rFonts w:ascii="Times New Roman" w:cs="Times New Roman" w:eastAsia="Times New Roman" w:hAnsi="Times New Roman"/>
          <w:sz w:val="24"/>
          <w:szCs w:val="24"/>
        </w:rPr>
        <w:t xml:space="preserve">-11.2</w:t>
      </w:r>
      <w:r>
        <w:rPr>
          <w:rFonts w:ascii="David" w:cs="David" w:eastAsia="David" w:hAnsi="David"/>
          <w:sz w:val="24"/>
          <w:szCs w:val="24"/>
          <w:rtl/>
        </w:rPr>
        <w:t xml:space="preserve"> אחוזים בלבד, ותרומת הרווחה הנפשית אינה נחלשת אלא מתחזקת מעט (β = </w:t>
      </w:r>
      <w:r>
        <w:rPr>
          <w:rFonts w:ascii="Times New Roman" w:cs="Times New Roman" w:eastAsia="Times New Roman" w:hAnsi="Times New Roman"/>
          <w:sz w:val="24"/>
          <w:szCs w:val="24"/>
        </w:rPr>
        <w:t xml:space="preserve">0.33</w:t>
      </w:r>
      <w:r>
        <w:rPr>
          <w:rFonts w:ascii="David" w:cs="David" w:eastAsia="David" w:hAnsi="David"/>
          <w:sz w:val="24"/>
          <w:szCs w:val="24"/>
          <w:rtl/>
        </w:rPr>
        <w:t xml:space="preserve">). הגיל תורם תרומה קטנה ומובהקת: שפוטים מבוגרים יותר מייחסים לסגל לגיטימיות גבוהה מעט יותר. הלאום אינו קשור ללגיטימיות, בדומה לממצא בסקר המקורי, שבו לא נמצא הבדל מובהק בלגיטימיות בין יהודים ללא יהודים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בצעד השלישי מספר המאסרים אינו תורם, והוותק באגף תורם תרומה זעירה ומובהקת בגבול: שפוטים השוהים באגף יותר מחודש מייחסים לסגל לגיטימיות נמוכה בכ</w:t>
      </w:r>
      <w:r>
        <w:rPr>
          <w:rFonts w:ascii="Times New Roman" w:cs="Times New Roman" w:eastAsia="Times New Roman" w:hAnsi="Times New Roman"/>
          <w:sz w:val="24"/>
          <w:szCs w:val="24"/>
        </w:rPr>
        <w:t xml:space="preserve">-0.12</w:t>
      </w:r>
      <w:r>
        <w:rPr>
          <w:rFonts w:ascii="David" w:cs="David" w:eastAsia="David" w:hAnsi="David"/>
          <w:sz w:val="24"/>
          <w:szCs w:val="24"/>
          <w:rtl/>
        </w:rPr>
        <w:t xml:space="preserve"> נקודות, אך המשתנה מוסיף </w:t>
      </w:r>
      <w:r>
        <w:rPr>
          <w:rFonts w:ascii="Times New Roman" w:cs="Times New Roman" w:eastAsia="Times New Roman" w:hAnsi="Times New Roman"/>
          <w:sz w:val="24"/>
          <w:szCs w:val="24"/>
        </w:rPr>
        <w:t xml:space="preserve">0.2</w:t>
      </w:r>
      <w:r>
        <w:rPr>
          <w:rFonts w:ascii="David" w:cs="David" w:eastAsia="David" w:hAnsi="David"/>
          <w:sz w:val="24"/>
          <w:szCs w:val="24"/>
          <w:rtl/>
        </w:rPr>
        <w:t xml:space="preserve"> אחוזים בלבד להסבר השונות. ההשערה השנייה אוששה: הרווחה הנפשית היא המנבא החזק ביותר במודל, ותרומתה נשמרת בפיקוח על כל משתני הרקע. עשרה אחוזים של שונות מוסברת הם ערך בינוני, הדומה לגודל האפקטים שמצאו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למאפייני האסיר, ונמוך מה</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שהסביר המודל בסקר המקורי, שבו המשתנה המנובא היה שביעות רצון מפעילויות שיקום ולא לגיטימיות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הקשר בין ותק באגף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נערך ניתוח שונות חד-כיווני של הלגיטימיות והרווחה הנפשית לפי ארבע קטגוריות הוותק באגף, וכן מתאם ספירמן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לוח </w:t>
      </w:r>
      <w:r>
        <w:rPr>
          <w:rFonts w:ascii="Times New Roman" w:cs="Times New Roman" w:eastAsia="Times New Roman" w:hAnsi="Times New Roman"/>
          <w:sz w:val="24"/>
          <w:szCs w:val="24"/>
        </w:rPr>
        <w:t xml:space="preserve">9</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9</w:t>
      </w:r>
      <w:r>
        <w:rPr>
          <w:rFonts w:ascii="David" w:cs="David" w:eastAsia="David" w:hAnsi="David"/>
          <w:b/>
          <w:bCs/>
          <w:sz w:val="24"/>
          <w:szCs w:val="24"/>
          <w:rtl/>
        </w:rPr>
        <w:t xml:space="preserve">: לגיטימיות ורווחה נפשית לפי ותק באגף (שפוטים)</w:t>
      </w:r>
    </w:p>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900"/>
        <w:gridCol w:w="1000"/>
        <w:gridCol w:w="2300"/>
        <w:gridCol w:w="2300"/>
      </w:tblGrid>
      <w:tr>
        <w:trPr>
          <w:cantSplit/>
          <w:tblHeader/>
        </w:trPr>
        <w:tc>
          <w:tcPr>
            <w:tcW w:type="dxa" w:w="2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ותק באגף</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2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w:t>
            </w:r>
            <w:r>
              <w:rPr>
                <w:rFonts w:ascii="Times New Roman" w:cs="Times New Roman" w:eastAsia="Times New Roman" w:hAnsi="Times New Roman"/>
                <w:b/>
                <w:bCs/>
                <w:sz w:val="22"/>
                <w:szCs w:val="22"/>
              </w:rPr>
              <w:t xml:space="preserve">M (SD)</w:t>
            </w:r>
          </w:p>
        </w:tc>
        <w:tc>
          <w:tcPr>
            <w:tcW w:type="dxa" w:w="2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 </w:t>
            </w:r>
            <w:r>
              <w:rPr>
                <w:rFonts w:ascii="Times New Roman" w:cs="Times New Roman" w:eastAsia="Times New Roman" w:hAnsi="Times New Roman"/>
                <w:b/>
                <w:bCs/>
                <w:sz w:val="22"/>
                <w:szCs w:val="22"/>
              </w:rPr>
              <w:t xml:space="preserve">M (SD)</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פחות משבוע</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4.10 (0.86)</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3.80 (0.77)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שבוע עד חודש</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209</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4.39 (0.75)</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3.82 (0.90)</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חודש עד שלושה חודשים</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473</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4.19 (0.84)</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3.81 (0.87)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מעל שלושה חודשים</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1,612</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 (0.83)</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3.76 (0.87)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(3, 2340)</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3.20, p = 0.022</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 p = 0.657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ספירמן </w:t>
            </w:r>
            <w:r>
              <w:rPr>
                <w:rFonts w:ascii="Times New Roman" w:cs="Times New Roman" w:eastAsia="Times New Roman" w:hAnsi="Times New Roman"/>
                <w:b w:val="false"/>
                <w:bCs w:val="false"/>
                <w:sz w:val="22"/>
                <w:szCs w:val="22"/>
              </w:rPr>
              <w:t xml:space="preserve">rs</w:t>
            </w:r>
            <w:r>
              <w:rPr>
                <w:rFonts w:ascii="David" w:cs="David" w:eastAsia="David" w:hAnsi="David"/>
                <w:b w:val="false"/>
                <w:bCs w:val="false"/>
                <w:sz w:val="22"/>
                <w:szCs w:val="22"/>
                <w:rtl/>
              </w:rPr>
              <w:t xml:space="preserve"> עם הוותק</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-0.003, p = 0.899</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-0.028, p = 0.169</w:t>
            </w:r>
          </w:p>
        </w:tc>
      </w:tr>
    </w:tbl>
    <w:p>
      <w:pPr>
        <w:bidi/>
        <w:spacing w:after="200" w:before="60" w:line="276"/>
        <w:jc w:val="right"/>
      </w:pPr>
      <w:r>
        <w:rPr>
          <w:rFonts w:ascii="David" w:cs="David" w:eastAsia="David" w:hAnsi="David"/>
          <w:sz w:val="20"/>
          <w:szCs w:val="20"/>
          <w:rtl/>
        </w:rPr>
        <w:t xml:space="preserve">הערה. מספרי הנבדקים בעמודת הלגיטימיות קטנים מעט בשל ערכים חסרים. מבחן </w:t>
      </w:r>
      <w:r>
        <w:rPr>
          <w:rFonts w:ascii="Times New Roman" w:cs="Times New Roman" w:eastAsia="Times New Roman" w:hAnsi="Times New Roman"/>
          <w:sz w:val="20"/>
          <w:szCs w:val="20"/>
        </w:rPr>
        <w:t xml:space="preserve">t</w:t>
      </w:r>
      <w:r>
        <w:rPr>
          <w:rFonts w:ascii="David" w:cs="David" w:eastAsia="David" w:hAnsi="David"/>
          <w:sz w:val="20"/>
          <w:szCs w:val="20"/>
          <w:rtl/>
        </w:rPr>
        <w:t xml:space="preserve"> לקידוד הבינארי (עד חודש לעומת יותר מחודש). לגיטימיות: </w:t>
      </w:r>
      <w:r>
        <w:rPr>
          <w:rFonts w:ascii="Times New Roman" w:cs="Times New Roman" w:eastAsia="Times New Roman" w:hAnsi="Times New Roman"/>
          <w:sz w:val="20"/>
          <w:szCs w:val="20"/>
        </w:rPr>
        <w:t xml:space="preserve">M = 4.33</w:t>
      </w:r>
      <w:r>
        <w:rPr>
          <w:rFonts w:ascii="David" w:cs="David" w:eastAsia="David" w:hAnsi="David"/>
          <w:sz w:val="20"/>
          <w:szCs w:val="20"/>
          <w:rtl/>
        </w:rPr>
        <w:t xml:space="preserve"> לעומת </w:t>
      </w:r>
      <w:r>
        <w:rPr>
          <w:rFonts w:ascii="Times New Roman" w:cs="Times New Roman" w:eastAsia="Times New Roman" w:hAnsi="Times New Roman"/>
          <w:sz w:val="20"/>
          <w:szCs w:val="20"/>
        </w:rPr>
        <w:t xml:space="preserve">M = 4.23, t(336) = 1.97, p = 0.050</w:t>
      </w:r>
      <w:r>
        <w:rPr>
          <w:rFonts w:ascii="David" w:cs="David" w:eastAsia="David" w:hAnsi="David"/>
          <w:sz w:val="20"/>
          <w:szCs w:val="20"/>
          <w:rtl/>
        </w:rPr>
        <w:t xml:space="preserve">. רווחה נפשית: </w:t>
      </w:r>
      <w:r>
        <w:rPr>
          <w:rFonts w:ascii="Times New Roman" w:cs="Times New Roman" w:eastAsia="Times New Roman" w:hAnsi="Times New Roman"/>
          <w:sz w:val="20"/>
          <w:szCs w:val="20"/>
        </w:rPr>
        <w:t xml:space="preserve">M = 3.82</w:t>
      </w:r>
      <w:r>
        <w:rPr>
          <w:rFonts w:ascii="David" w:cs="David" w:eastAsia="David" w:hAnsi="David"/>
          <w:sz w:val="20"/>
          <w:szCs w:val="20"/>
          <w:rtl/>
        </w:rPr>
        <w:t xml:space="preserve"> לעומת </w:t>
      </w:r>
      <w:r>
        <w:rPr>
          <w:rFonts w:ascii="Times New Roman" w:cs="Times New Roman" w:eastAsia="Times New Roman" w:hAnsi="Times New Roman"/>
          <w:sz w:val="20"/>
          <w:szCs w:val="20"/>
        </w:rPr>
        <w:t xml:space="preserve">M = 3.78, t(350) = 0.74, p = 0.462</w:t>
      </w:r>
      <w:r>
        <w:rPr>
          <w:rFonts w:ascii="David" w:cs="David" w:eastAsia="David" w:hAnsi="David"/>
          <w:sz w:val="20"/>
          <w:szCs w:val="20"/>
          <w:rtl/>
        </w:rPr>
        <w:t xml:space="preserve">.</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9</w:t>
      </w:r>
      <w:r>
        <w:rPr>
          <w:rFonts w:ascii="David" w:cs="David" w:eastAsia="David" w:hAnsi="David"/>
          <w:sz w:val="24"/>
          <w:szCs w:val="24"/>
          <w:rtl/>
        </w:rPr>
        <w:t xml:space="preserve"> עולה תמונה לא אחידה. ניתוח השונות של הלגיטימיות מובהק, אך ההבדלים בין הקבוצות קטנים ואינם מסודרים בכיוון אחד: הלגיטימיות נמוכה ביותר בשבוע הראשון (</w:t>
      </w:r>
      <w:r>
        <w:rPr>
          <w:rFonts w:ascii="Times New Roman" w:cs="Times New Roman" w:eastAsia="Times New Roman" w:hAnsi="Times New Roman"/>
          <w:sz w:val="24"/>
          <w:szCs w:val="24"/>
        </w:rPr>
        <w:t xml:space="preserve">4.10</w:t>
      </w:r>
      <w:r>
        <w:rPr>
          <w:rFonts w:ascii="David" w:cs="David" w:eastAsia="David" w:hAnsi="David"/>
          <w:sz w:val="24"/>
          <w:szCs w:val="24"/>
          <w:rtl/>
        </w:rPr>
        <w:t xml:space="preserve">), עולה לשיא בין שבוע לחודש (</w:t>
      </w:r>
      <w:r>
        <w:rPr>
          <w:rFonts w:ascii="Times New Roman" w:cs="Times New Roman" w:eastAsia="Times New Roman" w:hAnsi="Times New Roman"/>
          <w:sz w:val="24"/>
          <w:szCs w:val="24"/>
        </w:rPr>
        <w:t xml:space="preserve">4.39</w:t>
      </w:r>
      <w:r>
        <w:rPr>
          <w:rFonts w:ascii="David" w:cs="David" w:eastAsia="David" w:hAnsi="David"/>
          <w:sz w:val="24"/>
          <w:szCs w:val="24"/>
          <w:rtl/>
        </w:rPr>
        <w:t xml:space="preserve">), יורדת בין חודש לשלושה חודשים (</w:t>
      </w:r>
      <w:r>
        <w:rPr>
          <w:rFonts w:ascii="Times New Roman" w:cs="Times New Roman" w:eastAsia="Times New Roman" w:hAnsi="Times New Roman"/>
          <w:sz w:val="24"/>
          <w:szCs w:val="24"/>
        </w:rPr>
        <w:t xml:space="preserve">4.19</w:t>
      </w:r>
      <w:r>
        <w:rPr>
          <w:rFonts w:ascii="David" w:cs="David" w:eastAsia="David" w:hAnsi="David"/>
          <w:sz w:val="24"/>
          <w:szCs w:val="24"/>
          <w:rtl/>
        </w:rPr>
        <w:t xml:space="preserve">) ומתייצבת לאחר מכן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מתאם ספירמן בין הוותק ללגיטימיות אפסי,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מובהק בגבול בלבד. הרווחה הנפשית אינה נבדלת כלל לפי ותק. ההשערה השלישית לא אוששה: אין ירידה עקבית בלגיטימיות עם הוותק באגף, אלא תנודה קטנה בחודש הראשון ויציבות אחריו. דפוס זה מתיישב עם ממצאי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שלפיהם השבועות הראשונים הם תקופת המעבר הקשה, ואילו לאחריה מתייצבת ההסתגלות. הוא אינו מתיישב עם הירידה ההדרגתית בלגיטימיות שתיארו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אולי משום שמערך החתך משווה אסירים שונים ולא עוקב אחר אותם אסירים, ומשום שמי ששוהה באגף זמן רב הוא גם מי שהסתגל אליו והורשה להישאר בו.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ובאיזו מידה הלגיטימיות קשורה לוותק באגף.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שלושה ממצאים עיקריים עלו. ראשית, נמצא קשר חיובי מובהק בעוצמה בינונית בין רווחה נפשית ללגיטימיות, שנשמר בפיקוח על גיל, לאום, מספר מאסרים וותק. שנית, הרווחה הנפשית מסבירה כעשרה אחוזים מהשונות בלגיטימיות, והגיל מוסיף תרומה קטנה. שלישית, הוותק באגף אינו קשור ללגיטימיות באופן עקבי.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הממצא שיחסי אמון עם הסגל הם המרכיב שמלווה את האסיר גם אחרי השחרור </w:t>
      </w:r>
      <w:r>
        <w:rPr>
          <w:rFonts w:ascii="Times New Roman" w:cs="Times New Roman" w:eastAsia="Times New Roman" w:hAnsi="Times New Roman"/>
          <w:sz w:val="24"/>
          <w:szCs w:val="24"/>
        </w:rPr>
        <w:t xml:space="preserve">(Horowitz &amp; Hyatt,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מסבירה עשרה אחוזים מהשונות בלגיטימיות,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למודל.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גיל, לאום ומספר מאסרים</w:t>
      </w:r>
    </w:p>
    <w:p>
      <w:pPr>
        <w:bidi/>
        <w:spacing w:after="120" w:line="360"/>
        <w:ind w:firstLine="567"/>
        <w:jc w:val="both"/>
      </w:pPr>
      <w:r>
        <w:rPr>
          <w:rFonts w:ascii="David" w:cs="David" w:eastAsia="David" w:hAnsi="David"/>
          <w:sz w:val="24"/>
          <w:szCs w:val="24"/>
          <w:rtl/>
        </w:rPr>
        <w:t xml:space="preserve">הגיל נמצא קשור ללגיטימיות בכיוון חיובי ולרווחה בכיוון שלילי: שפוטים מבוגרים יותר מייחסים לסגל לגיטימיות גבוהה מעט יותר, אך מדווחים על רווחה נפשית נמוכה יותר. שני הממצאים מתיישבים עם הספרות. בסקר המקורי כשליש מהמשתתפים היו מעל גיל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והזדקנות אוכלוסיית האסירים מעלה את חשיבות שאלות הבריאות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מצאו שאסירים צעירים נוטים יותר לראות בציות עניין אינסטרומנטלי, ואילו המבוגרים מפתחים יחס פרגמטי יותר לסגל. חוסר ההבדל בין יהודים ללא יהודים חוזר על הממצא בסקר המקורי, שבו לא נמצא הבדל מובהק בלגיטימיות, בבריאות ובטיפול הרפואי בין שתי הקבוצות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מספר המאסרים לא נמצא קשור ללגיטימיות, ומכאן שהתמונה שלפיה אסירים חוזרים מפתחים ציניות כלפי המערכת אינה מקבלת תמיכה בנתונים אלו.</w:t>
      </w:r>
    </w:p>
    <w:p>
      <w:pPr>
        <w:pStyle w:val="Heading2"/>
        <w:keepNext/>
        <w:bidi/>
        <w:spacing w:after="120" w:before="240" w:line="360"/>
        <w:jc w:val="right"/>
      </w:pPr>
      <w:r>
        <w:rPr>
          <w:rFonts w:ascii="David" w:cs="David" w:eastAsia="David" w:hAnsi="David"/>
          <w:b/>
          <w:bCs/>
          <w:sz w:val="28"/>
          <w:szCs w:val="28"/>
          <w:rtl/>
        </w:rPr>
        <w:t xml:space="preserve">ותק באגף והסתגלות</w:t>
      </w:r>
    </w:p>
    <w:p>
      <w:pPr>
        <w:bidi/>
        <w:spacing w:after="120" w:line="360"/>
        <w:ind w:firstLine="567"/>
        <w:jc w:val="both"/>
      </w:pPr>
      <w:r>
        <w:rPr>
          <w:rFonts w:ascii="David" w:cs="David" w:eastAsia="David" w:hAnsi="David"/>
          <w:sz w:val="24"/>
          <w:szCs w:val="24"/>
          <w:rtl/>
        </w:rPr>
        <w:t xml:space="preserve">ההשערה שהלגיטימיות תפחת עם הוותק לא אוששה. ניתן להסביר את הדפוס שנמצא, שפל בשבוע הראשון, שיא בין שבוע לחודש ויציבות לאחר מכן, בשתי דרכים. ראשית,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תיארו את תקופת הקליטה כתקופת המעבר הקשה, שבה האסיר עדיין אינו מכיר את הסגל ואת כללי האגף, ולאחריה מתייצבת ההסתגלות. הלגיטימיות הנמוכה בשבוע הראשון והעלייה שלאחריו מתאימות לתיאור זה. שנית,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שהלגיטימיות אמנם משתנה במהלך המאסר, אך מה שמניע את השינוי הוא איכות החוויות במוסד ולא הזמן כשלעצמו. אסיר ותיק באגף שיחס הסגל בו הוגן לא יפתח ציניות רק משום שעבר זמן.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תיאר את כאבי המאסר ככרוניים, ולכן גם אין סיבה לצפות שהרווחה תשתפר עם הוותק, וכך אכן נמצא.</w:t>
      </w:r>
    </w:p>
    <w:p>
      <w:pPr>
        <w:bidi/>
        <w:spacing w:after="120" w:line="360"/>
        <w:ind w:firstLine="567"/>
        <w:jc w:val="both"/>
      </w:pPr>
      <w:r>
        <w:rPr>
          <w:rFonts w:ascii="David" w:cs="David" w:eastAsia="David" w:hAnsi="David"/>
          <w:sz w:val="24"/>
          <w:szCs w:val="24"/>
          <w:rtl/>
        </w:rPr>
        <w:t xml:space="preserve">שתי הערות מתודולוגיות מתחייבות. הראשונה, המערך הוא מערך חתך שמשווה אסירים שונים בנקודות ותק שונות ולא עוקב אחר אותם אסירים, ולכן אינו יכול ללמד על שינוי תוך-אישי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השנייה, מי שנמצא באגף זמן רב הוא גם מי שהסתגל אליו ולא הועבר ממנו, ולכן קבוצת הוותיקים היא קבוצה נבררת. סלקציה כזו עשויה לטשטש ירידה בלגיטימיות אצל מי שלא הסתגלו והועברו. הקידוד הבינארי של הוותק, שבו נמצא הבדל מובהק בגבול לרעת הוותיקים, מרמז שייתכן קשר שלילי חלש שקטגוריות הוותק הגסות אינן מאפשרות לזהותו.</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לאור השפל בלגיטימיות בשבוע הראשון, היא שיחת קליטה מובנית עם מנהל האגף בתוך </w:t>
      </w:r>
      <w:r>
        <w:rPr>
          <w:rFonts w:ascii="Times New Roman" w:cs="Times New Roman" w:eastAsia="Times New Roman" w:hAnsi="Times New Roman"/>
          <w:sz w:val="24"/>
          <w:szCs w:val="24"/>
        </w:rPr>
        <w:t xml:space="preserve">48</w:t>
      </w:r>
      <w:r>
        <w:rPr>
          <w:rFonts w:ascii="David" w:cs="David" w:eastAsia="David" w:hAnsi="David"/>
          <w:sz w:val="24"/>
          <w:szCs w:val="24"/>
          <w:rtl/>
        </w:rPr>
        <w:t xml:space="preserve"> שעות מהגעת השפוט, שבה מוסברים כללי האגף, דרכי הפנייה ואופן הטיפול בבקשות.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 נוסף על כך, קטגוריות הוותק באגף גסות, ורוב השפוטים מרוכזים בקטגוריה הגבוהה, ולכן כוחו של הניתוח לזהות קשר עם הוותק מוגבל.</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ואת הקשר בין ותק באגף ללגיטימיות, על בסיס נתונים סינתטיים המבוססים על סקר תנאי המחיה של שירות בתי הסוהר. סקירת הספרות הציגה את המודל של הצדק הפרוצדורלי ואת ספרות ההסתגלות למאסר, ומהן נגזרו שלוש השערות. הניתוח כלל סטטיסטיקה תיאורית, בדיקת מהימנות, מתאמים, רגרסיה היררכית וניתוח שונות. נמצא קשר חיובי מובהק בעוצמה בינונית בין רווחה נפשית ללגיטימיות, שנשמר בפיקוח על משתני הרקע והסביר כעשרה אחוזים מהשונות, ולא נמצא קשר עקבי בין ותק באגף ללגיטימיות.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מדידה שנתית ברמת האגף ושיחת קליטה מובנית,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Horowitz, V. L., &amp; Hyatt, J. M. (2025). Trusting relationships in prison and well-being after release. </w:t>
      </w:r>
      <w:r>
        <w:rPr>
          <w:rFonts w:ascii="Times New Roman" w:cs="Times New Roman" w:eastAsia="Times New Roman" w:hAnsi="Times New Roman"/>
          <w:i/>
          <w:iCs/>
          <w:sz w:val="24"/>
          <w:szCs w:val="24"/>
        </w:rPr>
        <w:t xml:space="preserve">International Journal of Law, Crime and Justice, 82</w:t>
      </w:r>
      <w:r>
        <w:rPr>
          <w:rFonts w:ascii="Times New Roman" w:cs="Times New Roman" w:eastAsia="Times New Roman" w:hAnsi="Times New Roman"/>
          <w:i w:val="false"/>
          <w:iCs w:val="false"/>
          <w:sz w:val="24"/>
          <w:szCs w:val="24"/>
        </w:rPr>
        <w:t xml:space="preserve">, Article 100755. https://www.sciencedirect.com/science/article/pii/S2666560325001513</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w:t>
      </w:r>
      <w:r>
        <w:rPr>
          <w:rFonts w:ascii="Times New Roman" w:cs="Times New Roman" w:eastAsia="Times New Roman" w:hAnsi="Times New Roman"/>
          <w:i w:val="false"/>
          <w:iCs w:val="false"/>
          <w:sz w:val="24"/>
          <w:szCs w:val="24"/>
        </w:rPr>
        <w:t xml:space="preserve">. Advance online publication.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w:t>
      </w:r>
    </w:p>
    <w:p>
      <w:pPr>
        <w:pStyle w:val="Heading2"/>
        <w:keepNext/>
        <w:bidi/>
        <w:spacing w:after="120" w:before="240" w:line="360"/>
        <w:jc w:val="right"/>
      </w:pPr>
      <w:r>
        <w:rPr>
          <w:rFonts w:ascii="David" w:cs="David" w:eastAsia="David" w:hAnsi="David"/>
          <w:b/>
          <w:bCs/>
          <w:sz w:val="28"/>
          <w:szCs w:val="28"/>
          <w:rtl/>
        </w:rPr>
        <w:t xml:space="preserve">נספח: פלטי 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(קובץ </w:t>
      </w:r>
      <w:r>
        <w:rPr>
          <w:rFonts w:ascii="Times New Roman" w:cs="Times New Roman" w:eastAsia="Times New Roman" w:hAnsi="Times New Roman"/>
          <w:sz w:val="24"/>
          <w:szCs w:val="24"/>
        </w:rPr>
        <w:t xml:space="preserve">OUTPUT2</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-7</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Regression, Dependent: legitimacy (Method: Enter, 3 blocks)</w:t>
      </w:r>
    </w:p>
    <w:tbl>
      <w:tblPr>
        <w:bidiVisual/>
        <w:tblW w:type="dxa" w:w="83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900"/>
        <w:gridCol w:w="900"/>
        <w:gridCol w:w="1000"/>
        <w:gridCol w:w="900"/>
        <w:gridCol w:w="1100"/>
        <w:gridCol w:w="9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Model</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R</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R²</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Adj. R²</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F</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wellbeing</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266.0</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1, 2342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 + GIL_REC, yehudi</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98.4</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3, 2340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 knissot_n, vetek_bin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60.4</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5, 2338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tbl>
      <w:tblPr>
        <w:bidiVisual/>
        <w:tblW w:type="dxa" w:w="83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900"/>
        <w:gridCol w:w="900"/>
        <w:gridCol w:w="900"/>
        <w:gridCol w:w="900"/>
        <w:gridCol w:w="1000"/>
        <w:gridCol w:w="17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Model 3 coefficients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SE</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Beta</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95% CI</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(Constant)</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27.26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2.709, 3.129</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wellbeing</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0.277, 0.350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GIL_REC</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5.27</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0.005, 0.010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yehudi</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-0.068, 0.061</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knissot_n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0.297</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-0.056, 0.017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vetek_bin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-0.045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-0.219, -0.016</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-8</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Oneway, legitimacy</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wellbeing BY vetek4; T-Test BY time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in</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agaf</w:t>
      </w:r>
    </w:p>
    <w:tbl>
      <w:tblPr>
        <w:bidiVisual/>
        <w:tblW w:type="dxa" w:w="7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400"/>
        <w:gridCol w:w="12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Test</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ANOVA legitimacy by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3.20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3, 2340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ANOVA wellbeing by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0.54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3, 2375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0.657</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Levene legitimacy (time_in_agaf)</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2.73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1, 2342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t-test legitimacy (1 vs 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 = 1.97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0.050</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t-test wellbeing (1 vs 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 = 0.74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0.462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legitimacy with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rs = -0.003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0.899</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wellbeing with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rs = -0.028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0.169</w:t>
            </w:r>
          </w:p>
        </w:tc>
      </w:tr>
    </w:tbl>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ותק באגף ותפיסת הלגיטימיות של סגל הכליאה בקרב אסירים שפוטים בישראל</dc:title>
  <cp:lastModifiedBy>Un-named</cp:lastModifiedBy>
  <cp:revision>1</cp:revision>
  <dcterms:created xsi:type="dcterms:W3CDTF">2026-09-09T12:41:35.805Z</dcterms:created>
  <dcterms:modified xsi:type="dcterms:W3CDTF">2026-09-09T12:41:35.805Z</dcterms:modified>
</cp:coreProperties>
</file>

<file path=docProps/custom.xml><?xml version="1.0" encoding="utf-8"?>
<Properties xmlns="http://schemas.openxmlformats.org/officeDocument/2006/custom-properties" xmlns:vt="http://schemas.openxmlformats.org/officeDocument/2006/docPropsVTypes"/>
</file>