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240" w:line="360"/>
        <w:jc w:val="center"/>
      </w:pPr>
      <w:r>
        <w:rPr>
          <w:b/>
          <w:bCs/>
          <w:sz w:val="32"/>
          <w:szCs w:val="32"/>
        </w:rPr>
        <w:t xml:space="preserve">סקירת ספרות: תנועה ומוזיקה כאמצעי לוויסות רגשי בגיל הרך</w:t>
      </w:r>
    </w:p>
    <w:p>
      <w:pPr>
        <w:bidi/>
        <w:spacing w:after="120" w:before="240" w:line="360"/>
        <w:jc w:val="right"/>
      </w:pPr>
      <w:r>
        <w:rPr>
          <w:b/>
          <w:bCs/>
          <w:sz w:val="28"/>
          <w:szCs w:val="28"/>
        </w:rPr>
        <w:t xml:space="preserve">2. סקירת ספרות</w:t>
      </w:r>
    </w:p>
    <w:p>
      <w:pPr>
        <w:bidi/>
        <w:spacing w:after="120" w:before="0" w:line="360"/>
        <w:jc w:val="both"/>
      </w:pPr>
      <w:r>
        <w:t xml:space="preserve">מוזיקה ותנועה נמצאות בכל מקום שבו יש ילדים. הן מלוות את הפעוט עוד לפני שהוא יודע לדבר, וממשיכות ללוות אותו בגן, בבית ובחצר. סקירה זו בוחנת שאלה אחת: כיצד קשורות מוזיקה ותנועה ליכולתם של ילדים צעירים לווסת את רגשותיהם. מבנה הסקירה הוא מבנה של משפך. בתחילה נבחן הקשר הרחב שבין מוזיקה, גוף ורגש אצל בני אדם. לאחר מכן נצטמצם אל מקומן של מוזיקה ותנועה בגיל הרך. בסוף נגיע אל לב העניין, מחקרים שבדקו את מוזיקה ותנועה ככלי ממשי לוויסות רגשי.</w:t>
      </w:r>
    </w:p>
    <w:p>
      <w:pPr>
        <w:bidi/>
        <w:spacing w:after="120" w:before="240" w:line="360"/>
        <w:jc w:val="right"/>
      </w:pPr>
      <w:r>
        <w:rPr>
          <w:b/>
          <w:bCs/>
          <w:sz w:val="26"/>
          <w:szCs w:val="26"/>
        </w:rPr>
        <w:t xml:space="preserve">2.1 מוזיקה, תנועה ורגש: הקשר האנושי ומושג הוויסות הרגשי</w:t>
      </w:r>
    </w:p>
    <w:p>
      <w:pPr>
        <w:bidi/>
        <w:spacing w:after="120" w:before="0" w:line="360"/>
        <w:jc w:val="both"/>
      </w:pPr>
      <w:r>
        <w:t xml:space="preserve">מוזיקה היא תופעה אנושית אוניברסלית, והקשר שלה לרגש אינו מקרי. אנשים פונים למוזיקה כדי להירגע, להתעורר, להתנחם או לשנות מצב רוח. סקירה שיטתית ומטא-אנליזה שערכו Peters ועמיתיה (2024) מצאו כי עיסוק פעיל במוזיקה, בין אם נגינה, שירה או האזנה, קשור ליכולת ויסות רגשי טובה יותר במגוון גילים והקשרים. המשמעות פשוטה. המוזיקה אינה רק גירוי נעים, היא משאב שאנשים משתמשים בו כדי לנהל את מה שהם מרגישים.</w:t>
      </w:r>
    </w:p>
    <w:p>
      <w:pPr>
        <w:bidi/>
        <w:spacing w:after="120" w:before="0" w:line="360"/>
        <w:jc w:val="both"/>
      </w:pPr>
      <w:r>
        <w:t xml:space="preserve">התחום עצמו כבר אינו צעיר. Lu ו-Song (2025) מיפו בסקירה ביבליומטרית את המחקר על ויסות רגשי מבוסס-מוזיקה בין השנים 2000 ל-2024, וזיהו שלושה שלבים: חקירה ראשונית, צמיחה מהירה, והתבססות בעשור האחרון. מספר המחקרים גדל, שיתופי הפעולה הבינלאומיים התרחבו, והנושא הפך לתחום מחקר מבוסס. זו נקודת פתיחה טובה לשאלה הממוקדת יותר של הגיל הרך.</w:t>
      </w:r>
    </w:p>
    <w:p>
      <w:pPr>
        <w:bidi/>
        <w:spacing w:after="120" w:before="0" w:line="360"/>
        <w:jc w:val="both"/>
      </w:pPr>
      <w:r>
        <w:t xml:space="preserve">מהו בכלל ויסות רגשי. מדובר ביכולת לשים לב לרגש, להעריך אותו, ולווסת את עוצמתו ואת אופן הביטוי שלו כך שיתאים למצב. היכולת הזו נבנית באופן אינטנסיבי דווקא בשנים הראשונות לחיים, ותנועה וקול הם מהערוצים הראשונים שדרכם תינוק וילד צעיר מעבדים ומביעים רגש, הרבה לפני שהמילים זמינות. Sena Moore ועמיתיה (2025) מציעים מודל התערבות מוזיקלי ומצביעים על שלושה גורמים שהתערבות כזו יכולה להשפיע עליהם: עוררות פיזיולוגית, הנמדדת למשל בטונוס הוואגלי, שליטה מאמצית, וויסות משותף בין הילד לבין מבוגר או עמית. במילים אחרות, אפשר להצביע על המנגנונים שדרכם מוזיקה ותנועה נוגעות בוויסות, ולא רק לתאר שהן עוזרות.</w:t>
      </w:r>
    </w:p>
    <w:p>
      <w:pPr>
        <w:bidi/>
        <w:spacing w:after="120" w:before="240" w:line="360"/>
        <w:jc w:val="right"/>
      </w:pPr>
      <w:r>
        <w:rPr>
          <w:b/>
          <w:bCs/>
          <w:sz w:val="26"/>
          <w:szCs w:val="26"/>
        </w:rPr>
        <w:t xml:space="preserve">2.2 מוזיקה ותנועה בגיל הרך: תפקידן בהתפתחות ובחינוך</w:t>
      </w:r>
    </w:p>
    <w:p>
      <w:pPr>
        <w:bidi/>
        <w:spacing w:after="120" w:before="0" w:line="360"/>
        <w:jc w:val="both"/>
      </w:pPr>
      <w:r>
        <w:t xml:space="preserve">בגיל הרך הקשר בין מוזיקה לתנועה גלוי לעין. ילד ששומע קצב זז אליו כמעט מעצמו. כהן (2016) הראתה כי ילדים מבטאים את תפיסתם המוזיקלית דרך תנועה ספונטנית, במיוחד כשהמקצב ברור, וכי הם עושים זאת גם כשאינם מסוגלים להסביר את המוזיקה במילים. התנועה משמשת אותם כשפה, והגוף הופך למתווך בין הצליל לבין ההבנה.</w:t>
      </w:r>
    </w:p>
    <w:p>
      <w:pPr>
        <w:bidi/>
        <w:spacing w:after="120" w:before="0" w:line="360"/>
        <w:jc w:val="both"/>
      </w:pPr>
      <w:r>
        <w:t xml:space="preserve">בישראל המוזיקה שזורה בשגרת הגן. הגיליון המיוחד של כתב העת חוקרים @ הגיל הרך בנושא חינוך מוזיקלי מציג זאת היטב. ענבר (2022) עוסקת בהתפתחות הקולית, בתקשורת ובמוזיקליות כבר מגיל הינקות, ומדגישה את מקומה של המוזיקה בחיים המוקדמים. סולקין, מאיר וניקריטין (2022) בחנו כיצד נבחר הרפרטואר המוזיקלי בגני ילדים במגזרים שונים בחברה הישראלית, וממצאיהם מלמדים שהמוזיקה אינה אירוע חד-פעמי בגן אלא חלק מהעשייה היומיומית.</w:t>
      </w:r>
    </w:p>
    <w:p>
      <w:pPr>
        <w:bidi/>
        <w:spacing w:after="120" w:before="0" w:line="360"/>
        <w:jc w:val="both"/>
      </w:pPr>
      <w:r>
        <w:t xml:space="preserve">גם צד התנועה זכה לתשומת לב מחקרית. Savina (2025) סוקרת כיצד פעילות מבוססת-תנועה, ובכללה משחקי תנועה, פעילות גופנית, מוזיקה וריקוד ותרגול קשב, מקדמת ויסות עצמי, עיכוב תגובה, זיכרון עבודה וקשב בגיל הרך. Cetin ו-Cevikbas (2020) הוסיפו זווית של ביטוי רגשי: בתוכנית מחול יצירתי ילדים בגן הצליחו לבטא רגשות שקשה להם לנסח במילים, והדבר תרם גם לכשירות החברתית שלהם. כאן כבר מתחיל להיסגר המעגל בין תנועה, מוזיקה ורגש.</w:t>
      </w:r>
    </w:p>
    <w:p>
      <w:pPr>
        <w:bidi/>
        <w:spacing w:after="120" w:before="240" w:line="360"/>
        <w:jc w:val="right"/>
      </w:pPr>
      <w:r>
        <w:rPr>
          <w:b/>
          <w:bCs/>
          <w:sz w:val="26"/>
          <w:szCs w:val="26"/>
        </w:rPr>
        <w:t xml:space="preserve">2.3 מוזיקה ותנועה ככלי לוויסות רגשי בגיל הרך</w:t>
      </w:r>
    </w:p>
    <w:p>
      <w:pPr>
        <w:bidi/>
        <w:spacing w:after="120" w:before="0" w:line="360"/>
        <w:jc w:val="both"/>
      </w:pPr>
      <w:r>
        <w:t xml:space="preserve">בשנים האחרונות הצטברו מחקרים שבדקו ישירות אם אפשר לחזק ויסות רגשי אצל ילדים צעירים באמצעות מוזיקה ותנועה. Brown, Blumenthal ו-Allen (2022) בחנו תוכנית מוזיקה בגיל הרך שכוונה לילדים בסיכון עקב עוני. הילדים שהשתתפו בתוכנית הראו גדילה גדולה יותר בשליטה מעכבת בהשוואה לילדים שקיבלו מסגרת גן רגילה. הממצא חשוב במיוחד משום שהוא נוגע דווקא באוכלוסייה שמתקשה בוויסות.</w:t>
      </w:r>
    </w:p>
    <w:p>
      <w:pPr>
        <w:bidi/>
        <w:spacing w:after="120" w:before="0" w:line="360"/>
        <w:jc w:val="both"/>
      </w:pPr>
      <w:r>
        <w:t xml:space="preserve">ראיה חזקה עוד יותר מגיעה מניסוי מבוקר אקראי. Williams ועמיתיה (2023), במסגרת תוכנית RAMSR, אימנו גננות להעביר פעילות קצב ותנועה בגנים בקהילות מוחלשות. הילדים בקבוצת ההתערבות הראו שיפור בוויסות הרגשי לפי דיווח הגננות, והבנים אף הראו שיפור בגמישות קוגניטיבית. העובדה שהתוכנית הופעלה בידי הגננות עצמן, ולא בידי מומחים חיצוניים, מחזקת את ההיתכנות היישומית שלה בגן רגיל.</w:t>
      </w:r>
    </w:p>
    <w:p>
      <w:pPr>
        <w:bidi/>
        <w:spacing w:after="120" w:before="0" w:line="360"/>
        <w:jc w:val="both"/>
      </w:pPr>
      <w:r>
        <w:t xml:space="preserve">מעבר לשאלה אם זה עובד, יש ערך בהבנה של איך זה עובד. המודל של Sena Moore ועמיתיה (2025) עושה בדיוק את זה. הוא מתאר התערבות מוזיקלית מובנית שמכוונת אל העוררות הפיזיולוגית, אל השליטה המאמצת ואל הוויסות המשותף, ובכך מציע הסבר מנגנוני לכך שמוזיקה תומכת בהתפתחות הוויסות בגיל הרך. הסבר כזה מאפשר לתכנן התערבויות באופן מושכל ולא רק בניסוי וטעייה.</w:t>
      </w:r>
    </w:p>
    <w:p>
      <w:pPr>
        <w:bidi/>
        <w:spacing w:after="120" w:before="0" w:line="360"/>
        <w:jc w:val="both"/>
      </w:pPr>
      <w:r>
        <w:t xml:space="preserve">גם עולם התנועה הטיפולית תרם ראיות. Moula ועמיתיה (2022) בדקו טיפול בתנועה ובמחול במסגרת בית ספרית עבור ילדים עם קשיים רגשיים והתנהגותיים. נמצא שיפור ברווחה, באיכות השינה ובקשיים הרגשיים וההתנהגותיים, והשיפור נשמר עד חצי שנה לאחר סיום ההתערבות. המחקר עוסק בילדים מעט גדולים יותר, אך הוא מחזק את התמונה הכללית: תנועה מובנית לצלילי מוזיקה יכולה לשמש ערוץ ויסות של ממש.</w:t>
      </w:r>
    </w:p>
    <w:p>
      <w:pPr>
        <w:bidi/>
        <w:spacing w:after="120" w:before="240" w:line="360"/>
        <w:jc w:val="right"/>
      </w:pPr>
      <w:r>
        <w:rPr>
          <w:b/>
          <w:bCs/>
          <w:sz w:val="26"/>
          <w:szCs w:val="26"/>
        </w:rPr>
        <w:t xml:space="preserve">2.4 סיכום הסקירה והפער המחקרי</w:t>
      </w:r>
    </w:p>
    <w:p>
      <w:pPr>
        <w:bidi/>
        <w:spacing w:after="120" w:before="0" w:line="360"/>
        <w:jc w:val="both"/>
      </w:pPr>
      <w:r>
        <w:t xml:space="preserve">מן הספרות עולה קו ברור. מוזיקה ותנועה קשורות לרגש ולוויסותו, והן עושות זאת דרך הגוף, לעיתים עוד לפני המילים. תוכניות מובנות של קצב, תנועה ומוזיקה מסוגלות לחזק ויסות רגשי אצל ילדים צעירים, ולעיתים דווקא אצל מי שזקוק לכך יותר. לצד ההסכמה הזו בולט פער. רוב הראיות מגיעות מהתערבויות מובנות ומונחות מבוגר, לא פעם עם אוכלוסיות בסיכון או קליניות, ורובן נערכו מחוץ לישראל. פחות ידוע על תנועה חופשית ולא מובנית למוזיקה כחלון אל אופן הוויסות של הילד בגן היומיומי, ועל האופן שבו ההיכרות החוזרת עם אותה מוזיקה משנה את התגובה.</w:t>
      </w:r>
    </w:p>
    <w:p>
      <w:pPr>
        <w:bidi/>
        <w:spacing w:after="120" w:before="0" w:line="360"/>
        <w:jc w:val="both"/>
      </w:pPr>
      <w:r>
        <w:rPr>
          <w:b/>
          <w:bCs/>
        </w:rPr>
        <w:t xml:space="preserve">שאלת המחקר העולה מן הסקירה: </w:t>
      </w:r>
      <w:r>
        <w:t xml:space="preserve">האם וכיצד תנועה חופשית למוזיקה מסגנונות שונים משקפת ומקדמת ויסות רגשי אצל ילדים בגיל הרך, וכיצד משתנה התגובה התנועתית והרגשית בין האזנה ראשונה להאזנה חוזרת?</w:t>
      </w:r>
    </w:p>
    <w:p>
      <w:pPr>
        <w:bidi/>
        <w:spacing w:after="120" w:before="240" w:line="360"/>
        <w:jc w:val="right"/>
      </w:pPr>
      <w:r>
        <w:rPr>
          <w:b/>
          <w:bCs/>
          <w:sz w:val="26"/>
          <w:szCs w:val="26"/>
        </w:rPr>
        <w:t xml:space="preserve">טבלת מיפוי המקורות</w:t>
      </w:r>
    </w:p>
    <w:p>
      <w:pPr>
        <w:bidi/>
        <w:spacing w:after="120" w:before="0" w:line="360"/>
        <w:jc w:val="both"/>
      </w:pPr>
      <w:r>
        <w:t xml:space="preserve">הטבלה מסכמת את המקורות המרכזיים בסקירה לפי רמתם במשפך ותרומתם.</w:t>
      </w:r>
    </w:p>
    <w:tbl>
      <w:tblPr>
        <w:bidiVisual/>
        <w:tblW w:type="dxa" w:w="8296"/>
        <w:tblBorders>
          <w:top w:val="single" w:color="auto" w:sz="4"/>
          <w:left w:val="single" w:color="auto" w:sz="4"/>
          <w:bottom w:val="single" w:color="auto" w:sz="4"/>
          <w:right w:val="single" w:color="auto" w:sz="4"/>
          <w:insideH w:val="single" w:color="auto" w:sz="4"/>
          <w:insideV w:val="single" w:color="auto" w:sz="4"/>
        </w:tblBorders>
      </w:tblPr>
      <w:tblGrid>
        <w:gridCol w:w="620"/>
        <w:gridCol w:w="2050"/>
        <w:gridCol w:w="2050"/>
        <w:gridCol w:w="1150"/>
        <w:gridCol w:w="2426"/>
      </w:tblGrid>
      <w:tr>
        <w:trPr>
          <w:tblHeader/>
        </w:trPr>
        <w:tc>
          <w:tcPr>
            <w:tcW w:type="dxa" w:w="620"/>
            <w:shd w:fill="E8E8E8" w:val="clear"/>
          </w:tcPr>
          <w:p>
            <w:pPr>
              <w:bidi/>
              <w:spacing w:line="276"/>
              <w:jc w:val="center"/>
            </w:pPr>
            <w:r>
              <w:rPr>
                <w:b/>
                <w:bCs/>
              </w:rPr>
              <w:t xml:space="preserve">מס'</w:t>
            </w:r>
          </w:p>
        </w:tc>
        <w:tc>
          <w:tcPr>
            <w:tcW w:type="dxa" w:w="2050"/>
            <w:shd w:fill="E8E8E8" w:val="clear"/>
          </w:tcPr>
          <w:p>
            <w:pPr>
              <w:bidi/>
              <w:spacing w:line="276"/>
              <w:jc w:val="center"/>
            </w:pPr>
            <w:r>
              <w:rPr>
                <w:b/>
                <w:bCs/>
              </w:rPr>
              <w:t xml:space="preserve">מקור (מחברים, שנה)</w:t>
            </w:r>
          </w:p>
        </w:tc>
        <w:tc>
          <w:tcPr>
            <w:tcW w:type="dxa" w:w="2050"/>
            <w:shd w:fill="E8E8E8" w:val="clear"/>
          </w:tcPr>
          <w:p>
            <w:pPr>
              <w:bidi/>
              <w:spacing w:line="276"/>
              <w:jc w:val="center"/>
            </w:pPr>
            <w:r>
              <w:rPr>
                <w:b/>
                <w:bCs/>
              </w:rPr>
              <w:t xml:space="preserve">סוג המחקר / המאמר</w:t>
            </w:r>
          </w:p>
        </w:tc>
        <w:tc>
          <w:tcPr>
            <w:tcW w:type="dxa" w:w="1150"/>
            <w:shd w:fill="E8E8E8" w:val="clear"/>
          </w:tcPr>
          <w:p>
            <w:pPr>
              <w:bidi/>
              <w:spacing w:line="276"/>
              <w:jc w:val="center"/>
            </w:pPr>
            <w:r>
              <w:rPr>
                <w:b/>
                <w:bCs/>
              </w:rPr>
              <w:t xml:space="preserve">רמת המשפך</w:t>
            </w:r>
          </w:p>
        </w:tc>
        <w:tc>
          <w:tcPr>
            <w:tcW w:type="dxa" w:w="2426"/>
            <w:shd w:fill="E8E8E8" w:val="clear"/>
          </w:tcPr>
          <w:p>
            <w:pPr>
              <w:bidi/>
              <w:spacing w:line="276"/>
              <w:jc w:val="center"/>
            </w:pPr>
            <w:r>
              <w:rPr>
                <w:b/>
                <w:bCs/>
              </w:rPr>
              <w:t xml:space="preserve">תרומה עיקרית לסקירה</w:t>
            </w:r>
          </w:p>
        </w:tc>
      </w:tr>
      <w:tr>
        <w:trPr>
          <w:tblHeader w:val="false"/>
        </w:trPr>
        <w:tc>
          <w:tcPr>
            <w:tcW w:type="dxa" w:w="620"/>
          </w:tcPr>
          <w:p>
            <w:pPr>
              <w:bidi/>
              <w:spacing w:line="276"/>
              <w:jc w:val="right"/>
            </w:pPr>
            <w:r>
              <w:rPr>
                <w:b w:val="false"/>
                <w:bCs w:val="false"/>
              </w:rPr>
              <w:t xml:space="preserve">1</w:t>
            </w:r>
          </w:p>
        </w:tc>
        <w:tc>
          <w:tcPr>
            <w:tcW w:type="dxa" w:w="2050"/>
          </w:tcPr>
          <w:p>
            <w:pPr>
              <w:bidi/>
              <w:spacing w:line="276"/>
              <w:jc w:val="right"/>
            </w:pPr>
            <w:r>
              <w:rPr>
                <w:b w:val="false"/>
                <w:bCs w:val="false"/>
              </w:rPr>
              <w:t xml:space="preserve">Peters ואחרים (2024)</w:t>
            </w:r>
          </w:p>
        </w:tc>
        <w:tc>
          <w:tcPr>
            <w:tcW w:type="dxa" w:w="2050"/>
          </w:tcPr>
          <w:p>
            <w:pPr>
              <w:bidi/>
              <w:spacing w:line="276"/>
              <w:jc w:val="right"/>
            </w:pPr>
            <w:r>
              <w:rPr>
                <w:b w:val="false"/>
                <w:bCs w:val="false"/>
              </w:rPr>
              <w:t xml:space="preserve">מטא-אנליזה וסקירה שיטתית</w:t>
            </w:r>
          </w:p>
        </w:tc>
        <w:tc>
          <w:tcPr>
            <w:tcW w:type="dxa" w:w="1150"/>
          </w:tcPr>
          <w:p>
            <w:pPr>
              <w:bidi/>
              <w:spacing w:line="276"/>
              <w:jc w:val="right"/>
            </w:pPr>
            <w:r>
              <w:rPr>
                <w:b w:val="false"/>
                <w:bCs w:val="false"/>
              </w:rPr>
              <w:t xml:space="preserve">רחבה</w:t>
            </w:r>
          </w:p>
        </w:tc>
        <w:tc>
          <w:tcPr>
            <w:tcW w:type="dxa" w:w="2426"/>
          </w:tcPr>
          <w:p>
            <w:pPr>
              <w:bidi/>
              <w:spacing w:line="276"/>
              <w:jc w:val="right"/>
            </w:pPr>
            <w:r>
              <w:rPr>
                <w:b w:val="false"/>
                <w:bCs w:val="false"/>
              </w:rPr>
              <w:t xml:space="preserve">קשר כללי בין עיסוק במוזיקה לבין ויסות רגשי לאורך הגילים</w:t>
            </w:r>
          </w:p>
        </w:tc>
      </w:tr>
      <w:tr>
        <w:trPr>
          <w:tblHeader w:val="false"/>
        </w:trPr>
        <w:tc>
          <w:tcPr>
            <w:tcW w:type="dxa" w:w="620"/>
          </w:tcPr>
          <w:p>
            <w:pPr>
              <w:bidi/>
              <w:spacing w:line="276"/>
              <w:jc w:val="right"/>
            </w:pPr>
            <w:r>
              <w:rPr>
                <w:b w:val="false"/>
                <w:bCs w:val="false"/>
              </w:rPr>
              <w:t xml:space="preserve">2</w:t>
            </w:r>
          </w:p>
        </w:tc>
        <w:tc>
          <w:tcPr>
            <w:tcW w:type="dxa" w:w="2050"/>
          </w:tcPr>
          <w:p>
            <w:pPr>
              <w:bidi/>
              <w:spacing w:line="276"/>
              <w:jc w:val="right"/>
            </w:pPr>
            <w:r>
              <w:rPr>
                <w:b w:val="false"/>
                <w:bCs w:val="false"/>
              </w:rPr>
              <w:t xml:space="preserve">Lu &amp; Song (2025)</w:t>
            </w:r>
          </w:p>
        </w:tc>
        <w:tc>
          <w:tcPr>
            <w:tcW w:type="dxa" w:w="2050"/>
          </w:tcPr>
          <w:p>
            <w:pPr>
              <w:bidi/>
              <w:spacing w:line="276"/>
              <w:jc w:val="right"/>
            </w:pPr>
            <w:r>
              <w:rPr>
                <w:b w:val="false"/>
                <w:bCs w:val="false"/>
              </w:rPr>
              <w:t xml:space="preserve">סקירה ביבליומטרית</w:t>
            </w:r>
          </w:p>
        </w:tc>
        <w:tc>
          <w:tcPr>
            <w:tcW w:type="dxa" w:w="1150"/>
          </w:tcPr>
          <w:p>
            <w:pPr>
              <w:bidi/>
              <w:spacing w:line="276"/>
              <w:jc w:val="right"/>
            </w:pPr>
            <w:r>
              <w:rPr>
                <w:b w:val="false"/>
                <w:bCs w:val="false"/>
              </w:rPr>
              <w:t xml:space="preserve">רחבה</w:t>
            </w:r>
          </w:p>
        </w:tc>
        <w:tc>
          <w:tcPr>
            <w:tcW w:type="dxa" w:w="2426"/>
          </w:tcPr>
          <w:p>
            <w:pPr>
              <w:bidi/>
              <w:spacing w:line="276"/>
              <w:jc w:val="right"/>
            </w:pPr>
            <w:r>
              <w:rPr>
                <w:b w:val="false"/>
                <w:bCs w:val="false"/>
              </w:rPr>
              <w:t xml:space="preserve">מיפוי תחום הוויסות הרגשי מבוסס-המוזיקה והתפתחותו</w:t>
            </w:r>
          </w:p>
        </w:tc>
      </w:tr>
      <w:tr>
        <w:trPr>
          <w:tblHeader w:val="false"/>
        </w:trPr>
        <w:tc>
          <w:tcPr>
            <w:tcW w:type="dxa" w:w="620"/>
          </w:tcPr>
          <w:p>
            <w:pPr>
              <w:bidi/>
              <w:spacing w:line="276"/>
              <w:jc w:val="right"/>
            </w:pPr>
            <w:r>
              <w:rPr>
                <w:b w:val="false"/>
                <w:bCs w:val="false"/>
              </w:rPr>
              <w:t xml:space="preserve">3</w:t>
            </w:r>
          </w:p>
        </w:tc>
        <w:tc>
          <w:tcPr>
            <w:tcW w:type="dxa" w:w="2050"/>
          </w:tcPr>
          <w:p>
            <w:pPr>
              <w:bidi/>
              <w:spacing w:line="276"/>
              <w:jc w:val="right"/>
            </w:pPr>
            <w:r>
              <w:rPr>
                <w:b w:val="false"/>
                <w:bCs w:val="false"/>
              </w:rPr>
              <w:t xml:space="preserve">Sena Moore ואחרים (2025)</w:t>
            </w:r>
          </w:p>
        </w:tc>
        <w:tc>
          <w:tcPr>
            <w:tcW w:type="dxa" w:w="2050"/>
          </w:tcPr>
          <w:p>
            <w:pPr>
              <w:bidi/>
              <w:spacing w:line="276"/>
              <w:jc w:val="right"/>
            </w:pPr>
            <w:r>
              <w:rPr>
                <w:b w:val="false"/>
                <w:bCs w:val="false"/>
              </w:rPr>
              <w:t xml:space="preserve">מאמר תיאורטי / מודל התערבות</w:t>
            </w:r>
          </w:p>
        </w:tc>
        <w:tc>
          <w:tcPr>
            <w:tcW w:type="dxa" w:w="1150"/>
          </w:tcPr>
          <w:p>
            <w:pPr>
              <w:bidi/>
              <w:spacing w:line="276"/>
              <w:jc w:val="right"/>
            </w:pPr>
            <w:r>
              <w:rPr>
                <w:b w:val="false"/>
                <w:bCs w:val="false"/>
              </w:rPr>
              <w:t xml:space="preserve">רחבה-ממוקדת</w:t>
            </w:r>
          </w:p>
        </w:tc>
        <w:tc>
          <w:tcPr>
            <w:tcW w:type="dxa" w:w="2426"/>
          </w:tcPr>
          <w:p>
            <w:pPr>
              <w:bidi/>
              <w:spacing w:line="276"/>
              <w:jc w:val="right"/>
            </w:pPr>
            <w:r>
              <w:rPr>
                <w:b w:val="false"/>
                <w:bCs w:val="false"/>
              </w:rPr>
              <w:t xml:space="preserve">מנגנונים: עוררות פיזיולוגית, שליטה מאמצית וויסות משותף</w:t>
            </w:r>
          </w:p>
        </w:tc>
      </w:tr>
      <w:tr>
        <w:trPr>
          <w:tblHeader w:val="false"/>
        </w:trPr>
        <w:tc>
          <w:tcPr>
            <w:tcW w:type="dxa" w:w="620"/>
          </w:tcPr>
          <w:p>
            <w:pPr>
              <w:bidi/>
              <w:spacing w:line="276"/>
              <w:jc w:val="right"/>
            </w:pPr>
            <w:r>
              <w:rPr>
                <w:b w:val="false"/>
                <w:bCs w:val="false"/>
              </w:rPr>
              <w:t xml:space="preserve">4</w:t>
            </w:r>
          </w:p>
        </w:tc>
        <w:tc>
          <w:tcPr>
            <w:tcW w:type="dxa" w:w="2050"/>
          </w:tcPr>
          <w:p>
            <w:pPr>
              <w:bidi/>
              <w:spacing w:line="276"/>
              <w:jc w:val="right"/>
            </w:pPr>
            <w:r>
              <w:rPr>
                <w:b w:val="false"/>
                <w:bCs w:val="false"/>
              </w:rPr>
              <w:t xml:space="preserve">כהן (2016)</w:t>
            </w:r>
          </w:p>
        </w:tc>
        <w:tc>
          <w:tcPr>
            <w:tcW w:type="dxa" w:w="2050"/>
          </w:tcPr>
          <w:p>
            <w:pPr>
              <w:bidi/>
              <w:spacing w:line="276"/>
              <w:jc w:val="right"/>
            </w:pPr>
            <w:r>
              <w:rPr>
                <w:b w:val="false"/>
                <w:bCs w:val="false"/>
              </w:rPr>
              <w:t xml:space="preserve">מחקר איכותני</w:t>
            </w:r>
          </w:p>
        </w:tc>
        <w:tc>
          <w:tcPr>
            <w:tcW w:type="dxa" w:w="1150"/>
          </w:tcPr>
          <w:p>
            <w:pPr>
              <w:bidi/>
              <w:spacing w:line="276"/>
              <w:jc w:val="right"/>
            </w:pPr>
            <w:r>
              <w:rPr>
                <w:b w:val="false"/>
                <w:bCs w:val="false"/>
              </w:rPr>
              <w:t xml:space="preserve">ביניים</w:t>
            </w:r>
          </w:p>
        </w:tc>
        <w:tc>
          <w:tcPr>
            <w:tcW w:type="dxa" w:w="2426"/>
          </w:tcPr>
          <w:p>
            <w:pPr>
              <w:bidi/>
              <w:spacing w:line="276"/>
              <w:jc w:val="right"/>
            </w:pPr>
            <w:r>
              <w:rPr>
                <w:b w:val="false"/>
                <w:bCs w:val="false"/>
              </w:rPr>
              <w:t xml:space="preserve">ילדים מבטאים תפיסה מוזיקלית דרך תנועה ספונטנית</w:t>
            </w:r>
          </w:p>
        </w:tc>
      </w:tr>
      <w:tr>
        <w:trPr>
          <w:tblHeader w:val="false"/>
        </w:trPr>
        <w:tc>
          <w:tcPr>
            <w:tcW w:type="dxa" w:w="620"/>
          </w:tcPr>
          <w:p>
            <w:pPr>
              <w:bidi/>
              <w:spacing w:line="276"/>
              <w:jc w:val="right"/>
            </w:pPr>
            <w:r>
              <w:rPr>
                <w:b w:val="false"/>
                <w:bCs w:val="false"/>
              </w:rPr>
              <w:t xml:space="preserve">5</w:t>
            </w:r>
          </w:p>
        </w:tc>
        <w:tc>
          <w:tcPr>
            <w:tcW w:type="dxa" w:w="2050"/>
          </w:tcPr>
          <w:p>
            <w:pPr>
              <w:bidi/>
              <w:spacing w:line="276"/>
              <w:jc w:val="right"/>
            </w:pPr>
            <w:r>
              <w:rPr>
                <w:b w:val="false"/>
                <w:bCs w:val="false"/>
              </w:rPr>
              <w:t xml:space="preserve">ענבר (2022)</w:t>
            </w:r>
          </w:p>
        </w:tc>
        <w:tc>
          <w:tcPr>
            <w:tcW w:type="dxa" w:w="2050"/>
          </w:tcPr>
          <w:p>
            <w:pPr>
              <w:bidi/>
              <w:spacing w:line="276"/>
              <w:jc w:val="right"/>
            </w:pPr>
            <w:r>
              <w:rPr>
                <w:b w:val="false"/>
                <w:bCs w:val="false"/>
              </w:rPr>
              <w:t xml:space="preserve">מאמר עיוני</w:t>
            </w:r>
          </w:p>
        </w:tc>
        <w:tc>
          <w:tcPr>
            <w:tcW w:type="dxa" w:w="1150"/>
          </w:tcPr>
          <w:p>
            <w:pPr>
              <w:bidi/>
              <w:spacing w:line="276"/>
              <w:jc w:val="right"/>
            </w:pPr>
            <w:r>
              <w:rPr>
                <w:b w:val="false"/>
                <w:bCs w:val="false"/>
              </w:rPr>
              <w:t xml:space="preserve">ביניים</w:t>
            </w:r>
          </w:p>
        </w:tc>
        <w:tc>
          <w:tcPr>
            <w:tcW w:type="dxa" w:w="2426"/>
          </w:tcPr>
          <w:p>
            <w:pPr>
              <w:bidi/>
              <w:spacing w:line="276"/>
              <w:jc w:val="right"/>
            </w:pPr>
            <w:r>
              <w:rPr>
                <w:b w:val="false"/>
                <w:bCs w:val="false"/>
              </w:rPr>
              <w:t xml:space="preserve">מוזיקליות, התפתחות קולית ותקשורת מגיל הינקות</w:t>
            </w:r>
          </w:p>
        </w:tc>
      </w:tr>
      <w:tr>
        <w:trPr>
          <w:tblHeader w:val="false"/>
        </w:trPr>
        <w:tc>
          <w:tcPr>
            <w:tcW w:type="dxa" w:w="620"/>
          </w:tcPr>
          <w:p>
            <w:pPr>
              <w:bidi/>
              <w:spacing w:line="276"/>
              <w:jc w:val="right"/>
            </w:pPr>
            <w:r>
              <w:rPr>
                <w:b w:val="false"/>
                <w:bCs w:val="false"/>
              </w:rPr>
              <w:t xml:space="preserve">6</w:t>
            </w:r>
          </w:p>
        </w:tc>
        <w:tc>
          <w:tcPr>
            <w:tcW w:type="dxa" w:w="2050"/>
          </w:tcPr>
          <w:p>
            <w:pPr>
              <w:bidi/>
              <w:spacing w:line="276"/>
              <w:jc w:val="right"/>
            </w:pPr>
            <w:r>
              <w:rPr>
                <w:b w:val="false"/>
                <w:bCs w:val="false"/>
              </w:rPr>
              <w:t xml:space="preserve">סולקין, מאיר וניקריטין (2022)</w:t>
            </w:r>
          </w:p>
        </w:tc>
        <w:tc>
          <w:tcPr>
            <w:tcW w:type="dxa" w:w="2050"/>
          </w:tcPr>
          <w:p>
            <w:pPr>
              <w:bidi/>
              <w:spacing w:line="276"/>
              <w:jc w:val="right"/>
            </w:pPr>
            <w:r>
              <w:rPr>
                <w:b w:val="false"/>
                <w:bCs w:val="false"/>
              </w:rPr>
              <w:t xml:space="preserve">מחקר</w:t>
            </w:r>
          </w:p>
        </w:tc>
        <w:tc>
          <w:tcPr>
            <w:tcW w:type="dxa" w:w="1150"/>
          </w:tcPr>
          <w:p>
            <w:pPr>
              <w:bidi/>
              <w:spacing w:line="276"/>
              <w:jc w:val="right"/>
            </w:pPr>
            <w:r>
              <w:rPr>
                <w:b w:val="false"/>
                <w:bCs w:val="false"/>
              </w:rPr>
              <w:t xml:space="preserve">ביניים</w:t>
            </w:r>
          </w:p>
        </w:tc>
        <w:tc>
          <w:tcPr>
            <w:tcW w:type="dxa" w:w="2426"/>
          </w:tcPr>
          <w:p>
            <w:pPr>
              <w:bidi/>
              <w:spacing w:line="276"/>
              <w:jc w:val="right"/>
            </w:pPr>
            <w:r>
              <w:rPr>
                <w:b w:val="false"/>
                <w:bCs w:val="false"/>
              </w:rPr>
              <w:t xml:space="preserve">מקומה של המוזיקה בשגרת גני הילדים בישראל</w:t>
            </w:r>
          </w:p>
        </w:tc>
      </w:tr>
      <w:tr>
        <w:trPr>
          <w:tblHeader w:val="false"/>
        </w:trPr>
        <w:tc>
          <w:tcPr>
            <w:tcW w:type="dxa" w:w="620"/>
          </w:tcPr>
          <w:p>
            <w:pPr>
              <w:bidi/>
              <w:spacing w:line="276"/>
              <w:jc w:val="right"/>
            </w:pPr>
            <w:r>
              <w:rPr>
                <w:b w:val="false"/>
                <w:bCs w:val="false"/>
              </w:rPr>
              <w:t xml:space="preserve">7</w:t>
            </w:r>
          </w:p>
        </w:tc>
        <w:tc>
          <w:tcPr>
            <w:tcW w:type="dxa" w:w="2050"/>
          </w:tcPr>
          <w:p>
            <w:pPr>
              <w:bidi/>
              <w:spacing w:line="276"/>
              <w:jc w:val="right"/>
            </w:pPr>
            <w:r>
              <w:rPr>
                <w:b w:val="false"/>
                <w:bCs w:val="false"/>
              </w:rPr>
              <w:t xml:space="preserve">Savina (2025)</w:t>
            </w:r>
          </w:p>
        </w:tc>
        <w:tc>
          <w:tcPr>
            <w:tcW w:type="dxa" w:w="2050"/>
          </w:tcPr>
          <w:p>
            <w:pPr>
              <w:bidi/>
              <w:spacing w:line="276"/>
              <w:jc w:val="right"/>
            </w:pPr>
            <w:r>
              <w:rPr>
                <w:b w:val="false"/>
                <w:bCs w:val="false"/>
              </w:rPr>
              <w:t xml:space="preserve">סקירה יישומית</w:t>
            </w:r>
          </w:p>
        </w:tc>
        <w:tc>
          <w:tcPr>
            <w:tcW w:type="dxa" w:w="1150"/>
          </w:tcPr>
          <w:p>
            <w:pPr>
              <w:bidi/>
              <w:spacing w:line="276"/>
              <w:jc w:val="right"/>
            </w:pPr>
            <w:r>
              <w:rPr>
                <w:b w:val="false"/>
                <w:bCs w:val="false"/>
              </w:rPr>
              <w:t xml:space="preserve">ביניים</w:t>
            </w:r>
          </w:p>
        </w:tc>
        <w:tc>
          <w:tcPr>
            <w:tcW w:type="dxa" w:w="2426"/>
          </w:tcPr>
          <w:p>
            <w:pPr>
              <w:bidi/>
              <w:spacing w:line="276"/>
              <w:jc w:val="right"/>
            </w:pPr>
            <w:r>
              <w:rPr>
                <w:b w:val="false"/>
                <w:bCs w:val="false"/>
              </w:rPr>
              <w:t xml:space="preserve">פעילות מבוססת-תנועה מקדמת ויסות עצמי בגיל הרך</w:t>
            </w:r>
          </w:p>
        </w:tc>
      </w:tr>
      <w:tr>
        <w:trPr>
          <w:tblHeader w:val="false"/>
        </w:trPr>
        <w:tc>
          <w:tcPr>
            <w:tcW w:type="dxa" w:w="620"/>
          </w:tcPr>
          <w:p>
            <w:pPr>
              <w:bidi/>
              <w:spacing w:line="276"/>
              <w:jc w:val="right"/>
            </w:pPr>
            <w:r>
              <w:rPr>
                <w:b w:val="false"/>
                <w:bCs w:val="false"/>
              </w:rPr>
              <w:t xml:space="preserve">8</w:t>
            </w:r>
          </w:p>
        </w:tc>
        <w:tc>
          <w:tcPr>
            <w:tcW w:type="dxa" w:w="2050"/>
          </w:tcPr>
          <w:p>
            <w:pPr>
              <w:bidi/>
              <w:spacing w:line="276"/>
              <w:jc w:val="right"/>
            </w:pPr>
            <w:r>
              <w:rPr>
                <w:b w:val="false"/>
                <w:bCs w:val="false"/>
              </w:rPr>
              <w:t xml:space="preserve">Cetin &amp; Cevikbas (2020)</w:t>
            </w:r>
          </w:p>
        </w:tc>
        <w:tc>
          <w:tcPr>
            <w:tcW w:type="dxa" w:w="2050"/>
          </w:tcPr>
          <w:p>
            <w:pPr>
              <w:bidi/>
              <w:spacing w:line="276"/>
              <w:jc w:val="right"/>
            </w:pPr>
            <w:r>
              <w:rPr>
                <w:b w:val="false"/>
                <w:bCs w:val="false"/>
              </w:rPr>
              <w:t xml:space="preserve">מחקר התערבות</w:t>
            </w:r>
          </w:p>
        </w:tc>
        <w:tc>
          <w:tcPr>
            <w:tcW w:type="dxa" w:w="1150"/>
          </w:tcPr>
          <w:p>
            <w:pPr>
              <w:bidi/>
              <w:spacing w:line="276"/>
              <w:jc w:val="right"/>
            </w:pPr>
            <w:r>
              <w:rPr>
                <w:b w:val="false"/>
                <w:bCs w:val="false"/>
              </w:rPr>
              <w:t xml:space="preserve">ביניים</w:t>
            </w:r>
          </w:p>
        </w:tc>
        <w:tc>
          <w:tcPr>
            <w:tcW w:type="dxa" w:w="2426"/>
          </w:tcPr>
          <w:p>
            <w:pPr>
              <w:bidi/>
              <w:spacing w:line="276"/>
              <w:jc w:val="right"/>
            </w:pPr>
            <w:r>
              <w:rPr>
                <w:b w:val="false"/>
                <w:bCs w:val="false"/>
              </w:rPr>
              <w:t xml:space="preserve">מחול יצירתי כאמצעי לביטוי רגשי בגן</w:t>
            </w:r>
          </w:p>
        </w:tc>
      </w:tr>
      <w:tr>
        <w:trPr>
          <w:tblHeader w:val="false"/>
        </w:trPr>
        <w:tc>
          <w:tcPr>
            <w:tcW w:type="dxa" w:w="620"/>
          </w:tcPr>
          <w:p>
            <w:pPr>
              <w:bidi/>
              <w:spacing w:line="276"/>
              <w:jc w:val="right"/>
            </w:pPr>
            <w:r>
              <w:rPr>
                <w:b w:val="false"/>
                <w:bCs w:val="false"/>
              </w:rPr>
              <w:t xml:space="preserve">9</w:t>
            </w:r>
          </w:p>
        </w:tc>
        <w:tc>
          <w:tcPr>
            <w:tcW w:type="dxa" w:w="2050"/>
          </w:tcPr>
          <w:p>
            <w:pPr>
              <w:bidi/>
              <w:spacing w:line="276"/>
              <w:jc w:val="right"/>
            </w:pPr>
            <w:r>
              <w:rPr>
                <w:b w:val="false"/>
                <w:bCs w:val="false"/>
              </w:rPr>
              <w:t xml:space="preserve">Brown, Blumenthal &amp; Allen (2022)</w:t>
            </w:r>
          </w:p>
        </w:tc>
        <w:tc>
          <w:tcPr>
            <w:tcW w:type="dxa" w:w="2050"/>
          </w:tcPr>
          <w:p>
            <w:pPr>
              <w:bidi/>
              <w:spacing w:line="276"/>
              <w:jc w:val="right"/>
            </w:pPr>
            <w:r>
              <w:rPr>
                <w:b w:val="false"/>
                <w:bCs w:val="false"/>
              </w:rPr>
              <w:t xml:space="preserve">מחקר השוואתי</w:t>
            </w:r>
          </w:p>
        </w:tc>
        <w:tc>
          <w:tcPr>
            <w:tcW w:type="dxa" w:w="1150"/>
          </w:tcPr>
          <w:p>
            <w:pPr>
              <w:bidi/>
              <w:spacing w:line="276"/>
              <w:jc w:val="right"/>
            </w:pPr>
            <w:r>
              <w:rPr>
                <w:b w:val="false"/>
                <w:bCs w:val="false"/>
              </w:rPr>
              <w:t xml:space="preserve">ממוקדת</w:t>
            </w:r>
          </w:p>
        </w:tc>
        <w:tc>
          <w:tcPr>
            <w:tcW w:type="dxa" w:w="2426"/>
          </w:tcPr>
          <w:p>
            <w:pPr>
              <w:bidi/>
              <w:spacing w:line="276"/>
              <w:jc w:val="right"/>
            </w:pPr>
            <w:r>
              <w:rPr>
                <w:b w:val="false"/>
                <w:bCs w:val="false"/>
              </w:rPr>
              <w:t xml:space="preserve">תוכנית מוזיקה שיפרה שליטה מעכבת אצל ילדים בסיכון</w:t>
            </w:r>
          </w:p>
        </w:tc>
      </w:tr>
      <w:tr>
        <w:trPr>
          <w:tblHeader w:val="false"/>
        </w:trPr>
        <w:tc>
          <w:tcPr>
            <w:tcW w:type="dxa" w:w="620"/>
          </w:tcPr>
          <w:p>
            <w:pPr>
              <w:bidi/>
              <w:spacing w:line="276"/>
              <w:jc w:val="right"/>
            </w:pPr>
            <w:r>
              <w:rPr>
                <w:b w:val="false"/>
                <w:bCs w:val="false"/>
              </w:rPr>
              <w:t xml:space="preserve">10</w:t>
            </w:r>
          </w:p>
        </w:tc>
        <w:tc>
          <w:tcPr>
            <w:tcW w:type="dxa" w:w="2050"/>
          </w:tcPr>
          <w:p>
            <w:pPr>
              <w:bidi/>
              <w:spacing w:line="276"/>
              <w:jc w:val="right"/>
            </w:pPr>
            <w:r>
              <w:rPr>
                <w:b w:val="false"/>
                <w:bCs w:val="false"/>
              </w:rPr>
              <w:t xml:space="preserve">Williams ואחרים (2023)</w:t>
            </w:r>
          </w:p>
        </w:tc>
        <w:tc>
          <w:tcPr>
            <w:tcW w:type="dxa" w:w="2050"/>
          </w:tcPr>
          <w:p>
            <w:pPr>
              <w:bidi/>
              <w:spacing w:line="276"/>
              <w:jc w:val="right"/>
            </w:pPr>
            <w:r>
              <w:rPr>
                <w:b w:val="false"/>
                <w:bCs w:val="false"/>
              </w:rPr>
              <w:t xml:space="preserve">ניסוי מבוקר אקראי (RCT)</w:t>
            </w:r>
          </w:p>
        </w:tc>
        <w:tc>
          <w:tcPr>
            <w:tcW w:type="dxa" w:w="1150"/>
          </w:tcPr>
          <w:p>
            <w:pPr>
              <w:bidi/>
              <w:spacing w:line="276"/>
              <w:jc w:val="right"/>
            </w:pPr>
            <w:r>
              <w:rPr>
                <w:b w:val="false"/>
                <w:bCs w:val="false"/>
              </w:rPr>
              <w:t xml:space="preserve">ממוקדת</w:t>
            </w:r>
          </w:p>
        </w:tc>
        <w:tc>
          <w:tcPr>
            <w:tcW w:type="dxa" w:w="2426"/>
          </w:tcPr>
          <w:p>
            <w:pPr>
              <w:bidi/>
              <w:spacing w:line="276"/>
              <w:jc w:val="right"/>
            </w:pPr>
            <w:r>
              <w:rPr>
                <w:b w:val="false"/>
                <w:bCs w:val="false"/>
              </w:rPr>
              <w:t xml:space="preserve">קצב ותנועה שיפרו ויסות רגשי מדווח בגן</w:t>
            </w:r>
          </w:p>
        </w:tc>
      </w:tr>
      <w:tr>
        <w:trPr>
          <w:tblHeader w:val="false"/>
        </w:trPr>
        <w:tc>
          <w:tcPr>
            <w:tcW w:type="dxa" w:w="620"/>
          </w:tcPr>
          <w:p>
            <w:pPr>
              <w:bidi/>
              <w:spacing w:line="276"/>
              <w:jc w:val="right"/>
            </w:pPr>
            <w:r>
              <w:rPr>
                <w:b w:val="false"/>
                <w:bCs w:val="false"/>
              </w:rPr>
              <w:t xml:space="preserve">11</w:t>
            </w:r>
          </w:p>
        </w:tc>
        <w:tc>
          <w:tcPr>
            <w:tcW w:type="dxa" w:w="2050"/>
          </w:tcPr>
          <w:p>
            <w:pPr>
              <w:bidi/>
              <w:spacing w:line="276"/>
              <w:jc w:val="right"/>
            </w:pPr>
            <w:r>
              <w:rPr>
                <w:b w:val="false"/>
                <w:bCs w:val="false"/>
              </w:rPr>
              <w:t xml:space="preserve">Moula ואחרים (2022)</w:t>
            </w:r>
          </w:p>
        </w:tc>
        <w:tc>
          <w:tcPr>
            <w:tcW w:type="dxa" w:w="2050"/>
          </w:tcPr>
          <w:p>
            <w:pPr>
              <w:bidi/>
              <w:spacing w:line="276"/>
              <w:jc w:val="right"/>
            </w:pPr>
            <w:r>
              <w:rPr>
                <w:b w:val="false"/>
                <w:bCs w:val="false"/>
              </w:rPr>
              <w:t xml:space="preserve">מחקר פיילוט מבוקר</w:t>
            </w:r>
          </w:p>
        </w:tc>
        <w:tc>
          <w:tcPr>
            <w:tcW w:type="dxa" w:w="1150"/>
          </w:tcPr>
          <w:p>
            <w:pPr>
              <w:bidi/>
              <w:spacing w:line="276"/>
              <w:jc w:val="right"/>
            </w:pPr>
            <w:r>
              <w:rPr>
                <w:b w:val="false"/>
                <w:bCs w:val="false"/>
              </w:rPr>
              <w:t xml:space="preserve">ממוקדת</w:t>
            </w:r>
          </w:p>
        </w:tc>
        <w:tc>
          <w:tcPr>
            <w:tcW w:type="dxa" w:w="2426"/>
          </w:tcPr>
          <w:p>
            <w:pPr>
              <w:bidi/>
              <w:spacing w:line="276"/>
              <w:jc w:val="right"/>
            </w:pPr>
            <w:r>
              <w:rPr>
                <w:b w:val="false"/>
                <w:bCs w:val="false"/>
              </w:rPr>
              <w:t xml:space="preserve">טיפול בתנועה שיפר רווחה וקשיים רגשיים-התנהגותיים</w:t>
            </w:r>
          </w:p>
        </w:tc>
      </w:tr>
    </w:tbl>
    <w:p>
      <w:pPr>
        <w:bidi/>
        <w:spacing w:line="360"/>
      </w:pPr>
    </w:p>
    <w:p>
      <w:pPr>
        <w:bidi/>
        <w:spacing w:after="120" w:before="240" w:line="360"/>
        <w:jc w:val="right"/>
      </w:pPr>
      <w:r>
        <w:rPr>
          <w:b/>
          <w:bCs/>
          <w:sz w:val="28"/>
          <w:szCs w:val="28"/>
        </w:rPr>
        <w:t xml:space="preserve">רשימת מקורות</w:t>
      </w:r>
    </w:p>
    <w:p>
      <w:pPr>
        <w:bidi/>
        <w:spacing w:after="80" w:before="0" w:line="360"/>
        <w:jc w:val="both"/>
      </w:pPr>
      <w:r>
        <w:rPr>
          <w:b/>
          <w:bCs/>
        </w:rPr>
        <w:t xml:space="preserve">מקורות בעברית</w:t>
      </w:r>
    </w:p>
    <w:p>
      <w:pPr>
        <w:bidi/>
        <w:spacing w:after="120" w:line="360"/>
        <w:ind w:hanging="340"/>
        <w:jc w:val="both"/>
      </w:pPr>
      <w:r>
        <w:t xml:space="preserve">כהן, ד' (2016). תגובות תנועתיות של ילדים בעת האזנה למוזיקה כייצוג לתפיסתם המוזיקלית. חוקרים @ הגיל הרך, 5, 52-56.</w:t>
      </w:r>
    </w:p>
    <w:p>
      <w:pPr>
        <w:bidi/>
        <w:spacing w:after="120" w:line="360"/>
        <w:ind w:hanging="340"/>
        <w:jc w:val="both"/>
      </w:pPr>
      <w:r>
        <w:t xml:space="preserve">סולקין, ע', מאיר, ת', וניקריטין, ח' (2022). בחירת הרפרטואר המוזיקלי בגני הילדים במגזרים השונים בחברה הישראלית. חוקרים @ הגיל הרך, 22.</w:t>
      </w:r>
    </w:p>
    <w:p>
      <w:pPr>
        <w:bidi/>
        <w:spacing w:after="120" w:line="360"/>
        <w:ind w:hanging="340"/>
        <w:jc w:val="both"/>
      </w:pPr>
      <w:r>
        <w:t xml:space="preserve">ענבר, ע' (2022). אופוס מס' 1 בהשראת סבדיני: התפתחות קולית, תקשורת ומוזיקליות בינקות. חוקרים @ הגיל הרך, 22.</w:t>
      </w:r>
    </w:p>
    <w:p>
      <w:pPr>
        <w:bidi/>
        <w:spacing w:after="80" w:before="120" w:line="360"/>
        <w:jc w:val="both"/>
      </w:pPr>
      <w:r>
        <w:rPr>
          <w:b/>
          <w:bCs/>
        </w:rPr>
        <w:t xml:space="preserve">מקורות באנגלית</w:t>
      </w:r>
    </w:p>
    <w:p>
      <w:pPr>
        <w:bidi/>
        <w:spacing w:after="120" w:line="360"/>
        <w:ind w:hanging="340"/>
        <w:jc w:val="both"/>
      </w:pPr>
      <w:r>
        <w:t xml:space="preserve">Brown, E. D., Blumenthal, M. A., &amp; Allen, A. A. (2022). The sound of self-regulation: Music program relates to an advantage for children at risk. Early Childhood Research Quarterly, 60, 126-136.</w:t>
      </w:r>
    </w:p>
    <w:p>
      <w:pPr>
        <w:bidi/>
        <w:spacing w:after="120" w:line="360"/>
        <w:ind w:hanging="340"/>
        <w:jc w:val="both"/>
      </w:pPr>
      <w:r>
        <w:t xml:space="preserve">Cetin, Z., &amp; Cevikbas, P. E. (2020). Using creative dance for expressing emotions in preschool children. Research in Dance Education, 21(3), 328-337.</w:t>
      </w:r>
    </w:p>
    <w:p>
      <w:pPr>
        <w:bidi/>
        <w:spacing w:after="120" w:line="360"/>
        <w:ind w:hanging="340"/>
        <w:jc w:val="both"/>
      </w:pPr>
      <w:r>
        <w:t xml:space="preserve">Lu, X., &amp; Song, S. (2025). Music-based emotion regulation: A bibliometric systematic review (2000-2024). Frontiers in Psychology, 16, 1565614.</w:t>
      </w:r>
    </w:p>
    <w:p>
      <w:pPr>
        <w:bidi/>
        <w:spacing w:after="120" w:line="360"/>
        <w:ind w:hanging="340"/>
        <w:jc w:val="both"/>
      </w:pPr>
      <w:r>
        <w:t xml:space="preserve">Moula, Z., Powell, J., Brocklehurst, S., &amp; Karkou, V. (2022). Feasibility, acceptability, and effectiveness of school-based dance movement psychotherapy for children with emotional and behavioral difficulties. Frontiers in Psychology, 13, 883334.</w:t>
      </w:r>
    </w:p>
    <w:p>
      <w:pPr>
        <w:bidi/>
        <w:spacing w:after="120" w:line="360"/>
        <w:ind w:hanging="340"/>
        <w:jc w:val="both"/>
      </w:pPr>
      <w:r>
        <w:t xml:space="preserve">Peters, V., Bissonnette, J., Nadeau, D., Gauthier-Legare, A., &amp; Noel, M.-A. (2024). The impact of musicking on emotion regulation: A systematic review and meta-analysis. Psychology of Music.</w:t>
      </w:r>
    </w:p>
    <w:p>
      <w:pPr>
        <w:bidi/>
        <w:spacing w:after="120" w:line="360"/>
        <w:ind w:hanging="340"/>
        <w:jc w:val="both"/>
      </w:pPr>
      <w:r>
        <w:t xml:space="preserve">Savina, E. (2025). Using movement to promote self-regulation in early childhood education. Contemporary School Psychology, 29, 461-471.</w:t>
      </w:r>
    </w:p>
    <w:p>
      <w:pPr>
        <w:bidi/>
        <w:spacing w:after="120" w:line="360"/>
        <w:ind w:hanging="340"/>
        <w:jc w:val="both"/>
      </w:pPr>
      <w:r>
        <w:t xml:space="preserve">Sena Moore, K., Burbach, K., &amp; Hanson-Abromeit, D. (2025). A theory of intervention model to define the essential characteristics of music to support emotion regulation development in early childhood. Frontiers in Neuroscience, 19, 1568789.</w:t>
      </w:r>
    </w:p>
    <w:p>
      <w:pPr>
        <w:bidi/>
        <w:spacing w:after="120" w:line="360"/>
        <w:ind w:hanging="340"/>
        <w:jc w:val="both"/>
      </w:pPr>
      <w:r>
        <w:t xml:space="preserve">Williams, K. E., Bentley, L. A., Savage, S., Eager, R., &amp; Nielson, C. (2023). Rhythm and movement delivered by teachers supports self-regulation skills of preschool-aged children in disadvantaged communities: A clustered RCT. Early Childhood Research Quarterly, 65, 115-128.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2026-07-22T21:32:21.366Z</dcterms:created>
  <dcterms:modified xsi:type="dcterms:W3CDTF">2026-07-22T21:32:21.367Z</dcterms:modified>
</cp:coreProperties>
</file>

<file path=docProps/custom.xml><?xml version="1.0" encoding="utf-8"?>
<Properties xmlns="http://schemas.openxmlformats.org/officeDocument/2006/custom-properties" xmlns:vt="http://schemas.openxmlformats.org/officeDocument/2006/docPropsVTypes"/>
</file>