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ההקשר הדמוגרפי־חברתי מבהיר את סדרי הגודל: בסוף שנת 2022 מנתה האוכלוסייה הערבית בישראל כ-2.04 מיליון נפש – כ-21.1% מכלל האוכלוסייה – וכשלושה רבעים מן התושבים הערבים מתגוררים ביישובים ערביים הומוגניים, בכ-163 יישובים.</w:t>
      </w:r>
      <w:r>
        <w:rPr>
          <w:rStyle w:val="FootnoteReference"/>
        </w:rPr>
        <w:footnoteReference w:id="17"/>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18"/>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9"/>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20"/>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21"/>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2"/>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3"/>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4"/>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5"/>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6"/>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7"/>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8"/>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9"/>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30"/>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 וממנו רשאי המרשה לחזור בו בכל עת; ויש ייפוי כוח הניתן לביצוע עסקה שאדם אחר מעוניין בה, ובידי אותו אחר "קנויה הזכות שהעסקה תבוצע" – וממנו אין המרשה יכול לחזור בו, שכן הביטול יפגע בזכות שכבר אינה שלו.</w:t>
      </w:r>
      <w:r>
        <w:rPr>
          <w:rStyle w:val="FootnoteReference"/>
        </w:rPr>
        <w:footnoteReference w:id="31"/>
      </w:r>
      <w:r>
        <w:rPr>
          <w:rFonts w:ascii="David" w:cs="David" w:eastAsia="David" w:hAnsi="David"/>
          <w:sz w:val="24"/>
          <w:szCs w:val="24"/>
          <w:rtl/>
        </w:rPr>
        <w:t xml:space="preserve"> שנית, כותרת "בלתי חוזר" אינה מילת קסם – וברק אף מטעים כי הכינוי עצמו "אינו מוצלח": אי־ההדירות היא תוצאת האינטרס המובטח, לא תולדת הכותרת שנבחרה למסמך.</w:t>
      </w:r>
      <w:r>
        <w:rPr>
          <w:rStyle w:val="FootnoteReference"/>
        </w:rPr>
        <w:footnoteReference w:id="32"/>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3"/>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 ואף רישום הערת אזהרה בלבד, מקום שהוא אפשרי, אינו מקנה הגנה זו.</w:t>
      </w:r>
      <w:r>
        <w:rPr>
          <w:rStyle w:val="FootnoteReference"/>
        </w:rPr>
        <w:footnoteReference w:id="34"/>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5"/>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 היא צמצמה את מספר הפרטים הנדרשים, פיתחה מנגנוני "השלמה נורמטיבית" מכוח הוראות חוק ונוהג, והתירה להשלים יסוד חסר אף בראיות חיצוניות שבעל־פה – עד שדי כיום, ככלל, במסמך דל פרטים המעיד כי הצדדים גמרו בדעתם להתקשר.</w:t>
      </w:r>
      <w:r>
        <w:rPr>
          <w:rStyle w:val="FootnoteReference"/>
        </w:rPr>
        <w:footnoteReference w:id="36"/>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 ואין הצדקה להפוך את דרישת הכתב למלכודת בעבורם.</w:t>
      </w:r>
      <w:r>
        <w:rPr>
          <w:rStyle w:val="FootnoteReference"/>
        </w:rPr>
        <w:footnoteReference w:id="37"/>
      </w:r>
      <w:r>
        <w:rPr>
          <w:rFonts w:ascii="David" w:cs="David" w:eastAsia="David" w:hAnsi="David"/>
          <w:sz w:val="24"/>
          <w:szCs w:val="24"/>
          <w:rtl/>
        </w:rPr>
        <w:t xml:space="preserve"> יישומה של זעקת ההגינות בסכסוך פנים־משפחתי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 העולה כדי הפרת חובת נאמנות – בשילוב ביצועה המלא של החלוקה מצדו של הצד השני, ממלאים את מבחני זעקת ההגינות ומרככים את דרישת הכתב.</w:t>
      </w:r>
      <w:r>
        <w:rPr>
          <w:rStyle w:val="FootnoteReference"/>
        </w:rPr>
        <w:footnoteReference w:id="38"/>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39"/>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40"/>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41"/>
      </w:r>
      <w:r>
        <w:rPr>
          <w:rFonts w:ascii="David" w:cs="David" w:eastAsia="David" w:hAnsi="David"/>
          <w:sz w:val="24"/>
          <w:szCs w:val="24"/>
          <w:rtl/>
        </w:rPr>
        <w:t xml:space="preserve"> על התחייבות ליתן מקרקעין במתנה חלה אפוא דרישת כתב כפולה – מכוח סעיף 5(א) לחוק המתנה ומכוח סעיף 8 לחוק המקרקעין –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42"/>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43"/>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44"/>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45"/>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46"/>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47"/>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8"/>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 שהייה ממושכת במקרקעין, וידיעת הבעלים על ההחזקה בלא שעשו דבר לאורך תקופה ארוכה.</w:t>
      </w:r>
      <w:r>
        <w:rPr>
          <w:rStyle w:val="FootnoteReference"/>
        </w:rPr>
        <w:footnoteReference w:id="49"/>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0"/>
      </w:r>
      <w:r>
        <w:rPr>
          <w:rFonts w:ascii="David" w:cs="David" w:eastAsia="David" w:hAnsi="David"/>
          <w:sz w:val="24"/>
          <w:szCs w:val="24"/>
          <w:rtl/>
        </w:rPr>
        <w:t xml:space="preserve"> ובהקשר המשפחתי פועלים יסודות אלה במלוא עוצמתם –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 יותנה הפינוי בפיצוי ממשי.</w:t>
      </w:r>
      <w:r>
        <w:rPr>
          <w:rStyle w:val="FootnoteReference"/>
        </w:rPr>
        <w:footnoteReference w:id="51"/>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52"/>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53"/>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בר־הרשות הבלתי הדירה גוברת על המעקל: מקום שהצדק מחייב את קיומה של זכות בלתי הדירה, מכוחו של השתק – המכונה גם השתק קנייני (proprietary estoppel) –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54"/>
      </w:r>
      <w:r>
        <w:rPr>
          <w:rFonts w:ascii="David" w:cs="David" w:eastAsia="David" w:hAnsi="David"/>
          <w:sz w:val="24"/>
          <w:szCs w:val="24"/>
          <w:rtl/>
        </w:rPr>
        <w:t xml:space="preserve"> זהו אחד המקומות שבהם הדוקטרינה הישראלית קוראת לעצמה בשמה האנגלי – עדות לכך שהזיקה לדיני היושר המשווים, שתידון בפרק ו, איננה מטפורה אלא ייחוס מפורש. ולבסוף, גם רישיון שבוטל כדין אינו מותיר את בר־הרשות בידיים ריקות: ביטולה של רשות שהושקע על יסודה עשוי להיות מותנה בפיצוי, אלא שההלכה גודרת אותו – פיצוי בגין השבחת המקרקעין, קרי ההשקעות שהשביחו את הקרקע, ולא פיצוי בגין זכות כלשהי במקרקעין.</w:t>
      </w:r>
      <w:r>
        <w:rPr>
          <w:rStyle w:val="FootnoteReference"/>
        </w:rPr>
        <w:footnoteReference w:id="55"/>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56"/>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57"/>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58"/>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59"/>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60"/>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61"/>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62"/>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63"/>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64"/>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65"/>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בר־רשות ובזכות אובליגטורית לדרוש חכירה ממינהל מקרקעי ישראל, הסכם – אף בעל־פה –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66"/>
      </w:r>
      <w:r>
        <w:rPr>
          <w:rFonts w:ascii="David" w:cs="David" w:eastAsia="David" w:hAnsi="David"/>
          <w:sz w:val="24"/>
          <w:szCs w:val="24"/>
          <w:rtl/>
        </w:rPr>
        <w:t xml:space="preserve"> ובמישור הדיוני – לעניין סיווג התביעה וסמכות הערכאות.</w:t>
      </w:r>
      <w:r>
        <w:rPr>
          <w:rStyle w:val="FootnoteReference"/>
        </w:rPr>
        <w:footnoteReference w:id="67"/>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68"/>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69"/>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70"/>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71"/>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72"/>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73"/>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74"/>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75"/>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76"/>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77"/>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78"/>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79"/>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80"/>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81"/>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82"/>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83"/>
      </w:r>
      <w:r>
        <w:rPr>
          <w:rFonts w:ascii="David" w:cs="David" w:eastAsia="David" w:hAnsi="David"/>
          <w:sz w:val="24"/>
          <w:szCs w:val="24"/>
          <w:rtl/>
        </w:rPr>
        <w:t xml:space="preserve"> תמונה מקבילה עולה מזירה כלכלית נוספת –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84"/>
      </w:r>
      <w:r>
        <w:rPr>
          <w:rFonts w:ascii="David" w:cs="David" w:eastAsia="David" w:hAnsi="David"/>
          <w:sz w:val="24"/>
          <w:szCs w:val="24"/>
          <w:rtl/>
        </w:rPr>
        <w:t xml:space="preserve"> התוצאה המבנית מרתקת: הדין הכלכלי – המס הגובה מזה והפיצוי התכנוני המשולם מזה –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85"/>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86"/>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87"/>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88"/>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89"/>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r>
        <w:rPr>
          <w:rStyle w:val="FootnoteReference"/>
        </w:rPr>
        <w:footnoteReference w:id="90"/>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91"/>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92"/>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93"/>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94"/>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95"/>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96"/>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97"/>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98"/>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99"/>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00"/>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101"/>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0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03"/>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04"/>
      </w:r>
      <w:r>
        <w:rPr>
          <w:rFonts w:ascii="David" w:cs="David" w:eastAsia="David" w:hAnsi="David"/>
          <w:sz w:val="24"/>
          <w:szCs w:val="24"/>
          <w:rtl/>
        </w:rPr>
        <w:t xml:space="preserve"> ודוק, הבדל אחד חשוב: במשפט המקובל האינטרס המבטיח את אי־ההדירות חייב להיות אינטרס של מיופה הכוח עצמו, ואילו חוק השליחות הישראלי הרחיב את ההגנה גם לאינטרס של צד שלישי – הרחבה שחשיבותה רבה דווקא בעסקאות המשפחתיות, שבהן ייפוי הכוח ניתן תכופות להבטחת זכותו של בן משפחה שאינו מיופה הכוח.</w:t>
      </w:r>
      <w:r>
        <w:rPr>
          <w:rStyle w:val="FootnoteReference"/>
        </w:rPr>
        <w:footnoteReference w:id="105"/>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106"/>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107"/>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08"/>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09"/>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110"/>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11"/>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112"/>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113"/>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114"/>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15"/>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116"/>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117"/>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18"/>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19"/>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20"/>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21"/>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22"/>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23"/>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24"/>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25"/>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26"/>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27"/>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 סעיפים 1521, 1522 ו-1527 שבה –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28"/>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29"/>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30"/>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31"/>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32"/>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33"/>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34"/>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35"/>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36"/>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37"/>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"חוזים על פי דיני התורה" כתר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18">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w:t>
      </w:r>
    </w:p>
  </w:footnote>
  <w:footnote w:id="19">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20">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21">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2">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3">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4">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5">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23</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6">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23</w:t>
      </w:r>
      <w:r>
        <w:rPr>
          <w:rFonts w:ascii="David" w:cs="David" w:eastAsia="David" w:hAnsi="David"/>
          <w:sz w:val="20"/>
          <w:szCs w:val="20"/>
          <w:rtl/>
        </w:rPr>
        <w:t xml:space="preserve">.</w:t>
      </w:r>
    </w:p>
  </w:footnote>
  <w:footnote w:id="28">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9">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0">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1">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 ראו 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1244–1245.</w:t>
      </w:r>
    </w:p>
  </w:footnote>
  <w:footnote w:id="32">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1242.</w:t>
      </w:r>
    </w:p>
  </w:footnote>
  <w:footnote w:id="33">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35">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6">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493–525 (מהדורה שנייה, 2018) (להלן: פרידמן וכהן).</w:t>
      </w:r>
    </w:p>
  </w:footnote>
  <w:footnote w:id="37">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500.</w:t>
      </w:r>
    </w:p>
  </w:footnote>
  <w:footnote w:id="38">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540.</w:t>
      </w:r>
    </w:p>
  </w:footnote>
  <w:footnote w:id="39">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 "משרידיו האחרונים של המשפט העותומני" –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485–488.</w:t>
      </w:r>
    </w:p>
  </w:footnote>
  <w:footnote w:id="40">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41">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42">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534–535.</w:t>
      </w:r>
    </w:p>
  </w:footnote>
  <w:footnote w:id="43">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41</w:t>
      </w:r>
      <w:r>
        <w:rPr>
          <w:rFonts w:ascii="David" w:cs="David" w:eastAsia="David" w:hAnsi="David"/>
          <w:sz w:val="20"/>
          <w:szCs w:val="20"/>
          <w:rtl/>
        </w:rPr>
        <w:t xml:space="preserve">, בעמ׳ 344 ואילך.</w:t>
      </w:r>
    </w:p>
  </w:footnote>
  <w:footnote w:id="44">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41</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45">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46">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47">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41</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8">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49">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405–408 (מהדורה שנייה, 2023) (להלן: שקד).</w:t>
      </w:r>
    </w:p>
  </w:footnote>
  <w:footnote w:id="50">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51">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49</w:t>
      </w:r>
      <w:r>
        <w:rPr>
          <w:rFonts w:ascii="David" w:cs="David" w:eastAsia="David" w:hAnsi="David"/>
          <w:sz w:val="20"/>
          <w:szCs w:val="20"/>
          <w:rtl/>
        </w:rPr>
        <w:t xml:space="preserve">, בעמ׳ 415–418.</w:t>
      </w:r>
    </w:p>
  </w:footnote>
  <w:footnote w:id="52">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49</w:t>
      </w:r>
      <w:r>
        <w:rPr>
          <w:rFonts w:ascii="David" w:cs="David" w:eastAsia="David" w:hAnsi="David"/>
          <w:sz w:val="20"/>
          <w:szCs w:val="20"/>
          <w:rtl/>
        </w:rPr>
        <w:t xml:space="preserve">, בעמ׳ 419.</w:t>
      </w:r>
    </w:p>
  </w:footnote>
  <w:footnote w:id="53">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54">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49</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55">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50</w:t>
      </w:r>
      <w:r>
        <w:rPr>
          <w:rFonts w:ascii="David" w:cs="David" w:eastAsia="David" w:hAnsi="David"/>
          <w:sz w:val="20"/>
          <w:szCs w:val="20"/>
          <w:rtl/>
        </w:rPr>
        <w:t xml:space="preserve">; שקד, </w:t>
      </w:r>
      <w:r>
        <w:rPr>
          <w:rFonts w:ascii="David" w:cs="David" w:eastAsia="David" w:hAnsi="David"/>
          <w:sz w:val="20"/>
          <w:szCs w:val="20"/>
          <w:rtl/>
        </w:rPr>
        <w:t xml:space="preserve">לעיל ה"ש 49</w:t>
      </w:r>
      <w:r>
        <w:rPr>
          <w:rFonts w:ascii="David" w:cs="David" w:eastAsia="David" w:hAnsi="David"/>
          <w:sz w:val="20"/>
          <w:szCs w:val="20"/>
          <w:rtl/>
        </w:rPr>
        <w:t xml:space="preserve">, בעמ׳ 430–433.</w:t>
      </w:r>
    </w:p>
  </w:footnote>
  <w:footnote w:id="56">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שקד, </w:t>
      </w:r>
      <w:r>
        <w:rPr>
          <w:rFonts w:ascii="David" w:cs="David" w:eastAsia="David" w:hAnsi="David"/>
          <w:sz w:val="20"/>
          <w:szCs w:val="20"/>
          <w:rtl/>
        </w:rPr>
        <w:t xml:space="preserve">לעיל ה"ש 49</w:t>
      </w:r>
      <w:r>
        <w:rPr>
          <w:rFonts w:ascii="David" w:cs="David" w:eastAsia="David" w:hAnsi="David"/>
          <w:sz w:val="20"/>
          <w:szCs w:val="20"/>
          <w:rtl/>
        </w:rPr>
        <w:t xml:space="preserve">, פרק שנים-עשר.</w:t>
      </w:r>
    </w:p>
  </w:footnote>
  <w:footnote w:id="57">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49</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48</w:t>
      </w:r>
      <w:r>
        <w:rPr>
          <w:rFonts w:ascii="David" w:cs="David" w:eastAsia="David" w:hAnsi="David"/>
          <w:sz w:val="20"/>
          <w:szCs w:val="20"/>
          <w:rtl/>
        </w:rPr>
        <w:t xml:space="preserve">, לעניין היחס בין רישיון לחזקה.</w:t>
      </w:r>
    </w:p>
  </w:footnote>
  <w:footnote w:id="5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59">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6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59</w:t>
      </w:r>
      <w:r>
        <w:rPr>
          <w:rFonts w:ascii="David" w:cs="David" w:eastAsia="David" w:hAnsi="David"/>
          <w:sz w:val="20"/>
          <w:szCs w:val="20"/>
          <w:rtl/>
        </w:rPr>
        <w:t xml:space="preserve">, בעמ׳ 3–4 לפסק הדין.</w:t>
      </w:r>
    </w:p>
  </w:footnote>
  <w:footnote w:id="61">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62">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63">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64">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65">
    <w:p>
      <w:pPr>
        <w:bidi/>
        <w:spacing w:after="60"/>
      </w:pPr>
      <w:r>
        <w:rPr>
          <w:rStyle w:val="FootnoteReference"/>
        </w:rPr>
        <w:footnoteRef/>
      </w:r>
      <w:r>
        <w:rPr>
          <w:rFonts w:ascii="David" w:cs="David" w:eastAsia="David" w:hAnsi="David"/>
          <w:sz w:val="20"/>
          <w:szCs w:val="20"/>
          <w:rtl/>
        </w:rPr>
        <w:t xml:space="preserve">להנחת המסד העיוני של ההבחנה – כוחה של הזכות הקניינית כלפי כולי עלמא לעומת כוחה של הזכות האישית בין הצדדים בלבד –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66">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הפנים-משפחתיות כולן פועלות במישור האובליגטורי –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499–500.</w:t>
      </w:r>
    </w:p>
  </w:footnote>
  <w:footnote w:id="67">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68">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59</w:t>
      </w:r>
      <w:r>
        <w:rPr>
          <w:rFonts w:ascii="David" w:cs="David" w:eastAsia="David" w:hAnsi="David"/>
          <w:sz w:val="20"/>
          <w:szCs w:val="20"/>
          <w:rtl/>
        </w:rPr>
        <w:t xml:space="preserve">.</w:t>
      </w:r>
    </w:p>
  </w:footnote>
  <w:footnote w:id="69">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71">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61</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50</w:t>
      </w:r>
      <w:r>
        <w:rPr>
          <w:rFonts w:ascii="David" w:cs="David" w:eastAsia="David" w:hAnsi="David"/>
          <w:sz w:val="20"/>
          <w:szCs w:val="20"/>
          <w:rtl/>
        </w:rPr>
        <w:t xml:space="preserve">.</w:t>
      </w:r>
    </w:p>
  </w:footnote>
  <w:footnote w:id="7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73">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74">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76">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77">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78">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 בעמ׳ 282.</w:t>
      </w:r>
    </w:p>
  </w:footnote>
  <w:footnote w:id="79">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80">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81">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82">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 בעמ׳ 151.</w:t>
      </w:r>
    </w:p>
  </w:footnote>
  <w:footnote w:id="83">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 בעמ׳ 153–154.</w:t>
      </w:r>
    </w:p>
  </w:footnote>
  <w:footnote w:id="84">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85">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w:t>
      </w:r>
    </w:p>
  </w:footnote>
  <w:footnote w:id="86">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 בעמ׳ 282–284, והפסיקה הנסקרת שם.</w:t>
      </w:r>
    </w:p>
  </w:footnote>
  <w:footnote w:id="87">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w:t>
      </w:r>
    </w:p>
  </w:footnote>
  <w:footnote w:id="88">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89">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 שבו לא נזקפה ההתנהלות הבלתי פורמלית רבת-השנים לחובת הרוכשת.</w:t>
      </w:r>
    </w:p>
  </w:footnote>
  <w:footnote w:id="90">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 בלא כל דרישת רישום –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כתר א 71–75 (תשנ"ו). מפאת קוצר היריעה לא יורחב הדיון בשיטה זו.</w:t>
      </w:r>
    </w:p>
  </w:footnote>
  <w:footnote w:id="91">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92">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93">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94">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95">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97">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99">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100">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41</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0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46</w:t>
      </w:r>
      <w:r>
        <w:rPr>
          <w:rFonts w:ascii="David" w:cs="David" w:eastAsia="David" w:hAnsi="David"/>
          <w:sz w:val="20"/>
          <w:szCs w:val="20"/>
          <w:rtl/>
        </w:rPr>
        <w:t xml:space="preserve">.</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03">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04">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105">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1243.</w:t>
      </w:r>
    </w:p>
  </w:footnote>
  <w:footnote w:id="106">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08">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09">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88</w:t>
      </w:r>
      <w:r>
        <w:rPr>
          <w:rFonts w:ascii="David" w:cs="David" w:eastAsia="David" w:hAnsi="David"/>
          <w:sz w:val="20"/>
          <w:szCs w:val="20"/>
          <w:rtl/>
        </w:rPr>
        <w:t xml:space="preserve">.</w:t>
      </w:r>
    </w:p>
  </w:footnote>
  <w:footnote w:id="110">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111">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112">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113">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14">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15">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106</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116">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117">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19">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20">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22">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23">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41</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24">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25">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26">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27">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28">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29">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30">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31">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32">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134">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45</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99</w:t>
      </w:r>
      <w:r>
        <w:rPr>
          <w:rFonts w:ascii="David" w:cs="David" w:eastAsia="David" w:hAnsi="David"/>
          <w:sz w:val="20"/>
          <w:szCs w:val="20"/>
          <w:rtl/>
        </w:rPr>
        <w:t xml:space="preserve">.</w:t>
      </w:r>
    </w:p>
  </w:footnote>
  <w:footnote w:id="136">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37">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2026-08-28T09:14:03.375Z</dcterms:created>
  <dcterms:modified xsi:type="dcterms:W3CDTF">2026-08-28T09:14:03.375Z</dcterms:modified>
</cp:coreProperties>
</file>

<file path=docProps/custom.xml><?xml version="1.0" encoding="utf-8"?>
<Properties xmlns="http://schemas.openxmlformats.org/officeDocument/2006/custom-properties" xmlns:vt="http://schemas.openxmlformats.org/officeDocument/2006/docPropsVTypes"/>
</file>