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0"/>
        <w:jc w:val="center"/>
      </w:pPr>
      <w:r>
        <w:rPr>
          <w:b/>
          <w:sz w:val="32"/>
          <w:rtl/>
          <w:szCs w:val="32"/>
          <w:bCs/>
        </w:rPr>
        <w:t>המרכז האקדמי פרס</w:t>
      </w:r>
    </w:p>
    <w:p>
      <w:pPr>
        <w:bidi/>
        <w:spacing w:before="0" w:after="0"/>
        <w:jc w:val="center"/>
      </w:pPr>
      <w:r>
        <w:rPr>
          <w:sz w:val="26"/>
          <w:rtl/>
          <w:szCs w:val="26"/>
        </w:rPr>
        <w:t>התכנית לייעוץ ופיתוח ארגוני, תואר שני</w:t>
      </w:r>
    </w:p>
    <w:p>
      <w:pPr>
        <w:bidi/>
        <w:spacing w:before="2400" w:after="0"/>
        <w:jc w:val="center"/>
      </w:pPr>
      <w:r>
        <w:rPr>
          <w:b/>
          <w:sz w:val="32"/>
          <w:rtl/>
          <w:szCs w:val="32"/>
          <w:bCs/>
        </w:rPr>
        <w:t>עבודה מסכמת</w:t>
      </w:r>
    </w:p>
    <w:p>
      <w:pPr>
        <w:bidi/>
        <w:spacing w:before="240" w:after="0"/>
        <w:jc w:val="center"/>
      </w:pPr>
      <w:r>
        <w:rPr>
          <w:b/>
          <w:sz w:val="32"/>
          <w:rtl/>
          <w:szCs w:val="32"/>
          <w:bCs/>
        </w:rPr>
        <w:t>היבטים משפטיים ואתיים בייעוץ ופיתוח ארגוני</w:t>
      </w:r>
    </w:p>
    <w:p>
      <w:pPr>
        <w:bidi/>
        <w:spacing w:before="0" w:after="0"/>
        <w:jc w:val="center"/>
      </w:pPr>
      <w:r>
        <w:rPr>
          <w:sz w:val="26"/>
          <w:rtl/>
          <w:szCs w:val="26"/>
        </w:rPr>
        <w:t>(קוד הקורס: 3008)</w:t>
      </w:r>
    </w:p>
    <w:p>
      <w:pPr>
        <w:bidi/>
        <w:spacing w:before="1800" w:after="0"/>
        <w:jc w:val="center"/>
      </w:pPr>
      <w:r>
        <w:rPr>
          <w:sz w:val="26"/>
          <w:rtl/>
          <w:szCs w:val="26"/>
        </w:rPr>
        <w:t>מרצה: ד"ר גליה הילדסהימר</w:t>
      </w:r>
    </w:p>
    <w:p>
      <w:pPr>
        <w:bidi/>
        <w:spacing w:before="0" w:after="0"/>
        <w:jc w:val="center"/>
      </w:pPr>
      <w:r>
        <w:rPr>
          <w:sz w:val="26"/>
          <w:rtl/>
          <w:szCs w:val="26"/>
        </w:rPr>
        <w:t>מתרגל: עו"ד טל מזר</w:t>
      </w:r>
    </w:p>
    <w:p>
      <w:pPr>
        <w:bidi/>
        <w:spacing w:before="1800" w:after="0"/>
        <w:jc w:val="center"/>
      </w:pPr>
      <w:r>
        <w:rPr>
          <w:sz w:val="26"/>
          <w:rtl/>
          <w:szCs w:val="26"/>
        </w:rPr>
        <w:t>מגיש/ה: ____________________</w:t>
      </w:r>
    </w:p>
    <w:p>
      <w:pPr>
        <w:bidi/>
        <w:spacing w:before="0" w:after="0"/>
        <w:jc w:val="center"/>
      </w:pPr>
      <w:r>
        <w:rPr>
          <w:sz w:val="26"/>
          <w:rtl/>
          <w:szCs w:val="26"/>
        </w:rPr>
        <w:t>ת"ז: ____________________</w:t>
      </w:r>
    </w:p>
    <w:p>
      <w:pPr>
        <w:bidi/>
        <w:spacing w:before="1800" w:after="0"/>
        <w:jc w:val="center"/>
      </w:pPr>
      <w:r>
        <w:rPr>
          <w:sz w:val="26"/>
          <w:rtl/>
          <w:szCs w:val="26"/>
        </w:rPr>
        <w:t>סמסטר קיץ, שנה"ל תשפ"ו</w:t>
      </w:r>
    </w:p>
    <w:p>
      <w:pPr>
        <w:bidi/>
        <w:spacing w:before="0" w:after="0"/>
        <w:jc w:val="center"/>
      </w:pPr>
      <w:r>
        <w:rPr>
          <w:sz w:val="26"/>
          <w:rtl/>
          <w:szCs w:val="26"/>
        </w:rPr>
        <w:t>אוקטובר 2026</w:t>
      </w:r>
    </w:p>
    <w:p>
      <w:pPr>
        <w:pageBreakBefore/>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w:t>
      </w:r>
      <w:r>
        <w:rPr>
          <w:vertAlign w:val="superscript"/>
        </w:rPr>
        <w:footnoteReference w:id="1"/>
      </w:r>
      <w:r>
        <w:rPr>
          <w:sz w:val="24"/>
          <w:rtl/>
          <w:szCs w:val="24"/>
        </w:rPr>
        <w:t xml:space="preserve"> הזכות הראשונה מעוגנת ב</w:t>
      </w:r>
      <w:r>
        <w:rPr>
          <w:b/>
          <w:sz w:val="24"/>
          <w:rtl/>
          <w:szCs w:val="24"/>
          <w:bCs/>
        </w:rPr>
        <w:t>סעיף 33ח לחוק הסכמים קיבוציים</w:t>
      </w:r>
      <w:r>
        <w:rPr>
          <w:sz w:val="24"/>
          <w:rtl/>
          <w:szCs w:val="24"/>
        </w:rPr>
        <w:t>,</w:t>
      </w:r>
      <w:r>
        <w:rPr>
          <w:vertAlign w:val="superscript"/>
        </w:rPr>
        <w:footnoteReference w:id="2"/>
      </w:r>
      <w:r>
        <w:rPr>
          <w:sz w:val="24"/>
          <w:rtl/>
          <w:szCs w:val="24"/>
        </w:rPr>
        <w:t xml:space="preserve">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כלומר הארגון שבו מאורגן המספר הגדול ביותר של העובדים, ובלבד שאינו פחות משליש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עניין עמית</w:t>
      </w:r>
      <w:r>
        <w:rPr>
          <w:sz w:val="24"/>
          <w:rtl/>
          <w:szCs w:val="24"/>
        </w:rPr>
        <w:t>.</w:t>
      </w:r>
      <w:r>
        <w:rPr>
          <w:vertAlign w:val="superscript"/>
        </w:rPr>
        <w:footnoteReference w:id="3"/>
      </w:r>
      <w:r>
        <w:rPr>
          <w:sz w:val="24"/>
          <w:rtl/>
          <w:szCs w:val="24"/>
        </w:rPr>
        <w:t xml:space="preserve"> </w:t>
      </w:r>
      <w:r>
        <w:rPr>
          <w:b/>
          <w:sz w:val="24"/>
          <w:rtl/>
          <w:szCs w:val="24"/>
          <w:bCs/>
        </w:rPr>
        <w:t>מבחן החברות</w:t>
      </w:r>
      <w:r>
        <w:rPr>
          <w:sz w:val="24"/>
          <w:rtl/>
          <w:szCs w:val="24"/>
        </w:rPr>
        <w:t xml:space="preserve">: החברים הם בעיקר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קידום תנאי העבודה בדרך של משא ומתן קיבוצי. </w:t>
      </w:r>
      <w:r>
        <w:rPr>
          <w:b/>
          <w:sz w:val="24"/>
          <w:rtl/>
          <w:szCs w:val="24"/>
          <w:bCs/>
        </w:rPr>
        <w:t>מבחן ההתארגנות</w:t>
      </w:r>
      <w:r>
        <w:rPr>
          <w:sz w:val="24"/>
          <w:rtl/>
          <w:szCs w:val="24"/>
        </w:rPr>
        <w:t xml:space="preserve">: ארגון של קבע, עצמאי,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 xml:space="preserve">מבחני החברות והתקנון מתקיימים, והקושי בשני האחרים. </w:t>
      </w:r>
      <w:r>
        <w:rPr>
          <w:b/>
          <w:sz w:val="24"/>
          <w:rtl/>
          <w:szCs w:val="24"/>
          <w:bCs/>
        </w:rPr>
        <w:t>מבחן המטרה.</w:t>
      </w:r>
      <w:r>
        <w:rPr>
          <w:sz w:val="24"/>
          <w:rtl/>
          <w:szCs w:val="24"/>
        </w:rPr>
        <w:t xml:space="preserve"> אף שסעיף הסמכויות מקנה לקבוצה סמכויות של ארגון עובדים, </w:t>
      </w:r>
      <w:r>
        <w:rPr>
          <w:b/>
          <w:sz w:val="24"/>
          <w:rtl/>
          <w:szCs w:val="24"/>
          <w:bCs/>
        </w:rPr>
        <w:t>מטרה ד'</w:t>
      </w:r>
      <w:r>
        <w:rPr>
          <w:sz w:val="24"/>
          <w:rtl/>
          <w:szCs w:val="24"/>
        </w:rPr>
        <w:t xml:space="preserve"> מוציאה מראש מתחום הפעולה הקיבוצית את השכר, הבונוסים והאופציות.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לפי </w:t>
      </w:r>
      <w:r>
        <w:rPr>
          <w:b/>
          <w:sz w:val="24"/>
          <w:rtl/>
          <w:szCs w:val="24"/>
          <w:bCs/>
        </w:rPr>
        <w:t>סעיף 22 לחוק</w:t>
      </w:r>
      <w:r>
        <w:rPr>
          <w:sz w:val="24"/>
          <w:rtl/>
          <w:szCs w:val="24"/>
        </w:rPr>
        <w:t xml:space="preserve"> הוראה אישית לטובת העובד גוברת על ההסכם הקיבוצי.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בנוקיה הוקם ארגון פנימי כחלופה להסתדרות, שהדגיש "שמירה על החוזה האישי של כל עובד". בית הדין הארצי קבע כי העמידה במבחני עניין עמית נבחנת במועד הכרזת היציגות, וכי אין להקל בהם גם לארגון חדש, ובוודאי לא במבחן המטרה.</w:t>
      </w:r>
      <w:r>
        <w:rPr>
          <w:vertAlign w:val="superscript"/>
        </w:rPr>
        <w:footnoteReference w:id="4"/>
      </w:r>
      <w:r>
        <w:rPr>
          <w:sz w:val="24"/>
          <w:rtl/>
          <w:szCs w:val="24"/>
        </w:rPr>
        <w:t xml:space="preserve"> מטרתו העיקרית של ארגון עובדים חייבת להיות משא ומתן קיבוצי לשיפור תנאי העבודה,</w:t>
      </w:r>
      <w:r>
        <w:rPr>
          <w:vertAlign w:val="superscript"/>
        </w:rPr>
        <w:footnoteReference w:id="5"/>
      </w:r>
      <w:r>
        <w:rPr>
          <w:sz w:val="24"/>
          <w:rtl/>
          <w:szCs w:val="24"/>
        </w:rPr>
        <w:t xml:space="preserve"> וכשעיקר התנאים מעוגנים בחוזים האישיים, נותרת לזירה הקיבוצית רק "הפריפריה" של תנאי העבודה.</w:t>
      </w:r>
      <w:r>
        <w:rPr>
          <w:vertAlign w:val="superscript"/>
        </w:rPr>
        <w:footnoteReference w:id="6"/>
      </w:r>
      <w:r>
        <w:rPr>
          <w:sz w:val="24"/>
          <w:rtl/>
          <w:szCs w:val="24"/>
        </w:rPr>
        <w:t xml:space="preserve"> עוד נקבע כי אותנטיות היא תנאי הכרחי אך לא מספיק, ו"התארגנות אותנטית של שני שלישים מעובדי המפעל בארגון שכל תכליתה התנגדות ליחסי עבודה קיבוציים אינה יכולה להפוך את אותה התארגנות לארגון עובדים".</w:t>
      </w:r>
      <w:r>
        <w:rPr>
          <w:vertAlign w:val="superscript"/>
        </w:rPr>
        <w:footnoteReference w:id="7"/>
      </w:r>
      <w:r>
        <w:rPr>
          <w:sz w:val="24"/>
          <w:rtl/>
          <w:szCs w:val="24"/>
        </w:rPr>
        <w:t xml:space="preserve"> כך גם כאן, ואין נפקות לכך שעובדים רבים הצטרפו לקבוצה.</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חבריה אינם נספרים לצורך היציגות, והודעתה כי היא הארגון היציג חסרת נפקות. חובת המעסיק לנהל משא ומתן בהתארגנות ראשונית חלה רק כלפי ארגון יציג לפי סעיף 3 (</w:t>
      </w:r>
      <w:r>
        <w:rPr>
          <w:b/>
          <w:sz w:val="24"/>
          <w:rtl/>
          <w:szCs w:val="24"/>
          <w:bCs/>
        </w:rPr>
        <w:t>סעיף 33ח1</w:t>
      </w:r>
      <w:r>
        <w:rPr>
          <w:sz w:val="24"/>
          <w:rtl/>
          <w:szCs w:val="24"/>
        </w:rPr>
        <w:t>),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vertAlign w:val="superscript"/>
        </w:rPr>
        <w:footnoteReference w:id="8"/>
      </w:r>
      <w:r>
        <w:rPr>
          <w:sz w:val="24"/>
          <w:rtl/>
          <w:szCs w:val="24"/>
        </w:rPr>
        <w:t xml:space="preserve"> נקבע כי בשלב </w:t>
      </w:r>
      <w:r>
        <w:rPr>
          <w:b/>
          <w:sz w:val="24"/>
          <w:rtl/>
          <w:szCs w:val="24"/>
          <w:bCs/>
        </w:rPr>
        <w:t>ההתארגנות הפורצת</w:t>
      </w:r>
      <w:r>
        <w:rPr>
          <w:sz w:val="24"/>
          <w:rtl/>
          <w:szCs w:val="24"/>
        </w:rPr>
        <w:t>, לפני שקם ארגון יציג, גובר חופש ההתארגנות על חופש הביטוי של המעסיק. המעסיק אינו רשאי להביע עמדה על ההתארגנות בשום ערוץ, לרבות ב</w:t>
      </w:r>
      <w:r>
        <w:rPr>
          <w:b/>
          <w:sz w:val="24"/>
          <w:rtl/>
          <w:szCs w:val="24"/>
          <w:bCs/>
        </w:rPr>
        <w:t>שיחות אישיות</w:t>
      </w:r>
      <w:r>
        <w:rPr>
          <w:sz w:val="24"/>
          <w:rtl/>
          <w:szCs w:val="24"/>
        </w:rPr>
        <w:t xml:space="preserve"> ובדואר אלקטרוני, וגם הצבעה על חסרונותיה לעובדים או לחברה, נכונה ככל שתהיה, אסורה. ההלכה אושרה בבג"ץ.</w:t>
      </w:r>
      <w:r>
        <w:rPr>
          <w:vertAlign w:val="superscript"/>
        </w:rPr>
        <w:footnoteReference w:id="9"/>
      </w:r>
      <w:r>
        <w:rPr>
          <w:sz w:val="24"/>
          <w:rtl/>
          <w:szCs w:val="24"/>
        </w:rPr>
        <w:t xml:space="preserve">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שנאסר במפורש. חומרתה רבה, שכן המנהלים משפיעים על הבונוסים והקידום. </w:t>
      </w:r>
      <w:r>
        <w:rPr>
          <w:b/>
          <w:sz w:val="24"/>
          <w:rtl/>
          <w:szCs w:val="24"/>
          <w:bCs/>
        </w:rPr>
        <w:t>הפגישה עם הקבוצה ודברי השבח</w:t>
      </w:r>
      <w:r>
        <w:rPr>
          <w:sz w:val="24"/>
          <w:rtl/>
          <w:szCs w:val="24"/>
        </w:rPr>
        <w:t xml:space="preserve"> כלפיה מעבירים בעקיפין את אותו מסר.</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w:t>
      </w:r>
      <w:r>
        <w:rPr>
          <w:sz w:val="24"/>
          <w:rtl/>
          <w:szCs w:val="24"/>
        </w:rPr>
        <w:t xml:space="preserve"> נועד להגן על כבוד האדם, חירותו ופרטיותו.</w:t>
      </w:r>
      <w:r>
        <w:rPr>
          <w:vertAlign w:val="superscript"/>
        </w:rPr>
        <w:footnoteReference w:id="10"/>
      </w:r>
      <w:r>
        <w:rPr>
          <w:sz w:val="24"/>
          <w:rtl/>
          <w:szCs w:val="24"/>
        </w:rPr>
        <w:t xml:space="preserve">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w:t>
      </w:r>
    </w:p>
    <w:p>
      <w:pPr>
        <w:bidi/>
        <w:spacing w:before="0" w:after="0"/>
        <w:jc w:val="both"/>
      </w:pPr>
      <w:r>
        <w:rPr>
          <w:sz w:val="24"/>
          <w:rtl/>
          <w:szCs w:val="24"/>
        </w:rPr>
        <w:t>"הראה" פירושו במילים או בהתנהגות שאין ספק סביר לגבי משמעותה (הגדרות שבסעיף 2 לחוק), שכן התייחסויות כאלה כשלעצמן הן התנהגות ניטרלית, ההופכת להטרדה רק כשאינה רצויה.</w:t>
      </w:r>
      <w:r>
        <w:rPr>
          <w:vertAlign w:val="superscript"/>
        </w:rPr>
        <w:footnoteReference w:id="11"/>
      </w:r>
      <w:r>
        <w:rPr>
          <w:sz w:val="24"/>
          <w:rtl/>
          <w:szCs w:val="24"/>
        </w:rPr>
        <w:t xml:space="preserve">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יחסי מרות בעבודה, אין צורך שהמוטרד יראה שאינו מעוניין. ב</w:t>
      </w:r>
      <w:r>
        <w:rPr>
          <w:b/>
          <w:sz w:val="24"/>
          <w:rtl/>
          <w:szCs w:val="24"/>
          <w:bCs/>
        </w:rPr>
        <w:t>עניין מדר</w:t>
      </w:r>
      <w:r>
        <w:rPr>
          <w:vertAlign w:val="superscript"/>
        </w:rPr>
        <w:footnoteReference w:id="12"/>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משפיעה על שיבוץ וקידום עובדים צעירים כמו אורי. לפי הלכת מדר אלה יחסי מרות. חלופה זו מכירה בחולשת הכפוף, העלולה לשלול ממנו רצון חופשי, ומטילה על בעל המרות לזהות בעצמו התנהגות שעלולה להיתפס כמטרידה.</w:t>
      </w:r>
      <w:r>
        <w:rPr>
          <w:vertAlign w:val="superscript"/>
        </w:rPr>
        <w:footnoteReference w:id="13"/>
      </w:r>
      <w:r>
        <w:rPr>
          <w:sz w:val="24"/>
          <w:rtl/>
          <w:szCs w:val="24"/>
        </w:rPr>
        <w:t xml:space="preserve"> לכן השתתפותו של אורי אינה מעידה בהכרח על הסכמה.</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על נטייתו של אורי נשאלה פעם אחת. רוב השיחות עסקו בחייה של דנה והיו הדדיות, ולכן קשה לבסס כאן הטרדה מינית.</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w:t>
      </w:r>
      <w:r>
        <w:rPr>
          <w:b/>
          <w:sz w:val="24"/>
          <w:rtl/>
          <w:szCs w:val="24"/>
          <w:bCs/>
        </w:rPr>
        <w:t>סעיף 7(א) לחוק</w:t>
      </w:r>
      <w:r>
        <w:rPr>
          <w:sz w:val="24"/>
          <w:rtl/>
          <w:szCs w:val="24"/>
        </w:rPr>
        <w:t xml:space="preserve">). Frame מעסיקה כ-70 עובדים, ולכן עליה גם לפרסם תקנון מותאם ולמנות </w:t>
      </w:r>
      <w:r>
        <w:rPr>
          <w:b/>
          <w:sz w:val="24"/>
          <w:rtl/>
          <w:szCs w:val="24"/>
          <w:bCs/>
        </w:rPr>
        <w:t>אחראי</w:t>
      </w:r>
      <w:r>
        <w:rPr>
          <w:sz w:val="24"/>
          <w:rtl/>
          <w:szCs w:val="24"/>
        </w:rPr>
        <w:t xml:space="preserve"> לבירור תלונות (</w:t>
      </w:r>
      <w:r>
        <w:rPr>
          <w:b/>
          <w:sz w:val="24"/>
          <w:rtl/>
          <w:szCs w:val="24"/>
          <w:bCs/>
        </w:rPr>
        <w:t>סעיף 7(ב)</w:t>
      </w:r>
      <w:r>
        <w:rPr>
          <w:sz w:val="24"/>
          <w:rtl/>
          <w:szCs w:val="24"/>
        </w:rPr>
        <w:t>).</w:t>
      </w:r>
      <w:r>
        <w:rPr>
          <w:vertAlign w:val="superscript"/>
        </w:rPr>
        <w:footnoteReference w:id="14"/>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חוק שוויון ההזדמנויות בעבודה</w:t>
      </w:r>
      <w:r>
        <w:rPr>
          <w:sz w:val="24"/>
          <w:rtl/>
          <w:szCs w:val="24"/>
        </w:rPr>
        <w:t xml:space="preserve">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w:t>
      </w:r>
      <w:r>
        <w:rPr>
          <w:vertAlign w:val="superscript"/>
        </w:rPr>
        <w:footnoteReference w:id="15"/>
      </w:r>
      <w:r>
        <w:rPr>
          <w:sz w:val="24"/>
          <w:rtl/>
          <w:szCs w:val="24"/>
        </w:rPr>
        <w:t xml:space="preserve"> אם יוכרו יחסי מרות, גם השאלה הבודדת על נטייתו של אורי עשויה להספיק, והתנכלות אפשרית גם כשהמוטרד שיתף פעולה ולא סירב.</w:t>
      </w:r>
      <w:r>
        <w:rPr>
          <w:vertAlign w:val="superscript"/>
        </w:rPr>
        <w:footnoteReference w:id="16"/>
      </w:r>
      <w:r>
        <w:rPr>
          <w:sz w:val="24"/>
          <w:rtl/>
          <w:szCs w:val="24"/>
        </w:rPr>
        <w:t xml:space="preserve"> העברתו חודש אחרי שביקש לסיים את השיחות, והשפעתה של דנה על השיבוץ, מעוררות חשד לקשר כזה. משהוכיח זאת אורי, עובר למעסיק הנטל להראות שלא פגע בו.</w:t>
      </w:r>
      <w:r>
        <w:rPr>
          <w:vertAlign w:val="superscript"/>
        </w:rPr>
        <w:footnoteReference w:id="17"/>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w:t>
      </w:r>
      <w:r>
        <w:rPr>
          <w:vertAlign w:val="superscript"/>
        </w:rPr>
        <w:footnoteReference w:id="18"/>
      </w:r>
      <w:r>
        <w:rPr>
          <w:sz w:val="24"/>
          <w:rtl/>
          <w:szCs w:val="24"/>
        </w:rPr>
        <w:t xml:space="preserve"> ושינוי שחורג מה</w:t>
      </w:r>
      <w:r>
        <w:rPr>
          <w:b/>
          <w:sz w:val="24"/>
          <w:rtl/>
          <w:szCs w:val="24"/>
          <w:bCs/>
        </w:rPr>
        <w:t>פררוגטיבה הניהולית</w:t>
      </w:r>
      <w:r>
        <w:rPr>
          <w:sz w:val="24"/>
          <w:rtl/>
          <w:szCs w:val="24"/>
        </w:rPr>
        <w:t xml:space="preserve"> ופוגע ב</w:t>
      </w:r>
      <w:r>
        <w:rPr>
          <w:b/>
          <w:sz w:val="24"/>
          <w:rtl/>
          <w:szCs w:val="24"/>
          <w:bCs/>
        </w:rPr>
        <w:t>מעמד העובד</w:t>
      </w:r>
      <w:r>
        <w:rPr>
          <w:sz w:val="24"/>
          <w:rtl/>
          <w:szCs w:val="24"/>
        </w:rPr>
        <w:t xml:space="preserve"> הוא </w:t>
      </w:r>
      <w:r>
        <w:rPr>
          <w:b/>
          <w:sz w:val="24"/>
          <w:rtl/>
          <w:szCs w:val="24"/>
          <w:bCs/>
        </w:rPr>
        <w:t>הרעת תנאים</w:t>
      </w:r>
      <w:r>
        <w:rPr>
          <w:sz w:val="24"/>
          <w:rtl/>
          <w:szCs w:val="24"/>
        </w:rPr>
        <w:t>.</w:t>
      </w:r>
      <w:r>
        <w:rPr>
          <w:vertAlign w:val="superscript"/>
        </w:rPr>
        <w:footnoteReference w:id="19"/>
      </w:r>
      <w:r>
        <w:rPr>
          <w:sz w:val="24"/>
          <w:rtl/>
          <w:szCs w:val="24"/>
        </w:rPr>
        <w:t xml:space="preserve"> עם זאת, העברה בין תפקידים נחשבת בדרך כלל לחלק מהפררוגטיבה, בכפוף לתום הלב.</w:t>
      </w:r>
      <w:r>
        <w:rPr>
          <w:vertAlign w:val="superscript"/>
        </w:rPr>
        <w:footnoteReference w:id="20"/>
      </w:r>
      <w:r>
        <w:rPr>
          <w:sz w:val="24"/>
          <w:rtl/>
          <w:szCs w:val="24"/>
        </w:rPr>
        <w:t xml:space="preserve"> העברתו של אורי פגעה במעמדו אף ששכרו לא השתנה, ותזמונה מעורר ספק בתום הלב. שינוי ב"תיאור עיקרי התפקיד" מחייב הודעה בכתב בתוך 30 יום, ובהיעדרה הנטל עובר למעסיק.</w:t>
      </w:r>
      <w:r>
        <w:rPr>
          <w:vertAlign w:val="superscript"/>
        </w:rPr>
        <w:footnoteReference w:id="21"/>
      </w:r>
    </w:p>
    <w:p>
      <w:pPr>
        <w:bidi/>
        <w:spacing w:before="0" w:after="0"/>
        <w:jc w:val="both"/>
      </w:pPr>
      <w:r>
        <w:rPr>
          <w:sz w:val="24"/>
          <w:rtl/>
          <w:szCs w:val="24"/>
        </w:rPr>
        <w:t xml:space="preserve">לפי </w:t>
      </w:r>
      <w:r>
        <w:rPr>
          <w:b/>
          <w:sz w:val="24"/>
          <w:rtl/>
          <w:szCs w:val="24"/>
          <w:bCs/>
        </w:rPr>
        <w:t>חוק פיצויי פיטורים</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w:t>
      </w:r>
      <w:r>
        <w:rPr>
          <w:vertAlign w:val="superscript"/>
        </w:rPr>
        <w:footnoteReference w:id="22"/>
      </w:r>
      <w:r>
        <w:rPr>
          <w:sz w:val="24"/>
          <w:rtl/>
          <w:szCs w:val="24"/>
        </w:rPr>
        <w:t xml:space="preserve"> הזכאות עצמה מותנית בשנת עבודה אחת ברציפות אצל אותו מעסיק,</w:t>
      </w:r>
      <w:r>
        <w:rPr>
          <w:vertAlign w:val="superscript"/>
        </w:rPr>
        <w:footnoteReference w:id="23"/>
      </w:r>
      <w:r>
        <w:rPr>
          <w:sz w:val="24"/>
          <w:rtl/>
          <w:szCs w:val="24"/>
        </w:rPr>
        <w:t xml:space="preserve">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ב</w:t>
      </w:r>
      <w:r>
        <w:rPr>
          <w:b/>
          <w:sz w:val="24"/>
          <w:rtl/>
          <w:szCs w:val="24"/>
          <w:bCs/>
        </w:rPr>
        <w:t>עניין גולן</w:t>
      </w:r>
      <w:r>
        <w:rPr>
          <w:vertAlign w:val="superscript"/>
        </w:rPr>
        <w:footnoteReference w:id="24"/>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ולא התריע, ועבד ארבעה חודשים במתכונת החדשה, בשונה מהעובד בעניין סלמאן, שהועבר לתפקיד אחר ומחה בכתב על הפחתת שכרו לפני שהתפטר.</w:t>
      </w:r>
      <w:r>
        <w:rPr>
          <w:vertAlign w:val="superscript"/>
        </w:rPr>
        <w:footnoteReference w:id="25"/>
      </w:r>
      <w:r>
        <w:rPr>
          <w:sz w:val="24"/>
          <w:rtl/>
          <w:szCs w:val="24"/>
        </w:rPr>
        <w:t xml:space="preserve"> שתיקתו מלמדת על השלמה.</w:t>
      </w:r>
    </w:p>
    <w:p>
      <w:pPr>
        <w:bidi/>
        <w:spacing w:before="0" w:after="0"/>
        <w:jc w:val="both"/>
      </w:pPr>
      <w:r>
        <w:rPr>
          <w:b/>
          <w:sz w:val="24"/>
          <w:rtl/>
          <w:szCs w:val="24"/>
          <w:bCs/>
        </w:rPr>
        <w:t>לסיכום</w:t>
      </w:r>
      <w:r>
        <w:rPr>
          <w:sz w:val="24"/>
          <w:rtl/>
          <w:szCs w:val="24"/>
        </w:rPr>
        <w:t>, טענת ההטרדה המינית חלשה, טענת ההתנכלות חזקה יותר, וטענת ההתפטרות בדין מפוטר נכשלת בשל היעדר התראה ושיהוי.</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עס"ק (ארצי) 7670-10-20 דור אלון ניהול מתחמים קמעונאיים בע"מ נ' הסתדרות העובדים הלאומית בישראל (12.1.2021).</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0" w:after="0"/>
        <w:jc w:val="both"/>
      </w:pPr>
      <w:r>
        <w:rPr>
          <w:sz w:val="24"/>
          <w:rtl/>
          <w:szCs w:val="24"/>
        </w:rPr>
        <w:t>ע"ע (ארצי) 28475-03-20 סלמאן נ' אקובג בע"מ (נבו 7.12.2020).</w:t>
      </w:r>
    </w:p>
    <w:p>
      <w:pPr>
        <w:bidi/>
        <w:spacing w:before="120" w:after="0"/>
        <w:jc w:val="both"/>
      </w:pPr>
      <w:r>
        <w:rPr>
          <w:b/>
          <w:sz w:val="24"/>
          <w:rtl/>
          <w:szCs w:val="24"/>
          <w:bCs/>
        </w:rPr>
        <w:t>ספרות וחומרי הקורס</w:t>
      </w:r>
    </w:p>
    <w:p>
      <w:pPr>
        <w:bidi/>
        <w:spacing w:before="0" w:after="0"/>
        <w:jc w:val="both"/>
      </w:pPr>
      <w:r>
        <w:rPr>
          <w:sz w:val="24"/>
          <w:rtl/>
          <w:szCs w:val="24"/>
        </w:rPr>
        <w:t>ניצן צבי כהן "בית הדין קבע: ההסתדרות תשמש כארגון העובדים היציג בחברת נוקיה" דבר 10.6.2025.</w:t>
      </w:r>
    </w:p>
    <w:p>
      <w:pPr>
        <w:bidi/>
        <w:spacing w:before="0" w:after="0"/>
        <w:jc w:val="both"/>
      </w:pPr>
      <w:r>
        <w:rPr>
          <w:sz w:val="24"/>
          <w:rtl/>
          <w:szCs w:val="24"/>
        </w:rPr>
        <w:t>גיא דוידוב "הפררוגטיבה של המעביד ודיני החוזים: בעקבות פרשות נהרי וגרינשפן" משפטים לח(2) 417 (2008).</w:t>
      </w:r>
    </w:p>
    <w:p>
      <w:pPr>
        <w:bidi/>
        <w:spacing w:before="0" w:after="0"/>
        <w:jc w:val="both"/>
      </w:pPr>
      <w:r>
        <w:rPr>
          <w:sz w:val="24"/>
          <w:rtl/>
          <w:szCs w:val="24"/>
        </w:rPr>
        <w:t>עצמון ליפשיץ "האם הגיעה העת לשנות את כללי ההתארגנות הראשונית? מחשבות נוספות בראי הזמן" מעשי משפט יא 303 (2020).</w:t>
      </w:r>
    </w:p>
    <w:p>
      <w:pPr>
        <w:bidi/>
        <w:spacing w:before="0" w:after="0"/>
        <w:jc w:val="both"/>
      </w:pPr>
      <w:r>
        <w:rPr>
          <w:sz w:val="24"/>
          <w:rtl/>
          <w:szCs w:val="24"/>
        </w:rPr>
        <w:t>Orit Kamir, __Sexual Harassment Law in Israel__, 7 INT'L J. DISCRIMINATION &amp; L. 315 (2005).</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spacing w:before="0" w:after="0" w:line="240" w:lineRule="auto"/>
        <w:jc w:val="both"/>
      </w:pPr>
      <w:r>
        <w:rPr>
          <w:vertAlign w:val="superscript"/>
          <w:sz w:val="20"/>
        </w:rPr>
        <w:footnoteRef/>
      </w:r>
      <w:r>
        <w:rPr>
          <w:sz w:val="20"/>
        </w:rPr>
        <w:t xml:space="preserve"> </w:t>
      </w:r>
      <w:r>
        <w:rPr>
          <w:rtl/>
          <w:sz w:val="20"/>
          <w:szCs w:val="20"/>
        </w:rPr>
        <w:t xml:space="preserve">רות בן-ישראל דיני עבודה כרך א 48-32 (2002); עצמון ליפשיץ "האם הגיעה העת לשנות את כללי ההתארגנות הראשונית? מחשבות נוספות בראי הזמן" מעשי משפט יא 303, 308 (2020); עס"ק (ארצי) 7670-10-20 דור אלון ניהול מתחמים קמעונאיים בע"מ נ' הסתדרות העובדים הלאומית בישראל, פס' 70 (12.1.2021) (להלן: עניין דור אלון); גליה הילדסהימר "התארגנויות עובדים" מצגת הקורס היבטים משפטיים ואתיים בייעוץ ופיתוח ארגוני, המרכז האקדמי פרס (2026).</w:t>
      </w:r>
    </w:p>
  </w:footnote>
  <w:footnote w:id="2">
    <w:p>
      <w:pPr>
        <w:bidi/>
        <w:spacing w:before="0" w:after="0" w:line="240" w:lineRule="auto"/>
        <w:jc w:val="both"/>
      </w:pPr>
      <w:r>
        <w:rPr>
          <w:vertAlign w:val="superscript"/>
          <w:sz w:val="20"/>
        </w:rPr>
        <w:footnoteRef/>
      </w:r>
      <w:r>
        <w:rPr>
          <w:sz w:val="20"/>
        </w:rPr>
        <w:t xml:space="preserve"> </w:t>
      </w:r>
      <w:r>
        <w:rPr>
          <w:rtl/>
          <w:sz w:val="20"/>
          <w:szCs w:val="20"/>
        </w:rPr>
        <w:t xml:space="preserve">ס' 33ח לחוק הסכמים קיבוציים, התשי"ז–1957 (להלן: חוק הסכמים קיבוציים).</w:t>
      </w:r>
    </w:p>
  </w:footnote>
  <w:footnote w:id="3">
    <w:p>
      <w:pPr>
        <w:bidi/>
        <w:spacing w:before="0" w:after="0" w:line="240" w:lineRule="auto"/>
        <w:jc w:val="both"/>
      </w:pPr>
      <w:r>
        <w:rPr>
          <w:vertAlign w:val="superscript"/>
          <w:sz w:val="20"/>
        </w:rPr>
        <w:footnoteRef/>
      </w:r>
      <w:r>
        <w:rPr>
          <w:sz w:val="20"/>
        </w:rPr>
        <w:t xml:space="preserve"> </w:t>
      </w:r>
      <w:r>
        <w:rPr>
          <w:rtl/>
          <w:sz w:val="20"/>
          <w:szCs w:val="20"/>
        </w:rPr>
        <w:t xml:space="preserve">בג"ץ 7029/95 הסתדרות העובדים הכללית החדשה נ' בית הדין הארצי לעבודה, פ"ד נא(2) 63 (1997) (להלן: עניין עמית).</w:t>
      </w:r>
    </w:p>
  </w:footnote>
  <w:footnote w:id="4">
    <w:p>
      <w:pPr>
        <w:bidi/>
        <w:spacing w:before="0" w:after="0" w:line="240" w:lineRule="auto"/>
        <w:jc w:val="both"/>
      </w:pPr>
      <w:r>
        <w:rPr>
          <w:vertAlign w:val="superscript"/>
          <w:sz w:val="20"/>
        </w:rPr>
        <w:footnoteRef/>
      </w:r>
      <w:r>
        <w:rPr>
          <w:sz w:val="20"/>
        </w:rPr>
        <w:t xml:space="preserve"> </w:t>
      </w:r>
      <w:r>
        <w:rPr>
          <w:rtl/>
          <w:sz w:val="20"/>
          <w:szCs w:val="20"/>
        </w:rPr>
        <w:t xml:space="preserve">עס"ק (ארצי) 6298-03-25 הסתדרות העובדים הכללית החדשה – האגף להתאגדות עובדים נ' ארגון עובדי הפיתוח והשיווק בנוקיה ישראל (נבו 10.6.2025) (להלן: עניין נוקיה), פס' 6, 41 ו-44.</w:t>
      </w:r>
    </w:p>
  </w:footnote>
  <w:footnote w:id="5">
    <w:p>
      <w:pPr>
        <w:bidi/>
        <w:spacing w:before="0" w:after="0" w:line="240" w:lineRule="auto"/>
        <w:jc w:val="both"/>
      </w:pPr>
      <w:r>
        <w:rPr>
          <w:vertAlign w:val="superscript"/>
          <w:sz w:val="20"/>
        </w:rPr>
        <w:footnoteRef/>
      </w:r>
      <w:r>
        <w:rPr>
          <w:sz w:val="20"/>
        </w:rPr>
        <w:t xml:space="preserve"> </w:t>
      </w:r>
      <w:r>
        <w:rPr>
          <w:rtl/>
          <w:sz w:val="20"/>
          <w:szCs w:val="20"/>
        </w:rPr>
        <w:t xml:space="preserve">שם, פס' 50-51.</w:t>
      </w:r>
    </w:p>
  </w:footnote>
  <w:footnote w:id="6">
    <w:p>
      <w:pPr>
        <w:bidi/>
        <w:spacing w:before="0" w:after="0" w:line="240" w:lineRule="auto"/>
        <w:jc w:val="both"/>
      </w:pPr>
      <w:r>
        <w:rPr>
          <w:vertAlign w:val="superscript"/>
          <w:sz w:val="20"/>
        </w:rPr>
        <w:footnoteRef/>
      </w:r>
      <w:r>
        <w:rPr>
          <w:sz w:val="20"/>
        </w:rPr>
        <w:t xml:space="preserve"> </w:t>
      </w:r>
      <w:r>
        <w:rPr>
          <w:rtl/>
          <w:sz w:val="20"/>
          <w:szCs w:val="20"/>
        </w:rPr>
        <w:t xml:space="preserve">שם, כפי שצוטט אצל ניצן צבי כהן "בית הדין קבע: ההסתדרות תשמש כארגון העובדים היציג בחברת נוקיה" דבר 10.6.2025.</w:t>
      </w:r>
    </w:p>
  </w:footnote>
  <w:footnote w:id="7">
    <w:p>
      <w:pPr>
        <w:bidi/>
        <w:spacing w:before="0" w:after="0" w:line="240" w:lineRule="auto"/>
        <w:jc w:val="both"/>
      </w:pPr>
      <w:r>
        <w:rPr>
          <w:vertAlign w:val="superscript"/>
          <w:sz w:val="20"/>
        </w:rPr>
        <w:footnoteRef/>
      </w:r>
      <w:r>
        <w:rPr>
          <w:sz w:val="20"/>
        </w:rPr>
        <w:t xml:space="preserve"> </w:t>
      </w:r>
      <w:r>
        <w:rPr>
          <w:rtl/>
          <w:sz w:val="20"/>
          <w:szCs w:val="20"/>
        </w:rPr>
        <w:t xml:space="preserve">עניין נוקיה, לעיל ה"ש 4, פס' 47.</w:t>
      </w:r>
    </w:p>
  </w:footnote>
  <w:footnote w:id="8">
    <w:p>
      <w:pPr>
        <w:bidi/>
        <w:spacing w:before="0" w:after="0" w:line="240" w:lineRule="auto"/>
        <w:jc w:val="both"/>
      </w:pPr>
      <w:r>
        <w:rPr>
          <w:vertAlign w:val="superscript"/>
          <w:sz w:val="20"/>
        </w:rPr>
        <w:footnoteRef/>
      </w:r>
      <w:r>
        <w:rPr>
          <w:sz w:val="20"/>
        </w:rPr>
        <w:t xml:space="preserve"> </w:t>
      </w:r>
      <w:r>
        <w:rPr>
          <w:rtl/>
          <w:sz w:val="20"/>
          <w:szCs w:val="20"/>
        </w:rPr>
        <w:t xml:space="preserve">עס"ק (ארצי) 25476-09-12 הסתדרות העובדים הכללית החדשה נ' פלאפון תקשורת בע"מ (נבו 2.1.2013) (להלן: עניין פלאפון).</w:t>
      </w:r>
    </w:p>
  </w:footnote>
  <w:footnote w:id="9">
    <w:p>
      <w:pPr>
        <w:bidi/>
        <w:spacing w:before="0" w:after="0" w:line="240" w:lineRule="auto"/>
        <w:jc w:val="both"/>
      </w:pPr>
      <w:r>
        <w:rPr>
          <w:vertAlign w:val="superscript"/>
          <w:sz w:val="20"/>
        </w:rPr>
        <w:footnoteRef/>
      </w:r>
      <w:r>
        <w:rPr>
          <w:sz w:val="20"/>
        </w:rPr>
        <w:t xml:space="preserve"> </w:t>
      </w:r>
      <w:r>
        <w:rPr>
          <w:rtl/>
          <w:sz w:val="20"/>
          <w:szCs w:val="20"/>
        </w:rPr>
        <w:t xml:space="preserve">בג"ץ 4179/13 לשכת התיאום של הארגונים הכלכליים נ' בית הדין הארצי לעבודה (נבו 7.7.2014); ליפשיץ, לעיל ה"ש 1, בעמ' 320. על הרגישות המיוחדת של שלב הפריצה בשל החשש מהתערבות המעסיק ראו עניין דור אלון, לעיל ה"ש 1, פס' 71.</w:t>
      </w:r>
    </w:p>
  </w:footnote>
  <w:footnote w:id="10">
    <w:p>
      <w:pPr>
        <w:bidi/>
        <w:spacing w:before="0" w:after="0" w:line="240" w:lineRule="auto"/>
        <w:jc w:val="both"/>
      </w:pPr>
      <w:r>
        <w:rPr>
          <w:vertAlign w:val="superscript"/>
          <w:sz w:val="20"/>
        </w:rPr>
        <w:footnoteRef/>
      </w:r>
      <w:r>
        <w:rPr>
          <w:sz w:val="20"/>
        </w:rPr>
        <w:t xml:space="preserve"> </w:t>
      </w:r>
      <w:r>
        <w:rPr>
          <w:rtl/>
          <w:sz w:val="20"/>
          <w:szCs w:val="20"/>
        </w:rPr>
        <w:t xml:space="preserve">ס' 1 לחוק למניעת הטרדה מינית, התשנ"ח–1998 (להלן: החוק למניעת הטרדה מינית); גליה הילדסהימר "החוק למניעת הטרדה מינית, חלקים א'-ב'" מצגת הקורס היבטים משפטיים ואתיים בייעוץ ופיתוח ארגוני, המרכז האקדמי פרס (2026).</w:t>
      </w:r>
    </w:p>
  </w:footnote>
  <w:footnote w:id="11">
    <w:p>
      <w:pPr>
        <w:bidi/>
        <w:spacing w:before="0" w:after="0" w:line="240" w:lineRule="auto"/>
        <w:jc w:val="both"/>
      </w:pPr>
      <w:r>
        <w:rPr>
          <w:vertAlign w:val="superscript"/>
          <w:sz w:val="20"/>
        </w:rPr>
        <w:footnoteRef/>
      </w:r>
      <w:r>
        <w:rPr>
          <w:sz w:val="20"/>
        </w:rPr>
        <w:t xml:space="preserve"> </w:t>
      </w:r>
      <w:r>
        <w:rPr>
          <w:rtl/>
          <w:sz w:val="20"/>
          <w:szCs w:val="20"/>
        </w:rPr>
        <w:t xml:space="preserve">Orit Kamir, </w:t>
      </w:r>
      <w:r>
        <w:rPr>
          <w:i/>
          <w:iCs/>
          <w:sz w:val="20"/>
          <w:szCs w:val="20"/>
        </w:rPr>
        <w:t xml:space="preserve">Sexual Harassment Law in Israel</w:t>
      </w:r>
      <w:r>
        <w:rPr>
          <w:rtl/>
          <w:sz w:val="20"/>
          <w:szCs w:val="20"/>
        </w:rPr>
        <w:t xml:space="preserve">, 7 INT'L J. DISCRIMINATION &amp; L. 315, 321 (2005).</w:t>
      </w:r>
    </w:p>
  </w:footnote>
  <w:footnote w:id="12">
    <w:p>
      <w:pPr>
        <w:bidi/>
        <w:spacing w:before="0" w:after="0" w:line="240" w:lineRule="auto"/>
        <w:jc w:val="both"/>
      </w:pPr>
      <w:r>
        <w:rPr>
          <w:vertAlign w:val="superscript"/>
          <w:sz w:val="20"/>
        </w:rPr>
        <w:footnoteRef/>
      </w:r>
      <w:r>
        <w:rPr>
          <w:sz w:val="20"/>
        </w:rPr>
        <w:t xml:space="preserve"> </w:t>
      </w:r>
      <w:r>
        <w:rPr>
          <w:rtl/>
          <w:sz w:val="20"/>
          <w:szCs w:val="20"/>
        </w:rPr>
        <w:t xml:space="preserve">עש"ם 2203/05 מדר נ' נציבות שירות המדינה (נבו 21.7.2005) (להלן: עניין מדר).</w:t>
      </w:r>
    </w:p>
  </w:footnote>
  <w:footnote w:id="13">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11, בעמ' 324.</w:t>
      </w:r>
    </w:p>
  </w:footnote>
  <w:footnote w:id="14">
    <w:p>
      <w:pPr>
        <w:bidi/>
        <w:spacing w:before="0" w:after="0" w:line="240" w:lineRule="auto"/>
        <w:jc w:val="both"/>
      </w:pPr>
      <w:r>
        <w:rPr>
          <w:vertAlign w:val="superscript"/>
          <w:sz w:val="20"/>
        </w:rPr>
        <w:footnoteRef/>
      </w:r>
      <w:r>
        <w:rPr>
          <w:sz w:val="20"/>
        </w:rPr>
        <w:t xml:space="preserve"> </w:t>
      </w:r>
      <w:r>
        <w:rPr>
          <w:rtl/>
          <w:sz w:val="20"/>
          <w:szCs w:val="20"/>
        </w:rPr>
        <w:t xml:space="preserve">תק' 2(ג), 4, 6(ט) ו-8 לתקנות למניעת הטרדה מינית (חובות מעסיק), התשנ"ח–1998.</w:t>
      </w:r>
    </w:p>
  </w:footnote>
  <w:footnote w:id="15">
    <w:p>
      <w:pPr>
        <w:bidi/>
        <w:spacing w:before="0" w:after="0" w:line="240" w:lineRule="auto"/>
        <w:jc w:val="both"/>
      </w:pPr>
      <w:r>
        <w:rPr>
          <w:vertAlign w:val="superscript"/>
          <w:sz w:val="20"/>
        </w:rPr>
        <w:footnoteRef/>
      </w:r>
      <w:r>
        <w:rPr>
          <w:sz w:val="20"/>
        </w:rPr>
        <w:t xml:space="preserve"> </w:t>
      </w:r>
      <w:r>
        <w:rPr>
          <w:rtl/>
          <w:sz w:val="20"/>
          <w:szCs w:val="20"/>
        </w:rPr>
        <w:t xml:space="preserve">ס' 7(א) לחוק שוויון ההזדמנויות בעבודה, התשמ"ח–1988.</w:t>
      </w:r>
    </w:p>
  </w:footnote>
  <w:footnote w:id="16">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11, בעמ' 324.</w:t>
      </w:r>
    </w:p>
  </w:footnote>
  <w:footnote w:id="17">
    <w:p>
      <w:pPr>
        <w:bidi/>
        <w:spacing w:before="0" w:after="0" w:line="240" w:lineRule="auto"/>
        <w:jc w:val="both"/>
      </w:pPr>
      <w:r>
        <w:rPr>
          <w:vertAlign w:val="superscript"/>
          <w:sz w:val="20"/>
        </w:rPr>
        <w:footnoteRef/>
      </w:r>
      <w:r>
        <w:rPr>
          <w:sz w:val="20"/>
        </w:rPr>
        <w:t xml:space="preserve"> </w:t>
      </w:r>
      <w:r>
        <w:rPr>
          <w:rtl/>
          <w:sz w:val="20"/>
          <w:szCs w:val="20"/>
        </w:rPr>
        <w:t xml:space="preserve">ס' 9(ב) לחוק שוויון ההזדמנויות בעבודה; ס' 6א לחוק למניעת הטרדה מינית.</w:t>
      </w:r>
    </w:p>
  </w:footnote>
  <w:footnote w:id="18">
    <w:p>
      <w:pPr>
        <w:bidi/>
        <w:spacing w:before="0" w:after="0" w:line="240" w:lineRule="auto"/>
        <w:jc w:val="both"/>
      </w:pPr>
      <w:r>
        <w:rPr>
          <w:vertAlign w:val="superscript"/>
          <w:sz w:val="20"/>
        </w:rPr>
        <w:footnoteRef/>
      </w:r>
      <w:r>
        <w:rPr>
          <w:sz w:val="20"/>
        </w:rPr>
        <w:t xml:space="preserve"> </w:t>
      </w:r>
      <w:r>
        <w:rPr>
          <w:rtl/>
          <w:sz w:val="20"/>
          <w:szCs w:val="20"/>
        </w:rPr>
        <w:t xml:space="preserve">בג"ץ 239/83 מילפלדר נ' בית הדין הארצי לעבודה, פ"ד מא(2) 210 (1987).</w:t>
      </w:r>
    </w:p>
  </w:footnote>
  <w:footnote w:id="19">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"חוזה עבודה אישי ומניעת הרעת תנאים, חלקים א'-ב'" מצגת הקורס היבטים משפטיים ואתיים בייעוץ ופיתוח ארגוני, המרכז האקדמי פרס (2026).</w:t>
      </w:r>
    </w:p>
  </w:footnote>
  <w:footnote w:id="20">
    <w:p>
      <w:pPr>
        <w:bidi/>
        <w:spacing w:before="0" w:after="0" w:line="240" w:lineRule="auto"/>
        <w:jc w:val="both"/>
      </w:pPr>
      <w:r>
        <w:rPr>
          <w:vertAlign w:val="superscript"/>
          <w:sz w:val="20"/>
        </w:rPr>
        <w:footnoteRef/>
      </w:r>
      <w:r>
        <w:rPr>
          <w:sz w:val="20"/>
        </w:rPr>
        <w:t xml:space="preserve"> </w:t>
      </w:r>
      <w:r>
        <w:rPr>
          <w:rtl/>
          <w:sz w:val="20"/>
          <w:szCs w:val="20"/>
        </w:rPr>
        <w:t xml:space="preserve">גיא דוידוב "הפררוגטיבה של המעביד ודיני החוזים: בעקבות פרשות נהרי וגרינשפן" משפטים לח(2) 417, 418 ו-439 (2008).</w:t>
      </w:r>
    </w:p>
  </w:footnote>
  <w:footnote w:id="21">
    <w:p>
      <w:pPr>
        <w:bidi/>
        <w:spacing w:before="0" w:after="0" w:line="240" w:lineRule="auto"/>
        <w:jc w:val="both"/>
      </w:pPr>
      <w:r>
        <w:rPr>
          <w:vertAlign w:val="superscript"/>
          <w:sz w:val="20"/>
        </w:rPr>
        <w:footnoteRef/>
      </w:r>
      <w:r>
        <w:rPr>
          <w:sz w:val="20"/>
        </w:rPr>
        <w:t xml:space="preserve"> </w:t>
      </w:r>
      <w:r>
        <w:rPr>
          <w:rtl/>
          <w:sz w:val="20"/>
          <w:szCs w:val="20"/>
        </w:rPr>
        <w:t xml:space="preserve">ס' 2(א)(3), 3 ו-5א לחוק הודעה לעובד ולמועמד לעבודה (תנאי עבודה והליכי מיון וקבלה לעבודה), התשס"ב–2002.</w:t>
      </w:r>
    </w:p>
  </w:footnote>
  <w:footnote w:id="22">
    <w:p>
      <w:pPr>
        <w:bidi/>
        <w:spacing w:before="0" w:after="0" w:line="240" w:lineRule="auto"/>
        <w:jc w:val="both"/>
      </w:pPr>
      <w:r>
        <w:rPr>
          <w:vertAlign w:val="superscript"/>
          <w:sz w:val="20"/>
        </w:rPr>
        <w:footnoteRef/>
      </w:r>
      <w:r>
        <w:rPr>
          <w:sz w:val="20"/>
        </w:rPr>
        <w:t xml:space="preserve"> </w:t>
      </w:r>
      <w:r>
        <w:rPr>
          <w:rtl/>
          <w:sz w:val="20"/>
          <w:szCs w:val="20"/>
        </w:rPr>
        <w:t xml:space="preserve">ס' 11(א) לחוק פיצויי פיטורים, התשכ"ג–1963.</w:t>
      </w:r>
    </w:p>
  </w:footnote>
  <w:footnote w:id="23">
    <w:p>
      <w:pPr>
        <w:bidi/>
        <w:spacing w:before="0" w:after="0" w:line="240" w:lineRule="auto"/>
        <w:jc w:val="both"/>
      </w:pPr>
      <w:r>
        <w:rPr>
          <w:vertAlign w:val="superscript"/>
          <w:sz w:val="20"/>
        </w:rPr>
        <w:footnoteRef/>
      </w:r>
      <w:r>
        <w:rPr>
          <w:sz w:val="20"/>
        </w:rPr>
        <w:t xml:space="preserve"> </w:t>
      </w:r>
      <w:r>
        <w:rPr>
          <w:rtl/>
          <w:sz w:val="20"/>
          <w:szCs w:val="20"/>
        </w:rPr>
        <w:t xml:space="preserve">ס' 1(א), שם.</w:t>
      </w:r>
    </w:p>
  </w:footnote>
  <w:footnote w:id="24">
    <w:p>
      <w:pPr>
        <w:bidi/>
        <w:spacing w:before="0" w:after="0" w:line="240" w:lineRule="auto"/>
        <w:jc w:val="both"/>
      </w:pPr>
      <w:r>
        <w:rPr>
          <w:vertAlign w:val="superscript"/>
          <w:sz w:val="20"/>
        </w:rPr>
        <w:footnoteRef/>
      </w:r>
      <w:r>
        <w:rPr>
          <w:sz w:val="20"/>
        </w:rPr>
        <w:t xml:space="preserve"> </w:t>
      </w:r>
      <w:r>
        <w:rPr>
          <w:rtl/>
          <w:sz w:val="20"/>
          <w:szCs w:val="20"/>
        </w:rPr>
        <w:t xml:space="preserve">תב"ע (ארצי) נד/86-3 יוחנן גולן נ' אי.אל.די. בע"מ (להלן: עניין גולן).</w:t>
      </w:r>
    </w:p>
  </w:footnote>
  <w:footnote w:id="25">
    <w:p>
      <w:pPr>
        <w:bidi/>
        <w:spacing w:before="0" w:after="0" w:line="240" w:lineRule="auto"/>
        <w:jc w:val="both"/>
      </w:pPr>
      <w:r>
        <w:rPr>
          <w:vertAlign w:val="superscript"/>
          <w:sz w:val="20"/>
        </w:rPr>
        <w:footnoteRef/>
      </w:r>
      <w:r>
        <w:rPr>
          <w:sz w:val="20"/>
        </w:rPr>
        <w:t xml:space="preserve"> </w:t>
      </w:r>
      <w:r>
        <w:rPr>
          <w:rtl/>
          <w:sz w:val="20"/>
          <w:szCs w:val="20"/>
        </w:rPr>
        <w:t xml:space="preserve">ע"ע (ארצי) 28475-03-20 סלמאן נ' אקובג בע"מ, פס' 4-10 (נבו 7.12.2020).</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