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bCs/>
          <w:sz w:val="32"/>
          <w:szCs w:val="32"/>
        </w:rPr>
        <w:t>הקריה האקדמית אונו</w:t>
      </w:r>
    </w:p>
    <w:p>
      <w:pPr>
        <w:jc w:val="center"/>
      </w:pPr>
      <w:r>
        <w:rPr>
          <w:b w:val="0"/>
          <w:i w:val="0"/>
          <w:sz w:val="26"/>
          <w:szCs w:val="26"/>
        </w:rPr>
        <w:t>הפקולטה למנהל עסקים, לימודי MBA</w:t>
      </w:r>
    </w:p>
    <w:p>
      <w:pPr>
        <w:jc w:val="center"/>
      </w:pPr>
    </w:p>
    <w:p>
      <w:pPr>
        <w:jc w:val="center"/>
      </w:pPr>
      <w:r>
        <w:rPr>
          <w:b w:val="0"/>
          <w:i w:val="0"/>
          <w:sz w:val="24"/>
          <w:szCs w:val="24"/>
          <w:highlight w:val="yellow"/>
        </w:rPr>
        <w:t>[מקום ללוגו הקריה האקדמית אונו]</w:t>
      </w:r>
    </w:p>
    <w:p>
      <w:pPr>
        <w:jc w:val="center"/>
      </w:pPr>
    </w:p>
    <w:p>
      <w:pPr>
        <w:jc w:val="center"/>
      </w:pPr>
      <w:r>
        <w:rPr>
          <w:b/>
          <w:i w:val="0"/>
          <w:bCs/>
          <w:sz w:val="28"/>
          <w:szCs w:val="28"/>
        </w:rPr>
        <w:t>עבודת סיום בקורס: ניהול משא ומתן</w:t>
      </w:r>
    </w:p>
    <w:p>
      <w:pPr>
        <w:jc w:val="center"/>
      </w:pPr>
      <w:r>
        <w:rPr>
          <w:b w:val="0"/>
          <w:i w:val="0"/>
          <w:sz w:val="24"/>
          <w:szCs w:val="24"/>
          <w:highlight w:val="yellow"/>
        </w:rPr>
        <w:t>[מספר הקורס]</w:t>
      </w:r>
    </w:p>
    <w:p>
      <w:pPr>
        <w:jc w:val="center"/>
      </w:pPr>
    </w:p>
    <w:p>
      <w:pPr>
        <w:jc w:val="center"/>
      </w:pPr>
      <w:r>
        <w:rPr>
          <w:b/>
          <w:i w:val="0"/>
          <w:bCs/>
          <w:sz w:val="36"/>
          <w:szCs w:val="36"/>
        </w:rPr>
        <w:t>ניהול משא ומתן עם בעלי עניין בבית ספר בחברה הבדואית:</w:t>
      </w:r>
    </w:p>
    <w:p>
      <w:pPr>
        <w:jc w:val="center"/>
      </w:pPr>
      <w:r>
        <w:rPr>
          <w:b/>
          <w:i w:val="0"/>
          <w:bCs/>
          <w:sz w:val="30"/>
          <w:szCs w:val="30"/>
        </w:rPr>
        <w:t>מקרה בוחן, בית הספר היסודי ע"ש חג' סלמאן אלעתאיקה, רהט</w:t>
      </w:r>
    </w:p>
    <w:p>
      <w:pPr>
        <w:jc w:val="center"/>
      </w:pPr>
    </w:p>
    <w:p>
      <w:pPr>
        <w:jc w:val="center"/>
      </w:pPr>
      <w:r>
        <w:rPr>
          <w:b/>
          <w:i w:val="0"/>
          <w:bCs/>
          <w:sz w:val="24"/>
          <w:szCs w:val="24"/>
        </w:rPr>
        <w:t>מגישים:</w:t>
      </w:r>
    </w:p>
    <w:p>
      <w:pPr>
        <w:jc w:val="center"/>
      </w:pPr>
      <w:r>
        <w:rPr>
          <w:b w:val="0"/>
          <w:i w:val="0"/>
          <w:sz w:val="24"/>
          <w:szCs w:val="24"/>
          <w:highlight w:val="yellow"/>
        </w:rPr>
        <w:t>[שם ומשפחה], ת"ז [מספר], טלפון [מספר]</w:t>
      </w:r>
    </w:p>
    <w:p>
      <w:pPr>
        <w:jc w:val="center"/>
      </w:pPr>
      <w:r>
        <w:rPr>
          <w:b w:val="0"/>
          <w:i w:val="0"/>
          <w:sz w:val="24"/>
          <w:szCs w:val="24"/>
          <w:highlight w:val="yellow"/>
        </w:rPr>
        <w:t>[שם ומשפחה], ת"ז [מספר], טלפון [מספר]</w:t>
      </w:r>
    </w:p>
    <w:p>
      <w:pPr>
        <w:jc w:val="center"/>
      </w:pPr>
    </w:p>
    <w:p>
      <w:pPr>
        <w:jc w:val="center"/>
      </w:pPr>
      <w:r>
        <w:rPr>
          <w:b w:val="0"/>
          <w:i w:val="0"/>
          <w:sz w:val="24"/>
          <w:szCs w:val="24"/>
        </w:rPr>
        <w:t>שם המרצה: ד"ר רמי הוכמן</w:t>
      </w:r>
    </w:p>
    <w:p>
      <w:pPr>
        <w:jc w:val="center"/>
      </w:pPr>
      <w:r>
        <w:rPr>
          <w:b w:val="0"/>
          <w:i w:val="0"/>
          <w:sz w:val="24"/>
          <w:szCs w:val="24"/>
        </w:rPr>
        <w:t>תאריך הגשה: [תאריך]</w:t>
      </w:r>
    </w:p>
    <w:p>
      <w:r>
        <w:br w:type="page"/>
      </w:r>
    </w:p>
    <w:p>
      <w:pPr>
        <w:pStyle w:val="Heading1"/>
      </w:pPr>
      <w:r>
        <w:t>הצהרת מקוריות</w:t>
      </w:r>
    </w:p>
    <w:p>
      <w:r>
        <w:rPr>
          <w:b w:val="0"/>
          <w:i w:val="0"/>
          <w:highlight w:val="yellow"/>
        </w:rPr>
        <w:t>[להדביק כאן את נוסח הצהרת המקוריות מאתר הקורס, כלשונו, ולחתום.]</w:t>
      </w:r>
    </w:p>
    <w:p>
      <w:r>
        <w:br w:type="page"/>
      </w:r>
    </w:p>
    <w:p>
      <w:pPr>
        <w:pStyle w:val="Heading1"/>
      </w:pPr>
      <w:r>
        <w:t>תוכן עניינים</w:t>
      </w:r>
    </w:p>
    <w:p>
      <w:r>
        <w:fldChar w:fldCharType="begin"/>
        <w:instrText xml:space="preserve">TOC \o "1-2" \h \z \u</w:instrText>
        <w:fldChar w:fldCharType="separate"/>
      </w:r>
      <w:r>
        <w:rPr>
          <w:highlight w:val="yellow"/>
        </w:rPr>
        <w:t>לעדכון תוכן העניינים: קליק ימני כאן ← עדכן שדה (F9)</w:t>
      </w:r>
      <w:r>
        <w:fldChar w:fldCharType="end"/>
      </w:r>
    </w:p>
    <w:p>
      <w:r>
        <w:br w:type="page"/>
      </w:r>
    </w:p>
    <w:p>
      <w:pPr>
        <w:pStyle w:val="Heading1"/>
      </w:pPr>
      <w:r>
        <w:t>תקציר מנהלים</w:t>
      </w:r>
    </w:p>
    <w:p>
      <w:r>
        <w:rPr>
          <w:b w:val="0"/>
          <w:i w:val="0"/>
        </w:rPr>
        <w:t>העבודה בוחנת את המשא ומתן שמנהלי בית הספר היסודי ע"ש חג' סלמאן אלעתאיקה ברהט מנהלים עם בעלי העניין של בית הספר, ואת חלקה של התרבות הארגונית והקהילתית בדרך שבה הוא מתנהל. רהט היא העיר הגדולה בחברה הבדואית בנגב, והיא מדורגת באשכול החברתי־כלכלי הנמוך ביותר. בית הספר פועל בסביבה שבה המשאבים מעטים, התשתיות חסרות, והתלות ברשות המקומית ובמשרד החינוך גבוהה.</w:t>
      </w:r>
    </w:p>
    <w:p>
      <w:r>
        <w:rPr>
          <w:b w:val="0"/>
          <w:i w:val="0"/>
        </w:rPr>
        <w:t>הניתוח נשען על נתוני מערכת השקיפות של משרד החינוך, על דוחות ציבוריים ועל שישה מקרי משא ומתן וקונפליקט שדווחו בתקשורת בשנים 2020 עד 2026 במערכת החינוך ברהט. המקרים נותחו לפי שלוש מסגרות שנלמדו בקורס: משא ומתן חלוקתי מול אינטגרטיבי, משא ומתן על פי עקרונות של פישר ויורי, ומודל העניין הכפול. בכל מקרה פורקו התפישות, העמדות והאינטרסים של הצדדים, וזוהו ה־BATNA שלהם וטווח ההסכמה האפשרי (ZOPA).</w:t>
      </w:r>
    </w:p>
    <w:p>
      <w:r>
        <w:rPr>
          <w:b w:val="0"/>
          <w:i w:val="0"/>
        </w:rPr>
        <w:t>הממצא המרכזי הוא שהמשא ומתן בחינוך ברהט נוטה להיות חלוקתי ותחרותי. ועדי ההורים משתמשים בשביתה כחלופה העיקרית שלהם, והרשות המקומית נוקטת פעמים רבות הימנעות עד שהלחץ מגיע לשיא. אמון נשחק כאשר התחייבויות אינן מקוימות, וזה מחמיר את הדפוס. המקרים שהסתיימו בהסכמה הם אלה שבהם נכחו מקבלי ההחלטות בשטח, הוצגו קריטריונים אובייקטיביים, ונקבע מנגנון מעקב.</w:t>
      </w:r>
    </w:p>
    <w:p>
      <w:r>
        <w:rPr>
          <w:b w:val="0"/>
          <w:i w:val="0"/>
        </w:rPr>
        <w:t>ההמלצות למנהלי בית הספר הן לבנות מראש BATNA מבוססת נתונים מול הרשות, לשתף את ועד ההורים לפני המשבר ולא במהלכו, להשתמש בדוחות מהנדס ובנתוני השקיפות כקריטריונים אובייקטיביים, ולדרוש שכל הסכמה תיכתב ותיחתם בידי הגורם המוסמך, עם לוח זמנים ומנגנון מעקב משותף.</w:t>
      </w:r>
    </w:p>
    <w:p>
      <w:r>
        <w:br w:type="page"/>
      </w:r>
    </w:p>
    <w:p>
      <w:pPr>
        <w:pStyle w:val="Heading1"/>
      </w:pPr>
      <w:r>
        <w:t>תיאור בית הספר ואתגרי הניהול</w:t>
      </w:r>
    </w:p>
    <w:p>
      <w:pPr>
        <w:pStyle w:val="Heading2"/>
      </w:pPr>
      <w:r>
        <w:t>רקע על בית הספר</w:t>
      </w:r>
    </w:p>
    <w:p>
      <w:r>
        <w:rPr>
          <w:b w:val="0"/>
          <w:i w:val="0"/>
        </w:rPr>
        <w:t>בית הספר היסודי ע"ש חג' סלמאן אלעתאיקה (ד') פועל בעיר רהט, במחוז דרום של משרד החינוך. זהו בית ספר יסודי לכיתות א' עד ו', בפיקוח ממלכתי, במגזר הבדואי, ששפת ההוראה בו ערבית (משרד החינוך, 2023; תנועת אור, ל.ת.). סמל המוסד הוא 615336, ובית הספר שוכן בשכונת אל־מרווה בעיר (תנועת אור, ל.ת.). לפי מערכת השקיפות של משרד החינוך, ותק בית הספר מוגדר כבינוני (משרד החינוך, 2023).</w:t>
      </w:r>
    </w:p>
    <w:p>
      <w:r>
        <w:rPr>
          <w:b w:val="0"/>
          <w:i w:val="0"/>
          <w:highlight w:val="yellow"/>
        </w:rPr>
        <w:t>[להשלים מאתר השקיפות (outcomes.edu.gov.il/school/615336) או מהנהלת בית הספר: מספר תלמידים וכיתות, מספר אנשי צוות, מבנה ההנהלה, גודל בית הספר ומדד הרקע החברתי־כלכלי.]</w:t>
      </w:r>
    </w:p>
    <w:p>
      <w:r>
        <w:rPr>
          <w:b w:val="0"/>
          <w:i w:val="0"/>
        </w:rPr>
        <w:t>נתוני מבחני שפת האם (ערבית) לכיתות ד' משנת תשפ"ג, שבהם השתתפו 79% מהתלמידים, מצביעים על אתגר פדגוגי. שיעור התלמידים שעומדים בדרישות תוכנית הלימודים בהבנת הנקרא נמצא בטווח של 0%-25%, והפער בין התלמידים החזקים לחלשים מוגדר כקטן (משרד החינוך, 2023). כלומר, רוב התלמידים נמצאים ברמה דומה, והיא נמוכה. בולטים עוד יותר נתוני העמדות: בהשוואה לבתי ספר דומים, תחושת המסוגלות של התלמידים בשפת האם נמוכה במעט, וההנאה מהמקצוע, האהבה לקריאה ולכתיבה ותפישת חשיבותו לעתיד נמוכות בהרבה (משרד החינוך, 2023).</w:t>
      </w:r>
    </w:p>
    <w:p>
      <w:pPr>
        <w:pStyle w:val="Heading2"/>
      </w:pPr>
      <w:r>
        <w:t>הסביבה: רהט והחינוך בחברה הבדואית</w:t>
      </w:r>
    </w:p>
    <w:p>
      <w:r>
        <w:rPr>
          <w:b w:val="0"/>
          <w:i w:val="0"/>
        </w:rPr>
        <w:t>רהט היא העיר הערבית הגדולה בישראל, ובסוף 2022 התגוררו בה כ־78,900 תושבים (הלשכה המרכזית לסטטיסטיקה, 2023). העיר מדורגת באשכול 1 מתוך 10 במדד החברתי־כלכלי, כלומר ברמה הנמוכה ביותר (הלשכה המרכזית לסטטיסטיקה, 2024). מערכת החינוך בחברה הבדואית בנגב סובלת מפערים מתמשכים: שיעור הלומדים בגילי 16-17 נמוך בהרבה מזה שבחינוך העברי והערבי, והתקציב הממוצע לתלמיד נמוך יותר (ויסבלאי, 2017). אבו סעד (2021) מתאר מחסור במורים, בעיקר בחטיבה העליונה, ורמת הכשרה נמוכה יחסית של הצוותים.</w:t>
      </w:r>
    </w:p>
    <w:p>
      <w:r>
        <w:rPr>
          <w:b w:val="0"/>
          <w:i w:val="0"/>
        </w:rPr>
        <w:t>ממשלת ישראל מפעילה תוכניות חומש לפיתוח כלכלי וחברתי של החברה הבדואית בנגב: החלטה 2397 לשנים 2017-2021, ואחריה החלטה 1279 לשנים 2022-2026. החינוך הוא אחד מתחומי ההשקעה המרכזיים בתוכניות אלה, והדוח שהעריך את התוכנית הראשונה מתאר גם את הפערים שנותרו (מאיירס־ג'וינט־מכון ברוקדייל, 2023). המשמעות לבית הספר היא שחלק ניכר מהמשאבים שהוא זקוק להם עוברים דרך הרשות המקומית ודרך תוכניות ממשלתיות, ולא נמצאים בשליטתו.</w:t>
      </w:r>
    </w:p>
    <w:p>
      <w:pPr>
        <w:pStyle w:val="Heading2"/>
      </w:pPr>
      <w:r>
        <w:t>שיטת העבודה</w:t>
      </w:r>
    </w:p>
    <w:p>
      <w:r>
        <w:rPr>
          <w:b w:val="0"/>
          <w:i w:val="0"/>
        </w:rPr>
        <w:t>העבודה נשענת על ניתוח מסמכים: נתוני מערכת השקיפות של משרד החינוך, דוחות של מרכז המחקר והמידע של הכנסת ושל גופי מחקר, ודיווחים עיתונאיים בעברית ובערבית על משא ומתן וקונפליקטים במערכת החינוך ברהט. לא נמצאו דיווחים פומביים על משא ומתן שבו היה מעורב בית הספר עצמו. לכן נבחרו שישה מקרים מבתי ספר אחרים בעיר, שבהם פעלו אותם בעלי עניין מול אותה רשות מקומית, והם משמשים כמקרים מייצגים של הסביבה שבה פועלת הנהלת בית הספר.</w:t>
      </w:r>
    </w:p>
    <w:p>
      <w:r>
        <w:rPr>
          <w:b w:val="0"/>
          <w:i w:val="0"/>
          <w:highlight w:val="yellow"/>
        </w:rPr>
        <w:t>[ראיונות: המחוון דורש שלושה ראיונות עם מנהלים בארגון. להוסיף כאן: "בנוסף נערכו שלושה ראיונות עם [תפקידים] בבית הספר", ולשלב ציטוטים בפרקים הבאים. התמלולים, שמות המרואיינים ומספרי הטלפון מופיעים בנספחים.]</w:t>
      </w:r>
    </w:p>
    <w:p>
      <w:pPr>
        <w:pStyle w:val="Heading2"/>
      </w:pPr>
      <w:r>
        <w:t>אתגרי ניהול ומנהיגות מרכזיים</w:t>
      </w:r>
    </w:p>
    <w:p>
      <w:r>
        <w:rPr>
          <w:b/>
          <w:i w:val="0"/>
          <w:bCs/>
        </w:rPr>
        <w:t>תשתיות ומבנים.</w:t>
      </w:r>
      <w:r>
        <w:rPr>
          <w:b w:val="0"/>
          <w:i w:val="0"/>
        </w:rPr>
        <w:t xml:space="preserve"> המקרים המתועדים ברהט חוזרים שוב ושוב לאותה בעיה: כיתות יבילות ישנות, תקלות חשמל, נזילות ומבנים מתפוררים. כך, בבית הספר בית אל־חכמה שבתו ההורים ב־2019 לאחר שדוח של חברת החשמל התריע על סכנה בקרוונים שעמדו במקום כעשרים שנה (عرب 48, 2019), ובינואר 2026 שבתו הורי בית הספר צלאח א־דין בשל קירות ותקרות מתפוררים (عرب 48, 2026).</w:t>
      </w:r>
    </w:p>
    <w:p>
      <w:r>
        <w:rPr>
          <w:b/>
          <w:i w:val="0"/>
          <w:bCs/>
        </w:rPr>
        <w:t>הישגים ומוטיבציה ללמידה.</w:t>
      </w:r>
      <w:r>
        <w:rPr>
          <w:b w:val="0"/>
          <w:i w:val="0"/>
        </w:rPr>
        <w:t xml:space="preserve"> נתוני בית הספר עצמו מלמדים שהאתגר אינו רק רמת ההישגים אלא גם יחס התלמידים ללמידה, בעיקר ההנאה והחשיבות שהם מייחסים לשפת האם (משרד החינוך, 2023). זה מחייב משאבים לתוכניות קריאה ולהעשרה, שאותם יש להשיג במשא ומתן.</w:t>
      </w:r>
    </w:p>
    <w:p>
      <w:r>
        <w:rPr>
          <w:b/>
          <w:i w:val="0"/>
          <w:bCs/>
        </w:rPr>
        <w:t>כוח אדם.</w:t>
      </w:r>
      <w:r>
        <w:rPr>
          <w:b w:val="0"/>
          <w:i w:val="0"/>
        </w:rPr>
        <w:t xml:space="preserve"> המחסור במורים בנגב עלול להחריף בעקבות החוק שאושר בינואר 2026 ואוסר העסקת מורים בוגרי מוסדות אקדמיים של הרשות הפלסטינית (הארץ, 2026). </w:t>
      </w:r>
      <w:r>
        <w:rPr>
          <w:b/>
          <w:i w:val="0"/>
          <w:bCs/>
        </w:rPr>
        <w:t>ביטחון ומיגון.</w:t>
      </w:r>
      <w:r>
        <w:rPr>
          <w:b w:val="0"/>
          <w:i w:val="0"/>
        </w:rPr>
        <w:t xml:space="preserve"> במהלך מלחמת חרבות ברזל התברר שחלק ממוסדות החינוך ביישובים הבדואים בנגב, ובהם מוסד לחינוך מיוחד ברהט, חסרים מיגון (עדאלה, 2023).</w:t>
      </w:r>
    </w:p>
    <w:p>
      <w:pPr>
        <w:pStyle w:val="Heading2"/>
      </w:pPr>
      <w:r>
        <w:t>משא ומתן עם בעלי עניין</w:t>
      </w:r>
    </w:p>
    <w:p>
      <w:r>
        <w:rPr>
          <w:b w:val="0"/>
          <w:i w:val="0"/>
        </w:rPr>
        <w:t>קונפליקט קיים כאשר יש תלות הדדית בין צדדים לצד תפישה של אי־התאמה בין מטרותיהם (Rahim, 2000, כפי שמצוטט אצל הוכמן, 2026). הנהלת בית הספר נמצאת במרכז רשת של תלויות כאלה:</w:t>
      </w:r>
    </w:p>
    <w:tbl>
      <w:tblPr>
        <w:tblStyle w:val="TableGrid"/>
        <w:tblW w:type="auto" w:w="0"/>
        <w:jc w:val="center"/>
        <w:tblLook w:firstColumn="1" w:firstRow="1" w:lastColumn="0" w:lastRow="0" w:noHBand="0" w:noVBand="1" w:val="04A0"/>
        <w:bidiVisual/>
      </w:tblPr>
      <w:tblGrid>
        <w:gridCol w:w="2268"/>
        <w:gridCol w:w="2268"/>
        <w:gridCol w:w="2268"/>
        <w:gridCol w:w="2268"/>
      </w:tblGrid>
      <w:tr>
        <w:tc>
          <w:tcPr>
            <w:tcW w:type="dxa" w:w="2154"/>
            <w:shd w:val="clear" w:color="auto" w:fill="D9D9D9"/>
          </w:tcPr>
          <w:p>
            <w:pPr>
              <w:spacing w:line="276" w:lineRule="auto" w:after="40"/>
              <w:jc w:val="right"/>
            </w:pPr>
            <w:r>
              <w:rPr>
                <w:b/>
                <w:i w:val="0"/>
                <w:bCs/>
                <w:sz w:val="22"/>
                <w:szCs w:val="22"/>
              </w:rPr>
              <w:t>בעל עניין</w:t>
            </w:r>
          </w:p>
        </w:tc>
        <w:tc>
          <w:tcPr>
            <w:tcW w:type="dxa" w:w="2835"/>
            <w:shd w:val="clear" w:color="auto" w:fill="D9D9D9"/>
          </w:tcPr>
          <w:p>
            <w:pPr>
              <w:spacing w:line="276" w:lineRule="auto" w:after="40"/>
              <w:jc w:val="right"/>
            </w:pPr>
            <w:r>
              <w:rPr>
                <w:b/>
                <w:i w:val="0"/>
                <w:bCs/>
                <w:sz w:val="22"/>
                <w:szCs w:val="22"/>
              </w:rPr>
              <w:t>נושאי המשא ומתן</w:t>
            </w:r>
          </w:p>
        </w:tc>
        <w:tc>
          <w:tcPr>
            <w:tcW w:type="dxa" w:w="1361"/>
            <w:shd w:val="clear" w:color="auto" w:fill="D9D9D9"/>
          </w:tcPr>
          <w:p>
            <w:pPr>
              <w:spacing w:line="276" w:lineRule="auto" w:after="40"/>
              <w:jc w:val="right"/>
            </w:pPr>
            <w:r>
              <w:rPr>
                <w:b/>
                <w:i w:val="0"/>
                <w:bCs/>
                <w:sz w:val="22"/>
                <w:szCs w:val="22"/>
              </w:rPr>
              <w:t>מידת התלות</w:t>
            </w:r>
          </w:p>
        </w:tc>
        <w:tc>
          <w:tcPr>
            <w:tcW w:type="dxa" w:w="2721"/>
            <w:shd w:val="clear" w:color="auto" w:fill="D9D9D9"/>
          </w:tcPr>
          <w:p>
            <w:pPr>
              <w:spacing w:line="276" w:lineRule="auto" w:after="40"/>
              <w:jc w:val="right"/>
            </w:pPr>
            <w:r>
              <w:rPr>
                <w:b/>
                <w:i w:val="0"/>
                <w:bCs/>
                <w:sz w:val="22"/>
                <w:szCs w:val="22"/>
              </w:rPr>
              <w:t>מקור הכוח העיקרי</w:t>
            </w:r>
          </w:p>
        </w:tc>
      </w:tr>
      <w:tr>
        <w:tc>
          <w:tcPr>
            <w:tcW w:type="dxa" w:w="2154"/>
          </w:tcPr>
          <w:p>
            <w:pPr>
              <w:spacing w:line="276" w:lineRule="auto" w:after="40"/>
              <w:jc w:val="right"/>
            </w:pPr>
            <w:r>
              <w:rPr>
                <w:b w:val="0"/>
                <w:i w:val="0"/>
                <w:sz w:val="22"/>
                <w:szCs w:val="22"/>
              </w:rPr>
              <w:t>הורים וועד ההורים</w:t>
            </w:r>
          </w:p>
        </w:tc>
        <w:tc>
          <w:tcPr>
            <w:tcW w:type="dxa" w:w="2835"/>
          </w:tcPr>
          <w:p>
            <w:pPr>
              <w:spacing w:line="276" w:lineRule="auto" w:after="40"/>
              <w:jc w:val="right"/>
            </w:pPr>
            <w:r>
              <w:rPr>
                <w:b w:val="0"/>
                <w:i w:val="0"/>
                <w:sz w:val="22"/>
                <w:szCs w:val="22"/>
              </w:rPr>
              <w:t>בטיחות, תנאי לימוד, שיבוץ, תשלומים, משמעת</w:t>
            </w:r>
          </w:p>
        </w:tc>
        <w:tc>
          <w:tcPr>
            <w:tcW w:type="dxa" w:w="1361"/>
          </w:tcPr>
          <w:p>
            <w:pPr>
              <w:spacing w:line="276" w:lineRule="auto" w:after="40"/>
              <w:jc w:val="right"/>
            </w:pPr>
            <w:r>
              <w:rPr>
                <w:b w:val="0"/>
                <w:i w:val="0"/>
                <w:sz w:val="22"/>
                <w:szCs w:val="22"/>
              </w:rPr>
              <w:t>גבוהה</w:t>
            </w:r>
          </w:p>
        </w:tc>
        <w:tc>
          <w:tcPr>
            <w:tcW w:type="dxa" w:w="2721"/>
          </w:tcPr>
          <w:p>
            <w:pPr>
              <w:spacing w:line="276" w:lineRule="auto" w:after="40"/>
              <w:jc w:val="right"/>
            </w:pPr>
            <w:r>
              <w:rPr>
                <w:b w:val="0"/>
                <w:i w:val="0"/>
                <w:sz w:val="22"/>
                <w:szCs w:val="22"/>
              </w:rPr>
              <w:t>שביתה, פנייה לתקשורת, לגיטימציה קהילתית</w:t>
            </w:r>
          </w:p>
        </w:tc>
      </w:tr>
      <w:tr>
        <w:tc>
          <w:tcPr>
            <w:tcW w:type="dxa" w:w="2154"/>
          </w:tcPr>
          <w:p>
            <w:pPr>
              <w:spacing w:line="276" w:lineRule="auto" w:after="40"/>
              <w:jc w:val="right"/>
            </w:pPr>
            <w:r>
              <w:rPr>
                <w:b w:val="0"/>
                <w:i w:val="0"/>
                <w:sz w:val="22"/>
                <w:szCs w:val="22"/>
              </w:rPr>
              <w:t>עיריית רהט (אגף החינוך, הגזברות, ההנדסה)</w:t>
            </w:r>
          </w:p>
        </w:tc>
        <w:tc>
          <w:tcPr>
            <w:tcW w:type="dxa" w:w="2835"/>
          </w:tcPr>
          <w:p>
            <w:pPr>
              <w:spacing w:line="276" w:lineRule="auto" w:after="40"/>
              <w:jc w:val="right"/>
            </w:pPr>
            <w:r>
              <w:rPr>
                <w:b w:val="0"/>
                <w:i w:val="0"/>
                <w:sz w:val="22"/>
                <w:szCs w:val="22"/>
              </w:rPr>
              <w:t>תקציב שוטף, תחזוקה, שיפוצים, הסעות, כוח אדם מנהלי</w:t>
            </w:r>
          </w:p>
        </w:tc>
        <w:tc>
          <w:tcPr>
            <w:tcW w:type="dxa" w:w="1361"/>
          </w:tcPr>
          <w:p>
            <w:pPr>
              <w:spacing w:line="276" w:lineRule="auto" w:after="40"/>
              <w:jc w:val="right"/>
            </w:pPr>
            <w:r>
              <w:rPr>
                <w:b w:val="0"/>
                <w:i w:val="0"/>
                <w:sz w:val="22"/>
                <w:szCs w:val="22"/>
              </w:rPr>
              <w:t>גבוהה מאוד</w:t>
            </w:r>
          </w:p>
        </w:tc>
        <w:tc>
          <w:tcPr>
            <w:tcW w:type="dxa" w:w="2721"/>
          </w:tcPr>
          <w:p>
            <w:pPr>
              <w:spacing w:line="276" w:lineRule="auto" w:after="40"/>
              <w:jc w:val="right"/>
            </w:pPr>
            <w:r>
              <w:rPr>
                <w:b w:val="0"/>
                <w:i w:val="0"/>
                <w:sz w:val="22"/>
                <w:szCs w:val="22"/>
              </w:rPr>
              <w:t>שליטה בתקציב ובביצוע</w:t>
            </w:r>
          </w:p>
        </w:tc>
      </w:tr>
      <w:tr>
        <w:tc>
          <w:tcPr>
            <w:tcW w:type="dxa" w:w="2154"/>
          </w:tcPr>
          <w:p>
            <w:pPr>
              <w:spacing w:line="276" w:lineRule="auto" w:after="40"/>
              <w:jc w:val="right"/>
            </w:pPr>
            <w:r>
              <w:rPr>
                <w:b w:val="0"/>
                <w:i w:val="0"/>
                <w:sz w:val="22"/>
                <w:szCs w:val="22"/>
              </w:rPr>
              <w:t>משרד החינוך (פיקוח ומחוז דרום)</w:t>
            </w:r>
          </w:p>
        </w:tc>
        <w:tc>
          <w:tcPr>
            <w:tcW w:type="dxa" w:w="2835"/>
          </w:tcPr>
          <w:p>
            <w:pPr>
              <w:spacing w:line="276" w:lineRule="auto" w:after="40"/>
              <w:jc w:val="right"/>
            </w:pPr>
            <w:r>
              <w:rPr>
                <w:b w:val="0"/>
                <w:i w:val="0"/>
                <w:sz w:val="22"/>
                <w:szCs w:val="22"/>
              </w:rPr>
              <w:t>תקן שעות, תוכניות, יעדי הישגים, מיגון, בנייה</w:t>
            </w:r>
          </w:p>
        </w:tc>
        <w:tc>
          <w:tcPr>
            <w:tcW w:type="dxa" w:w="1361"/>
          </w:tcPr>
          <w:p>
            <w:pPr>
              <w:spacing w:line="276" w:lineRule="auto" w:after="40"/>
              <w:jc w:val="right"/>
            </w:pPr>
            <w:r>
              <w:rPr>
                <w:b w:val="0"/>
                <w:i w:val="0"/>
                <w:sz w:val="22"/>
                <w:szCs w:val="22"/>
              </w:rPr>
              <w:t>גבוהה</w:t>
            </w:r>
          </w:p>
        </w:tc>
        <w:tc>
          <w:tcPr>
            <w:tcW w:type="dxa" w:w="2721"/>
          </w:tcPr>
          <w:p>
            <w:pPr>
              <w:spacing w:line="276" w:lineRule="auto" w:after="40"/>
              <w:jc w:val="right"/>
            </w:pPr>
            <w:r>
              <w:rPr>
                <w:b w:val="0"/>
                <w:i w:val="0"/>
                <w:sz w:val="22"/>
                <w:szCs w:val="22"/>
              </w:rPr>
              <w:t>תקנים, תקציב, סמכות פדגוגית</w:t>
            </w:r>
          </w:p>
        </w:tc>
      </w:tr>
      <w:tr>
        <w:tc>
          <w:tcPr>
            <w:tcW w:type="dxa" w:w="2154"/>
          </w:tcPr>
          <w:p>
            <w:pPr>
              <w:spacing w:line="276" w:lineRule="auto" w:after="40"/>
              <w:jc w:val="right"/>
            </w:pPr>
            <w:r>
              <w:rPr>
                <w:b w:val="0"/>
                <w:i w:val="0"/>
                <w:sz w:val="22"/>
                <w:szCs w:val="22"/>
              </w:rPr>
              <w:t>צוות המורים</w:t>
            </w:r>
          </w:p>
        </w:tc>
        <w:tc>
          <w:tcPr>
            <w:tcW w:type="dxa" w:w="2835"/>
          </w:tcPr>
          <w:p>
            <w:pPr>
              <w:spacing w:line="276" w:lineRule="auto" w:after="40"/>
              <w:jc w:val="right"/>
            </w:pPr>
            <w:r>
              <w:rPr>
                <w:b w:val="0"/>
                <w:i w:val="0"/>
                <w:sz w:val="22"/>
                <w:szCs w:val="22"/>
              </w:rPr>
              <w:t>מערכת שעות, תפקידים, עומס, עבודה בחירום</w:t>
            </w:r>
          </w:p>
        </w:tc>
        <w:tc>
          <w:tcPr>
            <w:tcW w:type="dxa" w:w="1361"/>
          </w:tcPr>
          <w:p>
            <w:pPr>
              <w:spacing w:line="276" w:lineRule="auto" w:after="40"/>
              <w:jc w:val="right"/>
            </w:pPr>
            <w:r>
              <w:rPr>
                <w:b w:val="0"/>
                <w:i w:val="0"/>
                <w:sz w:val="22"/>
                <w:szCs w:val="22"/>
              </w:rPr>
              <w:t>גבוהה</w:t>
            </w:r>
          </w:p>
        </w:tc>
        <w:tc>
          <w:tcPr>
            <w:tcW w:type="dxa" w:w="2721"/>
          </w:tcPr>
          <w:p>
            <w:pPr>
              <w:spacing w:line="276" w:lineRule="auto" w:after="40"/>
              <w:jc w:val="right"/>
            </w:pPr>
            <w:r>
              <w:rPr>
                <w:b w:val="0"/>
                <w:i w:val="0"/>
                <w:sz w:val="22"/>
                <w:szCs w:val="22"/>
              </w:rPr>
              <w:t>מומחיות, מחסור במורים חלופיים</w:t>
            </w:r>
          </w:p>
        </w:tc>
      </w:tr>
      <w:tr>
        <w:tc>
          <w:tcPr>
            <w:tcW w:type="dxa" w:w="2154"/>
          </w:tcPr>
          <w:p>
            <w:pPr>
              <w:spacing w:line="276" w:lineRule="auto" w:after="40"/>
              <w:jc w:val="right"/>
            </w:pPr>
            <w:r>
              <w:rPr>
                <w:b w:val="0"/>
                <w:i w:val="0"/>
                <w:sz w:val="22"/>
                <w:szCs w:val="22"/>
              </w:rPr>
              <w:t>ספקים ומפעילי תוכניות</w:t>
            </w:r>
          </w:p>
        </w:tc>
        <w:tc>
          <w:tcPr>
            <w:tcW w:type="dxa" w:w="2835"/>
          </w:tcPr>
          <w:p>
            <w:pPr>
              <w:spacing w:line="276" w:lineRule="auto" w:after="40"/>
              <w:jc w:val="right"/>
            </w:pPr>
            <w:r>
              <w:rPr>
                <w:b w:val="0"/>
                <w:i w:val="0"/>
                <w:sz w:val="22"/>
                <w:szCs w:val="22"/>
              </w:rPr>
              <w:t>מחיר, איכות, לוחות זמנים</w:t>
            </w:r>
          </w:p>
        </w:tc>
        <w:tc>
          <w:tcPr>
            <w:tcW w:type="dxa" w:w="1361"/>
          </w:tcPr>
          <w:p>
            <w:pPr>
              <w:spacing w:line="276" w:lineRule="auto" w:after="40"/>
              <w:jc w:val="right"/>
            </w:pPr>
            <w:r>
              <w:rPr>
                <w:b w:val="0"/>
                <w:i w:val="0"/>
                <w:sz w:val="22"/>
                <w:szCs w:val="22"/>
              </w:rPr>
              <w:t>בינונית</w:t>
            </w:r>
          </w:p>
        </w:tc>
        <w:tc>
          <w:tcPr>
            <w:tcW w:type="dxa" w:w="2721"/>
          </w:tcPr>
          <w:p>
            <w:pPr>
              <w:spacing w:line="276" w:lineRule="auto" w:after="40"/>
              <w:jc w:val="right"/>
            </w:pPr>
            <w:r>
              <w:rPr>
                <w:b w:val="0"/>
                <w:i w:val="0"/>
                <w:sz w:val="22"/>
                <w:szCs w:val="22"/>
              </w:rPr>
              <w:t>חלופות בשוק</w:t>
            </w:r>
          </w:p>
        </w:tc>
      </w:tr>
    </w:tbl>
    <w:p/>
    <w:p>
      <w:r>
        <w:br w:type="page"/>
      </w:r>
    </w:p>
    <w:p>
      <w:pPr>
        <w:pStyle w:val="Heading1"/>
      </w:pPr>
      <w:r>
        <w:t>סקירת ספרות</w:t>
      </w:r>
    </w:p>
    <w:p>
      <w:r>
        <w:rPr>
          <w:b w:val="0"/>
          <w:i w:val="0"/>
        </w:rPr>
        <w:t>סקירה זו מציגה את שלוש המסגרות שעליהן נשען הניתוח בפרקים הבאים: ההבחנה בין משא ומתן חלוקתי לאינטגרטיבי, מודל המשא ומתן על פי עקרונות, ומודל העניין הכפול. בסופה מוצג הקשר בין תרבות ארגונית להתנהגות במשא ומתן, שהוא הבסיס לפרק התרבות.</w:t>
      </w:r>
    </w:p>
    <w:p>
      <w:pPr>
        <w:pStyle w:val="Heading2"/>
      </w:pPr>
      <w:r>
        <w:t>משא ומתן חלוקתי ומשא ומתן אינטגרטיבי</w:t>
      </w:r>
    </w:p>
    <w:p>
      <w:r>
        <w:rPr>
          <w:b w:val="0"/>
          <w:i w:val="0"/>
        </w:rPr>
        <w:t>גלין מגדירה משא ומתן כדרך אחת מבין כמה לפתרון קונפליקט או ניגוד אינטרסים, שהצדדים בוחרים בה משום שהם מעריכים שהיא עדיפה על החלופות (גלין, 1996, כפי שמצוטט אצל הוכמן, 2026). Amistad ועמיתיו (Amistad et al., 2018) מוסיפים שמדובר בהליך שבו כמה צדדים צריכים להסכים כיצד להקצות משאבים מוגבלים, ושתוצאותיו תלויות גם באישיותם של הנושאים והנותנים וביחסי הגומלין ביניהם.</w:t>
      </w:r>
    </w:p>
    <w:p>
      <w:r>
        <w:rPr>
          <w:b w:val="0"/>
          <w:i w:val="0"/>
        </w:rPr>
        <w:t>במשא ומתן חלוקתי הצדדים מתחלקים ב"עוגה" קבועה, ומה שצד אחד מרוויח הצד השני מפסיד. הגישה הכלכלית ותורת המשחקים מתארות אותו כמיקוח אסטרטגי שבו כל צד מנסה למקסם את רווחו (הוכמן, 2026). במשא ומתן אינטגרטיבי הצדדים מחפשים הסכמים שמגדילים את הערך הכולל, בדרך כלל על ידי החלפת ויתורים בנושאים שכל צד מייחס להם חשיבות שונה. Benetti ועמיתיו (Benetti et al., 2021) בחנו 214 מנהלי משא ומתן זרים שעבדו מול עמיתים באיטליה ובארצות הברית, וזיהו שלושה דפוסים: דפוס חלוקתי, דפוס אינטגרטיבי "רגשי" שאפיין בעיקר את האיטלקים, ודפוס אינטגרטיבי "לא אישי" שאפיין בעיקר את האמריקאים. הממצא מראה ששיתוף פעולה בשולחן אינו נראה אותו דבר בכל מקום, ושההקשר התרבותי מעצב את הדרך שבה יוצרים ערך.</w:t>
      </w:r>
    </w:p>
    <w:p>
      <w:r>
        <w:rPr>
          <w:b w:val="0"/>
          <w:i w:val="0"/>
        </w:rPr>
        <w:t>בצד החלוקתי של המשא ומתן, ההצעה הראשונה היא אחד הכלים המשפיעים ביותר. סקירה של 119 מאמרים מצאה הסכמה רחבה שהצעה ראשונה משפיעה על התוצאה דרך אפקט העיגון (Lipp et al., 2023). עם זאת, Maaravi ו־Levy (Maaravi &amp; Levy, 2017) הראו שכאשר לצד אחד חסר מידע על שווי השוק, דווקא הצד שמגיב שני מרוויח, משום שההצעה הראשונה חושפת מידע. כאן נכנסים שני כלי הניתוח שנלמדו בקורס: ה־BATNA, החלופה הטובה ביותר להסכם, שקובעת מתי עדיף לקום מהשולחן, וה־ZOPA, טווח ההסכמה האפשרי שבין הקווים האדומים של הצדדים (הוכמן, 2026). שניהם אינם תיאוריה אלא כלים להערכת כוח המיקוח.</w:t>
      </w:r>
    </w:p>
    <w:p>
      <w:pPr>
        <w:pStyle w:val="Heading2"/>
      </w:pPr>
      <w:r>
        <w:t>משא ומתן על פי עקרונות</w:t>
      </w:r>
    </w:p>
    <w:p>
      <w:r>
        <w:rPr>
          <w:b w:val="0"/>
          <w:i w:val="0"/>
        </w:rPr>
        <w:t>פישר, יורי ופאטון (2013) הציעו חלופה למיקוח על עמדות, שלטענתם מוביל להסכמים גרועים ופוגע ביחסים. המודל, שפותח בפרויקט המשא ומתן של הרווארד, נשען על ארבעה עקרונות: הפרדת האנשים מהבעיה, התמקדות באינטרסים ולא בעמדות, יצירת אפשרויות לרווח הדדי, ושימוש בקריטריונים אובייקטיביים. העמדה היא מה שצד דורש, והאינטרס הוא הסיבה שבגללה הוא דורש זאת. מאחורי עמדות מנוגדות יש לעיתים קרובות אינטרסים משותפים, והאינטרסים החזקים ביותר הם צרכים אנושיים בסיסיים כמו ביטחון, הכרה ושליטה (פישר ואחרים, 2013). בקורס הורחב המודל לשבעה רכיבים: אינטרסים, חלופות, קריטריונים, אופציות, יחסים, תקשורת ומחויבות (הוכמן, 2026).</w:t>
      </w:r>
    </w:p>
    <w:p>
      <w:r>
        <w:rPr>
          <w:b w:val="0"/>
          <w:i w:val="0"/>
        </w:rPr>
        <w:t>מחקרים עדכניים תומכים בהיגיון של המודל גם במשא ומתן ארגוני. Elgoibar ועמיתיו (Elgoibar et al., 2021) סקרו 614 מנהלי משאבי אנוש ב־11 מדינות באירופה, ומצאו שנציגי עובדים שההנהלה תופסת כאמינים משפיעים יותר על ההחלטות, בעיקר בנושאים אינטגרטיביים כמו רווחה והכשרה ופחות בנושאים חלוקתיים כמו שכר. האמון תיווך חלקית את הקשר. כלומר, הפרדת האנשים מהבעיה ובניית יחסים אינן רק נימוס, אלא תנאי למעבר ממיקוח לפתרון בעיות. גם בזירה המשפטית ניכרת תנועה דומה: אלברשטין (2018) מתארת מערכת שבה רוב התיקים מסתיימים בהסכמה, ושבה השופט מנהל תהליך של יישוב סכסוך ומעדיף הסכמה על פני הכרעה כפויה.</w:t>
      </w:r>
    </w:p>
    <w:p>
      <w:pPr>
        <w:pStyle w:val="Heading2"/>
      </w:pPr>
      <w:r>
        <w:t>מודל העניין הכפול וסגנונות ניהול קונפליקט</w:t>
      </w:r>
    </w:p>
    <w:p>
      <w:r>
        <w:rPr>
          <w:b w:val="0"/>
          <w:i w:val="0"/>
        </w:rPr>
        <w:t>מודל העניין הכפול מסביר את הבחירה בסגנון התנהגות בקונפליקט לפי שני ממדים: דאגה לתוצאות של עצמי (אסרטיביות) ודאגה לתוצאות של האחר. רחים זיהה חמישה סגנונות: אינטגרטיבי (דאגה גבוהה לשניהם), מוותר (דאגה לאחר), שולט או תחרותי (דאגה לעצמי), נמנע (דאגה נמוכה לשניהם) ופשרני (דאגה בינונית לשניהם) (Rahim, 1983, כפי שמצוטט אצל הוכמן, 2026). שאלון TKI, שמולאה בקורס, מבוסס על אותו היגיון (הוכמן, 2026). Miller (2014) מצא פער בין הסגנון שאנשים מצהירים עליו לבין הסגנון שהם נוקטים בפועל, ולכן בניתוח הראיונות יש להבחין בין מה שהמנהלים אומרים על עצמם לבין מה שהם מתארים שעשו.</w:t>
      </w:r>
    </w:p>
    <w:p>
      <w:r>
        <w:rPr>
          <w:b w:val="0"/>
          <w:i w:val="0"/>
        </w:rPr>
        <w:t>הבחירה בסגנון אינה קבועה. Yeung ו־Ho (Yeung &amp; Ho, 2020) מצאו בקרב 416 עובדים שעובדים שמתמקדים במגבלות שלהם נוטים יותר לסגנונות המוותר, הנמנע והשולט, ופחות לסגנון האינטגרטיבי. לסגנון של המנהל יש גם השפעה על הצוות: במחקר על 101 צוותים נמצא שסגנון שיתופי של ראש הצוות יוצר אקלים רגשי חיובי, וזה מעלה את התשוקה של הצוות לעבודה (Yin et al., 2022).</w:t>
      </w:r>
    </w:p>
    <w:p>
      <w:pPr>
        <w:pStyle w:val="Heading2"/>
      </w:pPr>
      <w:r>
        <w:t>תרבות ארגונית ומשא ומתן</w:t>
      </w:r>
    </w:p>
    <w:p>
      <w:r>
        <w:rPr>
          <w:b w:val="0"/>
          <w:i w:val="0"/>
        </w:rPr>
        <w:t>תרבות ארגונית היא מערכת הערכים והנורמות המשותפת לחברי הארגון. ערך מגדיר מה רצוי, ונורמה מתרגמת אותו להוראת התנהגות מפורשת (שפירא, 1983, כפי שמצוטט אצל הוכמן, 2026). הנורמות מגדירות מה נחשב התנהגות מקובלת, ולכן הן משפיעות על מה שמנהל מרגיש שמותר לו לדרוש או לוותר עליו במשא ומתן.</w:t>
      </w:r>
    </w:p>
    <w:p>
      <w:r>
        <w:rPr>
          <w:b w:val="0"/>
          <w:i w:val="0"/>
        </w:rPr>
        <w:t>מש וכהן (2021) בדקו 131 עובדים בארגונים בישראל ומצאו קשר מפתיע: תרבות ארגונית חזקה נקשרה לסגנון תחרותי בניהול קונפליקט, ותרבות חלשה לסגנון שיתופי. לטענתם, תרבות חזקה מייצרת קונצנזוס שמדכא גיוון והבעה פתוחה של אינטרסים, וזה מקשה על שיתוף פעולה. Yamini ועמיתיו (Yamini et al., 2025) הראו ברמת הפרט שערכים תרבותיים מנבאים את סגנון ניהול הקונפליקט דרך השאלה אם האדם דואג לתוצאות שלו, של האחר או של שניהם. המשמעות לעבודה זו היא שכדי להבין את המשא ומתן בארגון צריך לבחון גם את הערכים שמכוונים את המנהלים, ולא רק את הטכניקות שהם מפעילים.</w:t>
      </w:r>
    </w:p>
    <w:p>
      <w:r>
        <w:br w:type="page"/>
      </w:r>
    </w:p>
    <w:p>
      <w:pPr>
        <w:pStyle w:val="Heading1"/>
      </w:pPr>
      <w:r>
        <w:t>ניתוח דוגמאות משא ומתן לפי תיאוריות</w:t>
      </w:r>
    </w:p>
    <w:p>
      <w:r>
        <w:rPr>
          <w:b w:val="0"/>
          <w:i w:val="0"/>
        </w:rPr>
        <w:t>בפרק זה נותחו שש דוגמאות, שתיים לכל תיאוריה. בכל דוגמה פורקו התפישות, העמדות והאינטרסים של הצדדים, וזוהו ה־BATNA וה־ZOPA. ה־BATNA וה־ZOPA אינן תיאוריות אלא כלי ניתוח (הוכמן, 2026). כאשר הדיווחים לא פירטו את הקו האדום של צד מסוים, הוא הוערך מתוך התנהגותו, והדבר מצוין בטבלה.</w:t>
      </w:r>
    </w:p>
    <w:p>
      <w:pPr>
        <w:pStyle w:val="Heading2"/>
      </w:pPr>
      <w:r>
        <w:t>תיאוריה 1: משא ומתן חלוקתי מול משא ומתן אינטגרטיבי</w:t>
      </w:r>
    </w:p>
    <w:p>
      <w:pPr>
        <w:pStyle w:val="Heading3"/>
      </w:pPr>
      <w:r>
        <w:t>דוגמה 1: חלוקת תקציב של 58,000 ש"ח בבית הספר אל־נג'אח (2021)</w:t>
      </w:r>
    </w:p>
    <w:p>
      <w:r>
        <w:rPr>
          <w:b w:val="0"/>
          <w:i w:val="0"/>
        </w:rPr>
        <w:t>בספטמבר 2021 הודיע ועד ההורים של בית הספר המקיף אל־נג'אח ברהט על שביתה פתוחה. העירייה סירבה להעביר לבית הספר את תקציב החודשים מאי ויוני, בסך 58,000 ש"ח. סגן ראש העירייה ומחזיק תיק החינוך הציע שבית הספר ישלם מחצית מהסכום והעירייה מחצית, והוועד דחה כל חלוקה בטענה שבאותה שנה הלימודים לא התקיימו כסדרם עד מרץ בשל הקורונה (عرب 48, 2021).</w:t>
      </w:r>
    </w:p>
    <w:tbl>
      <w:tblPr>
        <w:tblStyle w:val="TableGrid"/>
        <w:tblW w:type="auto" w:w="0"/>
        <w:jc w:val="center"/>
        <w:tblLook w:firstColumn="1" w:firstRow="1" w:lastColumn="0" w:lastRow="0" w:noHBand="0" w:noVBand="1" w:val="04A0"/>
        <w:bidiVisual/>
      </w:tblPr>
      <w:tblGrid>
        <w:gridCol w:w="3024"/>
        <w:gridCol w:w="3024"/>
        <w:gridCol w:w="3024"/>
      </w:tblGrid>
      <w:tr>
        <w:tc>
          <w:tcPr>
            <w:tcW w:type="dxa" w:w="1701"/>
            <w:shd w:val="clear" w:color="auto" w:fill="D9D9D9"/>
          </w:tcPr>
          <w:p>
            <w:pPr>
              <w:spacing w:line="276" w:lineRule="auto" w:after="40"/>
              <w:jc w:val="right"/>
            </w:pPr>
            <w:r>
              <w:rPr>
                <w:b/>
                <w:i w:val="0"/>
                <w:bCs/>
                <w:sz w:val="22"/>
                <w:szCs w:val="22"/>
              </w:rPr>
              <w:t>רכיב</w:t>
            </w:r>
          </w:p>
        </w:tc>
        <w:tc>
          <w:tcPr>
            <w:tcW w:type="dxa" w:w="3685"/>
            <w:shd w:val="clear" w:color="auto" w:fill="D9D9D9"/>
          </w:tcPr>
          <w:p>
            <w:pPr>
              <w:spacing w:line="276" w:lineRule="auto" w:after="40"/>
              <w:jc w:val="right"/>
            </w:pPr>
            <w:r>
              <w:rPr>
                <w:b/>
                <w:i w:val="0"/>
                <w:bCs/>
                <w:sz w:val="22"/>
                <w:szCs w:val="22"/>
              </w:rPr>
              <w:t>ועד ההורים ובית הספר</w:t>
            </w:r>
          </w:p>
        </w:tc>
        <w:tc>
          <w:tcPr>
            <w:tcW w:type="dxa" w:w="3685"/>
            <w:shd w:val="clear" w:color="auto" w:fill="D9D9D9"/>
          </w:tcPr>
          <w:p>
            <w:pPr>
              <w:spacing w:line="276" w:lineRule="auto" w:after="40"/>
              <w:jc w:val="right"/>
            </w:pPr>
            <w:r>
              <w:rPr>
                <w:b/>
                <w:i w:val="0"/>
                <w:bCs/>
                <w:sz w:val="22"/>
                <w:szCs w:val="22"/>
              </w:rPr>
              <w:t>עיריית רהט</w:t>
            </w:r>
          </w:p>
        </w:tc>
      </w:tr>
      <w:tr>
        <w:tc>
          <w:tcPr>
            <w:tcW w:type="dxa" w:w="1701"/>
          </w:tcPr>
          <w:p>
            <w:pPr>
              <w:spacing w:line="276" w:lineRule="auto" w:after="40"/>
              <w:jc w:val="right"/>
            </w:pPr>
            <w:r>
              <w:rPr>
                <w:b w:val="0"/>
                <w:i w:val="0"/>
                <w:sz w:val="22"/>
                <w:szCs w:val="22"/>
              </w:rPr>
              <w:t>תפישות</w:t>
            </w:r>
          </w:p>
        </w:tc>
        <w:tc>
          <w:tcPr>
            <w:tcW w:type="dxa" w:w="3685"/>
          </w:tcPr>
          <w:p>
            <w:pPr>
              <w:spacing w:line="276" w:lineRule="auto" w:after="40"/>
              <w:jc w:val="right"/>
            </w:pPr>
            <w:r>
              <w:rPr>
                <w:b w:val="0"/>
                <w:i w:val="0"/>
                <w:sz w:val="22"/>
                <w:szCs w:val="22"/>
              </w:rPr>
              <w:t>העירייה מתחמקת מחובותיה ופוגעת בילדים</w:t>
            </w:r>
          </w:p>
        </w:tc>
        <w:tc>
          <w:tcPr>
            <w:tcW w:type="dxa" w:w="3685"/>
          </w:tcPr>
          <w:p>
            <w:pPr>
              <w:spacing w:line="276" w:lineRule="auto" w:after="40"/>
              <w:jc w:val="right"/>
            </w:pPr>
            <w:r>
              <w:rPr>
                <w:b w:val="0"/>
                <w:i w:val="0"/>
                <w:sz w:val="22"/>
                <w:szCs w:val="22"/>
              </w:rPr>
              <w:t>בית הספר יכול לספוג חלק מהעלות; שנת הקורונה חריגה לכולם</w:t>
            </w:r>
          </w:p>
        </w:tc>
      </w:tr>
      <w:tr>
        <w:tc>
          <w:tcPr>
            <w:tcW w:type="dxa" w:w="1701"/>
          </w:tcPr>
          <w:p>
            <w:pPr>
              <w:spacing w:line="276" w:lineRule="auto" w:after="40"/>
              <w:jc w:val="right"/>
            </w:pPr>
            <w:r>
              <w:rPr>
                <w:b w:val="0"/>
                <w:i w:val="0"/>
                <w:sz w:val="22"/>
                <w:szCs w:val="22"/>
              </w:rPr>
              <w:t>עמדות</w:t>
            </w:r>
          </w:p>
        </w:tc>
        <w:tc>
          <w:tcPr>
            <w:tcW w:type="dxa" w:w="3685"/>
          </w:tcPr>
          <w:p>
            <w:pPr>
              <w:spacing w:line="276" w:lineRule="auto" w:after="40"/>
              <w:jc w:val="right"/>
            </w:pPr>
            <w:r>
              <w:rPr>
                <w:b w:val="0"/>
                <w:i w:val="0"/>
                <w:sz w:val="22"/>
                <w:szCs w:val="22"/>
              </w:rPr>
              <w:t>העברת מלוא 58,000 ש"ח</w:t>
            </w:r>
          </w:p>
        </w:tc>
        <w:tc>
          <w:tcPr>
            <w:tcW w:type="dxa" w:w="3685"/>
          </w:tcPr>
          <w:p>
            <w:pPr>
              <w:spacing w:line="276" w:lineRule="auto" w:after="40"/>
              <w:jc w:val="right"/>
            </w:pPr>
            <w:r>
              <w:rPr>
                <w:b w:val="0"/>
                <w:i w:val="0"/>
                <w:sz w:val="22"/>
                <w:szCs w:val="22"/>
              </w:rPr>
              <w:t>חלוקה שווה: 29,000 ש"ח לכל צד</w:t>
            </w:r>
          </w:p>
        </w:tc>
      </w:tr>
      <w:tr>
        <w:tc>
          <w:tcPr>
            <w:tcW w:type="dxa" w:w="1701"/>
          </w:tcPr>
          <w:p>
            <w:pPr>
              <w:spacing w:line="276" w:lineRule="auto" w:after="40"/>
              <w:jc w:val="right"/>
            </w:pPr>
            <w:r>
              <w:rPr>
                <w:b w:val="0"/>
                <w:i w:val="0"/>
                <w:sz w:val="22"/>
                <w:szCs w:val="22"/>
              </w:rPr>
              <w:t>אינטרסים</w:t>
            </w:r>
          </w:p>
        </w:tc>
        <w:tc>
          <w:tcPr>
            <w:tcW w:type="dxa" w:w="3685"/>
          </w:tcPr>
          <w:p>
            <w:pPr>
              <w:spacing w:line="276" w:lineRule="auto" w:after="40"/>
              <w:jc w:val="right"/>
            </w:pPr>
            <w:r>
              <w:rPr>
                <w:b w:val="0"/>
                <w:i w:val="0"/>
                <w:sz w:val="22"/>
                <w:szCs w:val="22"/>
              </w:rPr>
              <w:t>רציפות פעילות, מניעת גירעון בבית הספר, הגנה על הילדים</w:t>
            </w:r>
          </w:p>
        </w:tc>
        <w:tc>
          <w:tcPr>
            <w:tcW w:type="dxa" w:w="3685"/>
          </w:tcPr>
          <w:p>
            <w:pPr>
              <w:spacing w:line="276" w:lineRule="auto" w:after="40"/>
              <w:jc w:val="right"/>
            </w:pPr>
            <w:r>
              <w:rPr>
                <w:b w:val="0"/>
                <w:i w:val="0"/>
                <w:sz w:val="22"/>
                <w:szCs w:val="22"/>
              </w:rPr>
              <w:t>צמצום הוצאה בעירייה בגירעון, קביעת תקדים שלא כל חוב מועבר במלואו</w:t>
            </w:r>
          </w:p>
        </w:tc>
      </w:tr>
      <w:tr>
        <w:tc>
          <w:tcPr>
            <w:tcW w:type="dxa" w:w="1701"/>
          </w:tcPr>
          <w:p>
            <w:pPr>
              <w:spacing w:line="276" w:lineRule="auto" w:after="40"/>
              <w:jc w:val="right"/>
            </w:pPr>
            <w:r>
              <w:rPr>
                <w:b w:val="0"/>
                <w:i w:val="0"/>
                <w:sz w:val="22"/>
                <w:szCs w:val="22"/>
              </w:rPr>
              <w:t>BATNA</w:t>
            </w:r>
          </w:p>
        </w:tc>
        <w:tc>
          <w:tcPr>
            <w:tcW w:type="dxa" w:w="3685"/>
          </w:tcPr>
          <w:p>
            <w:pPr>
              <w:spacing w:line="276" w:lineRule="auto" w:after="40"/>
              <w:jc w:val="right"/>
            </w:pPr>
            <w:r>
              <w:rPr>
                <w:b w:val="0"/>
                <w:i w:val="0"/>
                <w:sz w:val="22"/>
                <w:szCs w:val="22"/>
              </w:rPr>
              <w:t>שביתה פתוחה ולחץ ציבורי</w:t>
            </w:r>
          </w:p>
        </w:tc>
        <w:tc>
          <w:tcPr>
            <w:tcW w:type="dxa" w:w="3685"/>
          </w:tcPr>
          <w:p>
            <w:pPr>
              <w:spacing w:line="276" w:lineRule="auto" w:after="40"/>
              <w:jc w:val="right"/>
            </w:pPr>
            <w:r>
              <w:rPr>
                <w:b w:val="0"/>
                <w:i w:val="0"/>
                <w:sz w:val="22"/>
                <w:szCs w:val="22"/>
              </w:rPr>
              <w:t>לעמוד בשביתה ולספוג ביקורת ציבורית</w:t>
            </w:r>
          </w:p>
        </w:tc>
      </w:tr>
      <w:tr>
        <w:tc>
          <w:tcPr>
            <w:tcW w:type="dxa" w:w="1701"/>
          </w:tcPr>
          <w:p>
            <w:pPr>
              <w:spacing w:line="276" w:lineRule="auto" w:after="40"/>
              <w:jc w:val="right"/>
            </w:pPr>
            <w:r>
              <w:rPr>
                <w:b w:val="0"/>
                <w:i w:val="0"/>
                <w:sz w:val="22"/>
                <w:szCs w:val="22"/>
              </w:rPr>
              <w:t>קו אדום (הערכה)</w:t>
            </w:r>
          </w:p>
        </w:tc>
        <w:tc>
          <w:tcPr>
            <w:tcW w:type="dxa" w:w="3685"/>
          </w:tcPr>
          <w:p>
            <w:pPr>
              <w:spacing w:line="276" w:lineRule="auto" w:after="40"/>
              <w:jc w:val="right"/>
            </w:pPr>
            <w:r>
              <w:rPr>
                <w:b w:val="0"/>
                <w:i w:val="0"/>
                <w:sz w:val="22"/>
                <w:szCs w:val="22"/>
              </w:rPr>
              <w:t>לא פחות מהסכום המלא, כפי שהוצהר</w:t>
            </w:r>
          </w:p>
        </w:tc>
        <w:tc>
          <w:tcPr>
            <w:tcW w:type="dxa" w:w="3685"/>
          </w:tcPr>
          <w:p>
            <w:pPr>
              <w:spacing w:line="276" w:lineRule="auto" w:after="40"/>
              <w:jc w:val="right"/>
            </w:pPr>
            <w:r>
              <w:rPr>
                <w:b w:val="0"/>
                <w:i w:val="0"/>
                <w:sz w:val="22"/>
                <w:szCs w:val="22"/>
              </w:rPr>
              <w:t>לא יותר מהסכום המלא; כנראה לא פחות ממחצית</w:t>
            </w:r>
          </w:p>
        </w:tc>
      </w:tr>
    </w:tbl>
    <w:p/>
    <w:p>
      <w:r>
        <w:rPr>
          <w:b/>
          <w:i w:val="0"/>
          <w:bCs/>
        </w:rPr>
        <w:t>ZOPA.</w:t>
      </w:r>
      <w:r>
        <w:rPr>
          <w:b w:val="0"/>
          <w:i w:val="0"/>
        </w:rPr>
        <w:t xml:space="preserve"> טווח ההסכמה משתרע בין 29,000 ל־58,000 ש"ח שיעבירו העירייה. ההצעה של העירייה היא עוגן בקצה הנמוך, ועמדת הוועד היא הקצה העליון. מאחר שהוועד הצהיר שלא יקבל שום חלוקה, הוא צמצם את הטווח לנקודה אחת, וזה מסביר את המעבר לשביתה.</w:t>
      </w:r>
    </w:p>
    <w:p>
      <w:r>
        <w:rPr>
          <w:b/>
          <w:i w:val="0"/>
          <w:bCs/>
        </w:rPr>
        <w:t>ניתוח.</w:t>
      </w:r>
      <w:r>
        <w:rPr>
          <w:b w:val="0"/>
          <w:i w:val="0"/>
        </w:rPr>
        <w:t xml:space="preserve"> זהו משא ומתן חלוקתי מובהק: משתנה אחד, סכום כסף קבוע, וכל שקל שצד אחד מרוויח הצד השני מפסיד (גלין, 1996, כפי שמצוטט אצל הוכמן, 2026). הצעת החצי־חצי של העירייה נשמעת הוגנת, אבל היא פשרה מכנית ולא פתרון. בפועל היו כאן אפשרויות להרחיב את העוגה: פריסת התשלום, קיזוז מול תקציב השנה הבאה, או מימון ממקור חיצוני כמו תוכנית החומש. הדבר מתיישב עם הממצא ששיתוף פעולה בשולחן נראה אחרת בהקשרים תרבותיים שונים, וכי הקשר רגשי וקהילתי יכול לאפשר פתרונות אינטגרטיביים (Benetti et al., 2021). מבחינת הנהלת בית ספר, הלקח הוא לא לחכות שהמחלוקת תצטמצם לשאלה אחת של כסף.</w:t>
      </w:r>
    </w:p>
    <w:p>
      <w:pPr>
        <w:pStyle w:val="Heading3"/>
      </w:pPr>
      <w:r>
        <w:t>דוגמה 2: קרוונים ללא חשמל בבית הספר אל־זהראא (2020)</w:t>
      </w:r>
    </w:p>
    <w:p>
      <w:r>
        <w:rPr>
          <w:b w:val="0"/>
          <w:i w:val="0"/>
        </w:rPr>
        <w:t>בינואר 2020 איים ועד ההורים של בית הספר היסודי אל־זהראא בשביתה פתוחה, לאחר שכיתות ב' שלמדו בקרוונים נותרו ללא חשמל בעקבות קצר שנגרם מהגשם, לצד חוסרים נוספים. לאחר פגישה בין הוועד לבין ראש העירייה בפועל, התחייבה העירייה שראש העירייה, מהנדס העירייה והקבלן יגיעו לבית הספר ביום ראשון בבוקר ויתחילו בעבודות מיד, והשביתה בוטלה (عرب 48, 2020).</w:t>
      </w:r>
    </w:p>
    <w:tbl>
      <w:tblPr>
        <w:tblStyle w:val="TableGrid"/>
        <w:tblW w:type="auto" w:w="0"/>
        <w:jc w:val="center"/>
        <w:tblLook w:firstColumn="1" w:firstRow="1" w:lastColumn="0" w:lastRow="0" w:noHBand="0" w:noVBand="1" w:val="04A0"/>
        <w:bidiVisual/>
      </w:tblPr>
      <w:tblGrid>
        <w:gridCol w:w="3024"/>
        <w:gridCol w:w="3024"/>
        <w:gridCol w:w="3024"/>
      </w:tblGrid>
      <w:tr>
        <w:tc>
          <w:tcPr>
            <w:tcW w:type="dxa" w:w="1701"/>
            <w:shd w:val="clear" w:color="auto" w:fill="D9D9D9"/>
          </w:tcPr>
          <w:p>
            <w:pPr>
              <w:spacing w:line="276" w:lineRule="auto" w:after="40"/>
              <w:jc w:val="right"/>
            </w:pPr>
            <w:r>
              <w:rPr>
                <w:b/>
                <w:i w:val="0"/>
                <w:bCs/>
                <w:sz w:val="22"/>
                <w:szCs w:val="22"/>
              </w:rPr>
              <w:t>רכיב</w:t>
            </w:r>
          </w:p>
        </w:tc>
        <w:tc>
          <w:tcPr>
            <w:tcW w:type="dxa" w:w="3685"/>
            <w:shd w:val="clear" w:color="auto" w:fill="D9D9D9"/>
          </w:tcPr>
          <w:p>
            <w:pPr>
              <w:spacing w:line="276" w:lineRule="auto" w:after="40"/>
              <w:jc w:val="right"/>
            </w:pPr>
            <w:r>
              <w:rPr>
                <w:b/>
                <w:i w:val="0"/>
                <w:bCs/>
                <w:sz w:val="22"/>
                <w:szCs w:val="22"/>
              </w:rPr>
              <w:t>ועד ההורים</w:t>
            </w:r>
          </w:p>
        </w:tc>
        <w:tc>
          <w:tcPr>
            <w:tcW w:type="dxa" w:w="3685"/>
            <w:shd w:val="clear" w:color="auto" w:fill="D9D9D9"/>
          </w:tcPr>
          <w:p>
            <w:pPr>
              <w:spacing w:line="276" w:lineRule="auto" w:after="40"/>
              <w:jc w:val="right"/>
            </w:pPr>
            <w:r>
              <w:rPr>
                <w:b/>
                <w:i w:val="0"/>
                <w:bCs/>
                <w:sz w:val="22"/>
                <w:szCs w:val="22"/>
              </w:rPr>
              <w:t>עיריית רהט</w:t>
            </w:r>
          </w:p>
        </w:tc>
      </w:tr>
      <w:tr>
        <w:tc>
          <w:tcPr>
            <w:tcW w:type="dxa" w:w="1701"/>
          </w:tcPr>
          <w:p>
            <w:pPr>
              <w:spacing w:line="276" w:lineRule="auto" w:after="40"/>
              <w:jc w:val="right"/>
            </w:pPr>
            <w:r>
              <w:rPr>
                <w:b w:val="0"/>
                <w:i w:val="0"/>
                <w:sz w:val="22"/>
                <w:szCs w:val="22"/>
              </w:rPr>
              <w:t>תפישות</w:t>
            </w:r>
          </w:p>
        </w:tc>
        <w:tc>
          <w:tcPr>
            <w:tcW w:type="dxa" w:w="3685"/>
          </w:tcPr>
          <w:p>
            <w:pPr>
              <w:spacing w:line="276" w:lineRule="auto" w:after="40"/>
              <w:jc w:val="right"/>
            </w:pPr>
            <w:r>
              <w:rPr>
                <w:b w:val="0"/>
                <w:i w:val="0"/>
                <w:sz w:val="22"/>
                <w:szCs w:val="22"/>
              </w:rPr>
              <w:t>העירייה מזניחה את בית הספר, והילדים בסכנה</w:t>
            </w:r>
          </w:p>
        </w:tc>
        <w:tc>
          <w:tcPr>
            <w:tcW w:type="dxa" w:w="3685"/>
          </w:tcPr>
          <w:p>
            <w:pPr>
              <w:spacing w:line="276" w:lineRule="auto" w:after="40"/>
              <w:jc w:val="right"/>
            </w:pPr>
            <w:r>
              <w:rPr>
                <w:b w:val="0"/>
                <w:i w:val="0"/>
                <w:sz w:val="22"/>
                <w:szCs w:val="22"/>
              </w:rPr>
              <w:t>ההורים מאיימים, אבל אפשר להרגיע אותם</w:t>
            </w:r>
          </w:p>
        </w:tc>
      </w:tr>
      <w:tr>
        <w:tc>
          <w:tcPr>
            <w:tcW w:type="dxa" w:w="1701"/>
          </w:tcPr>
          <w:p>
            <w:pPr>
              <w:spacing w:line="276" w:lineRule="auto" w:after="40"/>
              <w:jc w:val="right"/>
            </w:pPr>
            <w:r>
              <w:rPr>
                <w:b w:val="0"/>
                <w:i w:val="0"/>
                <w:sz w:val="22"/>
                <w:szCs w:val="22"/>
              </w:rPr>
              <w:t>עמדות</w:t>
            </w:r>
          </w:p>
        </w:tc>
        <w:tc>
          <w:tcPr>
            <w:tcW w:type="dxa" w:w="3685"/>
          </w:tcPr>
          <w:p>
            <w:pPr>
              <w:spacing w:line="276" w:lineRule="auto" w:after="40"/>
              <w:jc w:val="right"/>
            </w:pPr>
            <w:r>
              <w:rPr>
                <w:b w:val="0"/>
                <w:i w:val="0"/>
                <w:sz w:val="22"/>
                <w:szCs w:val="22"/>
              </w:rPr>
              <w:t>תיקון מיידי של החוסרים, אחרת שביתה</w:t>
            </w:r>
          </w:p>
        </w:tc>
        <w:tc>
          <w:tcPr>
            <w:tcW w:type="dxa" w:w="3685"/>
          </w:tcPr>
          <w:p>
            <w:pPr>
              <w:spacing w:line="276" w:lineRule="auto" w:after="40"/>
              <w:jc w:val="right"/>
            </w:pPr>
            <w:r>
              <w:rPr>
                <w:b w:val="0"/>
                <w:i w:val="0"/>
                <w:sz w:val="22"/>
                <w:szCs w:val="22"/>
              </w:rPr>
              <w:t>טיפול לפי סדר העדיפויות והתקציב</w:t>
            </w:r>
          </w:p>
        </w:tc>
      </w:tr>
      <w:tr>
        <w:tc>
          <w:tcPr>
            <w:tcW w:type="dxa" w:w="1701"/>
          </w:tcPr>
          <w:p>
            <w:pPr>
              <w:spacing w:line="276" w:lineRule="auto" w:after="40"/>
              <w:jc w:val="right"/>
            </w:pPr>
            <w:r>
              <w:rPr>
                <w:b w:val="0"/>
                <w:i w:val="0"/>
                <w:sz w:val="22"/>
                <w:szCs w:val="22"/>
              </w:rPr>
              <w:t>אינטרסים</w:t>
            </w:r>
          </w:p>
        </w:tc>
        <w:tc>
          <w:tcPr>
            <w:tcW w:type="dxa" w:w="3685"/>
          </w:tcPr>
          <w:p>
            <w:pPr>
              <w:spacing w:line="276" w:lineRule="auto" w:after="40"/>
              <w:jc w:val="right"/>
            </w:pPr>
            <w:r>
              <w:rPr>
                <w:b w:val="0"/>
                <w:i w:val="0"/>
                <w:sz w:val="22"/>
                <w:szCs w:val="22"/>
              </w:rPr>
              <w:t>בטיחות הילדים, לימודים סדירים, הכרה בכך שהם נשמעים</w:t>
            </w:r>
          </w:p>
        </w:tc>
        <w:tc>
          <w:tcPr>
            <w:tcW w:type="dxa" w:w="3685"/>
          </w:tcPr>
          <w:p>
            <w:pPr>
              <w:spacing w:line="276" w:lineRule="auto" w:after="40"/>
              <w:jc w:val="right"/>
            </w:pPr>
            <w:r>
              <w:rPr>
                <w:b w:val="0"/>
                <w:i w:val="0"/>
                <w:sz w:val="22"/>
                <w:szCs w:val="22"/>
              </w:rPr>
              <w:t>מניעת שביתה ותקשורת שלילית, שמירה על שקט ציבורי, עלות נמוכה</w:t>
            </w:r>
          </w:p>
        </w:tc>
      </w:tr>
      <w:tr>
        <w:tc>
          <w:tcPr>
            <w:tcW w:type="dxa" w:w="1701"/>
          </w:tcPr>
          <w:p>
            <w:pPr>
              <w:spacing w:line="276" w:lineRule="auto" w:after="40"/>
              <w:jc w:val="right"/>
            </w:pPr>
            <w:r>
              <w:rPr>
                <w:b w:val="0"/>
                <w:i w:val="0"/>
                <w:sz w:val="22"/>
                <w:szCs w:val="22"/>
              </w:rPr>
              <w:t>BATNA</w:t>
            </w:r>
          </w:p>
        </w:tc>
        <w:tc>
          <w:tcPr>
            <w:tcW w:type="dxa" w:w="3685"/>
          </w:tcPr>
          <w:p>
            <w:pPr>
              <w:spacing w:line="276" w:lineRule="auto" w:after="40"/>
              <w:jc w:val="right"/>
            </w:pPr>
            <w:r>
              <w:rPr>
                <w:b w:val="0"/>
                <w:i w:val="0"/>
                <w:sz w:val="22"/>
                <w:szCs w:val="22"/>
              </w:rPr>
              <w:t>שביתה פתוחה</w:t>
            </w:r>
          </w:p>
        </w:tc>
        <w:tc>
          <w:tcPr>
            <w:tcW w:type="dxa" w:w="3685"/>
          </w:tcPr>
          <w:p>
            <w:pPr>
              <w:spacing w:line="276" w:lineRule="auto" w:after="40"/>
              <w:jc w:val="right"/>
            </w:pPr>
            <w:r>
              <w:rPr>
                <w:b w:val="0"/>
                <w:i w:val="0"/>
                <w:sz w:val="22"/>
                <w:szCs w:val="22"/>
              </w:rPr>
              <w:t>לספוג שביתה והאשמה ציבורית</w:t>
            </w:r>
          </w:p>
        </w:tc>
      </w:tr>
      <w:tr>
        <w:tc>
          <w:tcPr>
            <w:tcW w:type="dxa" w:w="1701"/>
          </w:tcPr>
          <w:p>
            <w:pPr>
              <w:spacing w:line="276" w:lineRule="auto" w:after="40"/>
              <w:jc w:val="right"/>
            </w:pPr>
            <w:r>
              <w:rPr>
                <w:b w:val="0"/>
                <w:i w:val="0"/>
                <w:sz w:val="22"/>
                <w:szCs w:val="22"/>
              </w:rPr>
              <w:t>קו אדום (הערכה)</w:t>
            </w:r>
          </w:p>
        </w:tc>
        <w:tc>
          <w:tcPr>
            <w:tcW w:type="dxa" w:w="3685"/>
          </w:tcPr>
          <w:p>
            <w:pPr>
              <w:spacing w:line="276" w:lineRule="auto" w:after="40"/>
              <w:jc w:val="right"/>
            </w:pPr>
            <w:r>
              <w:rPr>
                <w:b w:val="0"/>
                <w:i w:val="0"/>
                <w:sz w:val="22"/>
                <w:szCs w:val="22"/>
              </w:rPr>
              <w:t>חזרת הילדים רק אם יש פעולה מוחשית ומיידית</w:t>
            </w:r>
          </w:p>
        </w:tc>
        <w:tc>
          <w:tcPr>
            <w:tcW w:type="dxa" w:w="3685"/>
          </w:tcPr>
          <w:p>
            <w:pPr>
              <w:spacing w:line="276" w:lineRule="auto" w:after="40"/>
              <w:jc w:val="right"/>
            </w:pPr>
            <w:r>
              <w:rPr>
                <w:b w:val="0"/>
                <w:i w:val="0"/>
                <w:sz w:val="22"/>
                <w:szCs w:val="22"/>
              </w:rPr>
              <w:t>לא להתחייב לבנייה חדשה ויקרה</w:t>
            </w:r>
          </w:p>
        </w:tc>
      </w:tr>
    </w:tbl>
    <w:p/>
    <w:p>
      <w:r>
        <w:rPr>
          <w:b/>
          <w:i w:val="0"/>
          <w:bCs/>
        </w:rPr>
        <w:t>ZOPA.</w:t>
      </w:r>
      <w:r>
        <w:rPr>
          <w:b w:val="0"/>
          <w:i w:val="0"/>
        </w:rPr>
        <w:t xml:space="preserve"> בין תיקון נקודתי של החשמל (המינימום של ההורים) לבין הימנעות מהתחייבות לבנייה חדשה (המקסימום של העירייה). ההסכם נסגר בתוך הטווח: עבודות אחזקה מיידיות בנוכחות מקבלי ההחלטות.</w:t>
      </w:r>
    </w:p>
    <w:p>
      <w:r>
        <w:rPr>
          <w:b/>
          <w:i w:val="0"/>
          <w:bCs/>
        </w:rPr>
        <w:t>ניתוח.</w:t>
      </w:r>
      <w:r>
        <w:rPr>
          <w:b w:val="0"/>
          <w:i w:val="0"/>
        </w:rPr>
        <w:t xml:space="preserve"> כאן המשא ומתן זז לכיוון אינטגרטיבי. במקום להתווכח על סכום, הצדדים מצאו פתרון שמשרת את האינטרס העמוק של כל אחד: ההורים קיבלו פעולה גלויה ומיידית, והעירייה מנעה שביתה בעלות נמוכה יחסית. הנוכחות הפיזית של ראש העירייה והמהנדס הפכה את ההבטחה לאמינה. זה מתאים לממצא שאמון ואמינות הנציגים מגבירים את הסיכוי להסכמות בנושאים אינטגרטיביים (Elgoibar et al., 2021).</w:t>
      </w:r>
    </w:p>
    <w:p>
      <w:pPr>
        <w:pStyle w:val="Heading2"/>
      </w:pPr>
      <w:r>
        <w:t>תיאוריה 2: משא ומתן על פי עקרונות (פישר, יורי ופאטון)</w:t>
      </w:r>
    </w:p>
    <w:p>
      <w:pPr>
        <w:pStyle w:val="Heading3"/>
      </w:pPr>
      <w:r>
        <w:t>דוגמה 3: הסעות תלמידים ומחלוקת על תחום השיפוט (2022)</w:t>
      </w:r>
    </w:p>
    <w:p>
      <w:r>
        <w:rPr>
          <w:b w:val="0"/>
          <w:i w:val="0"/>
        </w:rPr>
        <w:t>בתחילת 2022 הופסקו ההסעות לתלמידים ממשפחות אבו סלאמה ואבו כף, המתגוררות סמוך לכביש 264, לאחר שהאחריות עליהן עברה מהמועצה האזורית אל־קסום לאשכול נגב מזרחי. משרד החינוך הודיע לעיריית רהט שהאחריות עליה, משום שאזור המגורים של המשפחות הוכנס ל"קו הכחול" של העיר. ההורים שבתו כשבועיים בבית הספר היסודי ערב אל־הוזייל, והוועד של התיכון וחטיבת הביניים ע"ש שיח' סלמאן אל־הוזייל הכריז על שביתת הזדהות פתוחה "עד לפתרון מלא וסופי" (عرب 48, 2022).</w:t>
      </w:r>
    </w:p>
    <w:tbl>
      <w:tblPr>
        <w:tblStyle w:val="TableGrid"/>
        <w:tblW w:type="auto" w:w="0"/>
        <w:jc w:val="center"/>
        <w:tblLook w:firstColumn="1" w:firstRow="1" w:lastColumn="0" w:lastRow="0" w:noHBand="0" w:noVBand="1" w:val="04A0"/>
        <w:bidiVisual/>
      </w:tblPr>
      <w:tblGrid>
        <w:gridCol w:w="3024"/>
        <w:gridCol w:w="3024"/>
        <w:gridCol w:w="3024"/>
      </w:tblGrid>
      <w:tr>
        <w:tc>
          <w:tcPr>
            <w:tcW w:type="dxa" w:w="1701"/>
            <w:shd w:val="clear" w:color="auto" w:fill="D9D9D9"/>
          </w:tcPr>
          <w:p>
            <w:pPr>
              <w:spacing w:line="276" w:lineRule="auto" w:after="40"/>
              <w:jc w:val="right"/>
            </w:pPr>
            <w:r>
              <w:rPr>
                <w:b/>
                <w:i w:val="0"/>
                <w:bCs/>
                <w:sz w:val="22"/>
                <w:szCs w:val="22"/>
              </w:rPr>
              <w:t>רכיב</w:t>
            </w:r>
          </w:p>
        </w:tc>
        <w:tc>
          <w:tcPr>
            <w:tcW w:type="dxa" w:w="3685"/>
            <w:shd w:val="clear" w:color="auto" w:fill="D9D9D9"/>
          </w:tcPr>
          <w:p>
            <w:pPr>
              <w:spacing w:line="276" w:lineRule="auto" w:after="40"/>
              <w:jc w:val="right"/>
            </w:pPr>
            <w:r>
              <w:rPr>
                <w:b/>
                <w:i w:val="0"/>
                <w:bCs/>
                <w:sz w:val="22"/>
                <w:szCs w:val="22"/>
              </w:rPr>
              <w:t>ההורים וועדי בתי הספר</w:t>
            </w:r>
          </w:p>
        </w:tc>
        <w:tc>
          <w:tcPr>
            <w:tcW w:type="dxa" w:w="3685"/>
            <w:shd w:val="clear" w:color="auto" w:fill="D9D9D9"/>
          </w:tcPr>
          <w:p>
            <w:pPr>
              <w:spacing w:line="276" w:lineRule="auto" w:after="40"/>
              <w:jc w:val="right"/>
            </w:pPr>
            <w:r>
              <w:rPr>
                <w:b/>
                <w:i w:val="0"/>
                <w:bCs/>
                <w:sz w:val="22"/>
                <w:szCs w:val="22"/>
              </w:rPr>
              <w:t>עיריית רהט, משרד החינוך והמועצות האזוריות</w:t>
            </w:r>
          </w:p>
        </w:tc>
      </w:tr>
      <w:tr>
        <w:tc>
          <w:tcPr>
            <w:tcW w:type="dxa" w:w="1701"/>
          </w:tcPr>
          <w:p>
            <w:pPr>
              <w:spacing w:line="276" w:lineRule="auto" w:after="40"/>
              <w:jc w:val="right"/>
            </w:pPr>
            <w:r>
              <w:rPr>
                <w:b w:val="0"/>
                <w:i w:val="0"/>
                <w:sz w:val="22"/>
                <w:szCs w:val="22"/>
              </w:rPr>
              <w:t>תפישות</w:t>
            </w:r>
          </w:p>
        </w:tc>
        <w:tc>
          <w:tcPr>
            <w:tcW w:type="dxa" w:w="3685"/>
          </w:tcPr>
          <w:p>
            <w:pPr>
              <w:spacing w:line="276" w:lineRule="auto" w:after="40"/>
              <w:jc w:val="right"/>
            </w:pPr>
            <w:r>
              <w:rPr>
                <w:b w:val="0"/>
                <w:i w:val="0"/>
                <w:sz w:val="22"/>
                <w:szCs w:val="22"/>
              </w:rPr>
              <w:t>הילדים נופלים בין הכיסאות של הרשויות</w:t>
            </w:r>
          </w:p>
        </w:tc>
        <w:tc>
          <w:tcPr>
            <w:tcW w:type="dxa" w:w="3685"/>
          </w:tcPr>
          <w:p>
            <w:pPr>
              <w:spacing w:line="276" w:lineRule="auto" w:after="40"/>
              <w:jc w:val="right"/>
            </w:pPr>
            <w:r>
              <w:rPr>
                <w:b w:val="0"/>
                <w:i w:val="0"/>
                <w:sz w:val="22"/>
                <w:szCs w:val="22"/>
              </w:rPr>
              <w:t>כל גוף רואה את עצמו כלא אחראי</w:t>
            </w:r>
          </w:p>
        </w:tc>
      </w:tr>
      <w:tr>
        <w:tc>
          <w:tcPr>
            <w:tcW w:type="dxa" w:w="1701"/>
          </w:tcPr>
          <w:p>
            <w:pPr>
              <w:spacing w:line="276" w:lineRule="auto" w:after="40"/>
              <w:jc w:val="right"/>
            </w:pPr>
            <w:r>
              <w:rPr>
                <w:b w:val="0"/>
                <w:i w:val="0"/>
                <w:sz w:val="22"/>
                <w:szCs w:val="22"/>
              </w:rPr>
              <w:t>עמדות</w:t>
            </w:r>
          </w:p>
        </w:tc>
        <w:tc>
          <w:tcPr>
            <w:tcW w:type="dxa" w:w="3685"/>
          </w:tcPr>
          <w:p>
            <w:pPr>
              <w:spacing w:line="276" w:lineRule="auto" w:after="40"/>
              <w:jc w:val="right"/>
            </w:pPr>
            <w:r>
              <w:rPr>
                <w:b w:val="0"/>
                <w:i w:val="0"/>
                <w:sz w:val="22"/>
                <w:szCs w:val="22"/>
              </w:rPr>
              <w:t>חידוש ההסעות מיד</w:t>
            </w:r>
          </w:p>
        </w:tc>
        <w:tc>
          <w:tcPr>
            <w:tcW w:type="dxa" w:w="3685"/>
          </w:tcPr>
          <w:p>
            <w:pPr>
              <w:spacing w:line="276" w:lineRule="auto" w:after="40"/>
              <w:jc w:val="right"/>
            </w:pPr>
            <w:r>
              <w:rPr>
                <w:b w:val="0"/>
                <w:i w:val="0"/>
                <w:sz w:val="22"/>
                <w:szCs w:val="22"/>
              </w:rPr>
              <w:t>"זו לא האחריות שלנו" (כל רשות)</w:t>
            </w:r>
          </w:p>
        </w:tc>
      </w:tr>
      <w:tr>
        <w:tc>
          <w:tcPr>
            <w:tcW w:type="dxa" w:w="1701"/>
          </w:tcPr>
          <w:p>
            <w:pPr>
              <w:spacing w:line="276" w:lineRule="auto" w:after="40"/>
              <w:jc w:val="right"/>
            </w:pPr>
            <w:r>
              <w:rPr>
                <w:b w:val="0"/>
                <w:i w:val="0"/>
                <w:sz w:val="22"/>
                <w:szCs w:val="22"/>
              </w:rPr>
              <w:t>אינטרסים</w:t>
            </w:r>
          </w:p>
        </w:tc>
        <w:tc>
          <w:tcPr>
            <w:tcW w:type="dxa" w:w="3685"/>
          </w:tcPr>
          <w:p>
            <w:pPr>
              <w:spacing w:line="276" w:lineRule="auto" w:after="40"/>
              <w:jc w:val="right"/>
            </w:pPr>
            <w:r>
              <w:rPr>
                <w:b w:val="0"/>
                <w:i w:val="0"/>
                <w:sz w:val="22"/>
                <w:szCs w:val="22"/>
              </w:rPr>
              <w:t>גישה בטוחה לבית הספר, מניעת נשירה</w:t>
            </w:r>
          </w:p>
        </w:tc>
        <w:tc>
          <w:tcPr>
            <w:tcW w:type="dxa" w:w="3685"/>
          </w:tcPr>
          <w:p>
            <w:pPr>
              <w:spacing w:line="276" w:lineRule="auto" w:after="40"/>
              <w:jc w:val="right"/>
            </w:pPr>
            <w:r>
              <w:rPr>
                <w:b w:val="0"/>
                <w:i w:val="0"/>
                <w:sz w:val="22"/>
                <w:szCs w:val="22"/>
              </w:rPr>
              <w:t>הימנעות מעלות קבועה, הגדרה ברורה של תחום האחריות</w:t>
            </w:r>
          </w:p>
        </w:tc>
      </w:tr>
      <w:tr>
        <w:tc>
          <w:tcPr>
            <w:tcW w:type="dxa" w:w="1701"/>
          </w:tcPr>
          <w:p>
            <w:pPr>
              <w:spacing w:line="276" w:lineRule="auto" w:after="40"/>
              <w:jc w:val="right"/>
            </w:pPr>
            <w:r>
              <w:rPr>
                <w:b w:val="0"/>
                <w:i w:val="0"/>
                <w:sz w:val="22"/>
                <w:szCs w:val="22"/>
              </w:rPr>
              <w:t>BATNA</w:t>
            </w:r>
          </w:p>
        </w:tc>
        <w:tc>
          <w:tcPr>
            <w:tcW w:type="dxa" w:w="3685"/>
          </w:tcPr>
          <w:p>
            <w:pPr>
              <w:spacing w:line="276" w:lineRule="auto" w:after="40"/>
              <w:jc w:val="right"/>
            </w:pPr>
            <w:r>
              <w:rPr>
                <w:b w:val="0"/>
                <w:i w:val="0"/>
                <w:sz w:val="22"/>
                <w:szCs w:val="22"/>
              </w:rPr>
              <w:t>שביתה והזדהות של בתי ספר נוספים, פנייה משפטית</w:t>
            </w:r>
          </w:p>
        </w:tc>
        <w:tc>
          <w:tcPr>
            <w:tcW w:type="dxa" w:w="3685"/>
          </w:tcPr>
          <w:p>
            <w:pPr>
              <w:spacing w:line="276" w:lineRule="auto" w:after="40"/>
              <w:jc w:val="right"/>
            </w:pPr>
            <w:r>
              <w:rPr>
                <w:b w:val="0"/>
                <w:i w:val="0"/>
                <w:sz w:val="22"/>
                <w:szCs w:val="22"/>
              </w:rPr>
              <w:t>להמשיך להעביר את האחריות, תוך סיכון לעתירה</w:t>
            </w:r>
          </w:p>
        </w:tc>
      </w:tr>
      <w:tr>
        <w:tc>
          <w:tcPr>
            <w:tcW w:type="dxa" w:w="1701"/>
          </w:tcPr>
          <w:p>
            <w:pPr>
              <w:spacing w:line="276" w:lineRule="auto" w:after="40"/>
              <w:jc w:val="right"/>
            </w:pPr>
            <w:r>
              <w:rPr>
                <w:b w:val="0"/>
                <w:i w:val="0"/>
                <w:sz w:val="22"/>
                <w:szCs w:val="22"/>
              </w:rPr>
              <w:t>קו אדום (הערכה)</w:t>
            </w:r>
          </w:p>
        </w:tc>
        <w:tc>
          <w:tcPr>
            <w:tcW w:type="dxa" w:w="3685"/>
          </w:tcPr>
          <w:p>
            <w:pPr>
              <w:spacing w:line="276" w:lineRule="auto" w:after="40"/>
              <w:jc w:val="right"/>
            </w:pPr>
            <w:r>
              <w:rPr>
                <w:b w:val="0"/>
                <w:i w:val="0"/>
                <w:sz w:val="22"/>
                <w:szCs w:val="22"/>
              </w:rPr>
              <w:t>אין חזרה ללימודים בלי הסעה</w:t>
            </w:r>
          </w:p>
        </w:tc>
        <w:tc>
          <w:tcPr>
            <w:tcW w:type="dxa" w:w="3685"/>
          </w:tcPr>
          <w:p>
            <w:pPr>
              <w:spacing w:line="276" w:lineRule="auto" w:after="40"/>
              <w:jc w:val="right"/>
            </w:pPr>
            <w:r>
              <w:rPr>
                <w:b w:val="0"/>
                <w:i w:val="0"/>
                <w:sz w:val="22"/>
                <w:szCs w:val="22"/>
              </w:rPr>
              <w:t>אין מימון קבוע בלי תקציב ייעודי מהמשרד</w:t>
            </w:r>
          </w:p>
        </w:tc>
      </w:tr>
    </w:tbl>
    <w:p/>
    <w:p>
      <w:r>
        <w:rPr>
          <w:b/>
          <w:i w:val="0"/>
          <w:bCs/>
        </w:rPr>
        <w:t>ZOPA.</w:t>
      </w:r>
      <w:r>
        <w:rPr>
          <w:b w:val="0"/>
          <w:i w:val="0"/>
        </w:rPr>
        <w:t xml:space="preserve"> קיים טווח חיובי: כל הרשויות מעדיפות פתרון ממומן על פני שביתה מתמשכת ועתירה. הבעיה אינה היעדר טווח אלא היעדר צד שמוכן להיכנס אליו.</w:t>
      </w:r>
    </w:p>
    <w:p>
      <w:r>
        <w:rPr>
          <w:b/>
          <w:i w:val="0"/>
          <w:bCs/>
        </w:rPr>
        <w:t>ניתוח.</w:t>
      </w:r>
      <w:r>
        <w:rPr>
          <w:b w:val="0"/>
          <w:i w:val="0"/>
        </w:rPr>
        <w:t xml:space="preserve"> לפי פישר ואחרים (2013), מאחורי עמדות מנוגדות מסתתרים לעיתים קרובות אינטרסים משותפים. כאן, לכל הצדדים יש אינטרס שהילדים יגיעו לבית הספר; המחלוקת היא על מי משלם. הקו הכחול של העיר הוא קריטריון אובייקטיבי שיכול היה להכריע את השאלה, ומשרד החינוך אכן נשען עליו. מה שחסר היה אופציה לרווח הדדי, למשל מימון משותף לתקופת מעבר מתקציב תוכנית החומש, שהקצתה משאבים ייעודיים לחינוך בחברה הבדואית (מאיירס־ג'וינט־מכון ברוקדייל, 2023). מנהל בית ספר שמתמודד עם מקרה דומה יכול לפעול כמגשר: לכנס את כל הרשויות לפגישה אחת, להציג את הקריטריון ולהציע חלוקה זמנית.</w:t>
      </w:r>
    </w:p>
    <w:p>
      <w:pPr>
        <w:pStyle w:val="Heading3"/>
      </w:pPr>
      <w:r>
        <w:t>דוגמה 4: מבנה מתפורר בבית הספר צלאח א־דין (2026)</w:t>
      </w:r>
    </w:p>
    <w:p>
      <w:r>
        <w:rPr>
          <w:b w:val="0"/>
          <w:i w:val="0"/>
        </w:rPr>
        <w:t>בינואר 2026 פתחו הורי בית הספר הקהילתי צלאח א־דין ברהט בשביתה פתוחה, בשל קירות ותקרות מתפוררים. לדבריהם, דוחות מקצועיים שהתריעו על הסכנה לא טופלו. הוועד הודיע שהילדים לא יחזרו עד שדרישות הבטיחות והבריאות ייושמו, ושהפעם לא יסתפק בהבטחות בעל פה. הוא הטיל את האחריות לימי הלימודים שהוחמצו על העירייה ועל משרד החינוך (عرب 48, 2026).</w:t>
      </w:r>
    </w:p>
    <w:tbl>
      <w:tblPr>
        <w:tblStyle w:val="TableGrid"/>
        <w:tblW w:type="auto" w:w="0"/>
        <w:jc w:val="center"/>
        <w:tblLook w:firstColumn="1" w:firstRow="1" w:lastColumn="0" w:lastRow="0" w:noHBand="0" w:noVBand="1" w:val="04A0"/>
        <w:bidiVisual/>
      </w:tblPr>
      <w:tblGrid>
        <w:gridCol w:w="3024"/>
        <w:gridCol w:w="3024"/>
        <w:gridCol w:w="3024"/>
      </w:tblGrid>
      <w:tr>
        <w:tc>
          <w:tcPr>
            <w:tcW w:type="dxa" w:w="1701"/>
            <w:shd w:val="clear" w:color="auto" w:fill="D9D9D9"/>
          </w:tcPr>
          <w:p>
            <w:pPr>
              <w:spacing w:line="276" w:lineRule="auto" w:after="40"/>
              <w:jc w:val="right"/>
            </w:pPr>
            <w:r>
              <w:rPr>
                <w:b/>
                <w:i w:val="0"/>
                <w:bCs/>
                <w:sz w:val="22"/>
                <w:szCs w:val="22"/>
              </w:rPr>
              <w:t>רכיב</w:t>
            </w:r>
          </w:p>
        </w:tc>
        <w:tc>
          <w:tcPr>
            <w:tcW w:type="dxa" w:w="3685"/>
            <w:shd w:val="clear" w:color="auto" w:fill="D9D9D9"/>
          </w:tcPr>
          <w:p>
            <w:pPr>
              <w:spacing w:line="276" w:lineRule="auto" w:after="40"/>
              <w:jc w:val="right"/>
            </w:pPr>
            <w:r>
              <w:rPr>
                <w:b/>
                <w:i w:val="0"/>
                <w:bCs/>
                <w:sz w:val="22"/>
                <w:szCs w:val="22"/>
              </w:rPr>
              <w:t>ועד ההורים</w:t>
            </w:r>
          </w:p>
        </w:tc>
        <w:tc>
          <w:tcPr>
            <w:tcW w:type="dxa" w:w="3685"/>
            <w:shd w:val="clear" w:color="auto" w:fill="D9D9D9"/>
          </w:tcPr>
          <w:p>
            <w:pPr>
              <w:spacing w:line="276" w:lineRule="auto" w:after="40"/>
              <w:jc w:val="right"/>
            </w:pPr>
            <w:r>
              <w:rPr>
                <w:b/>
                <w:i w:val="0"/>
                <w:bCs/>
                <w:sz w:val="22"/>
                <w:szCs w:val="22"/>
              </w:rPr>
              <w:t>עיריית רהט ומשרד החינוך</w:t>
            </w:r>
          </w:p>
        </w:tc>
      </w:tr>
      <w:tr>
        <w:tc>
          <w:tcPr>
            <w:tcW w:type="dxa" w:w="1701"/>
          </w:tcPr>
          <w:p>
            <w:pPr>
              <w:spacing w:line="276" w:lineRule="auto" w:after="40"/>
              <w:jc w:val="right"/>
            </w:pPr>
            <w:r>
              <w:rPr>
                <w:b w:val="0"/>
                <w:i w:val="0"/>
                <w:sz w:val="22"/>
                <w:szCs w:val="22"/>
              </w:rPr>
              <w:t>תפישות</w:t>
            </w:r>
          </w:p>
        </w:tc>
        <w:tc>
          <w:tcPr>
            <w:tcW w:type="dxa" w:w="3685"/>
          </w:tcPr>
          <w:p>
            <w:pPr>
              <w:spacing w:line="276" w:lineRule="auto" w:after="40"/>
              <w:jc w:val="right"/>
            </w:pPr>
            <w:r>
              <w:rPr>
                <w:b w:val="0"/>
                <w:i w:val="0"/>
                <w:sz w:val="22"/>
                <w:szCs w:val="22"/>
              </w:rPr>
              <w:t>הבטחות קודמות הופרו; אין אמון</w:t>
            </w:r>
          </w:p>
        </w:tc>
        <w:tc>
          <w:tcPr>
            <w:tcW w:type="dxa" w:w="3685"/>
          </w:tcPr>
          <w:p>
            <w:pPr>
              <w:spacing w:line="276" w:lineRule="auto" w:after="40"/>
              <w:jc w:val="right"/>
            </w:pPr>
            <w:r>
              <w:rPr>
                <w:b w:val="0"/>
                <w:i w:val="0"/>
                <w:sz w:val="22"/>
                <w:szCs w:val="22"/>
              </w:rPr>
              <w:t>ההורים מגזימים; הבעיה ידועה ומטופלת לפי התור</w:t>
            </w:r>
          </w:p>
        </w:tc>
      </w:tr>
      <w:tr>
        <w:tc>
          <w:tcPr>
            <w:tcW w:type="dxa" w:w="1701"/>
          </w:tcPr>
          <w:p>
            <w:pPr>
              <w:spacing w:line="276" w:lineRule="auto" w:after="40"/>
              <w:jc w:val="right"/>
            </w:pPr>
            <w:r>
              <w:rPr>
                <w:b w:val="0"/>
                <w:i w:val="0"/>
                <w:sz w:val="22"/>
                <w:szCs w:val="22"/>
              </w:rPr>
              <w:t>עמדות</w:t>
            </w:r>
          </w:p>
        </w:tc>
        <w:tc>
          <w:tcPr>
            <w:tcW w:type="dxa" w:w="3685"/>
          </w:tcPr>
          <w:p>
            <w:pPr>
              <w:spacing w:line="276" w:lineRule="auto" w:after="40"/>
              <w:jc w:val="right"/>
            </w:pPr>
            <w:r>
              <w:rPr>
                <w:b w:val="0"/>
                <w:i w:val="0"/>
                <w:sz w:val="22"/>
                <w:szCs w:val="22"/>
              </w:rPr>
              <w:t>תיקון מיידי ובכתב, אחרת אין חזרה</w:t>
            </w:r>
          </w:p>
        </w:tc>
        <w:tc>
          <w:tcPr>
            <w:tcW w:type="dxa" w:w="3685"/>
          </w:tcPr>
          <w:p>
            <w:pPr>
              <w:spacing w:line="276" w:lineRule="auto" w:after="40"/>
              <w:jc w:val="right"/>
            </w:pPr>
            <w:r>
              <w:rPr>
                <w:b w:val="0"/>
                <w:i w:val="0"/>
                <w:sz w:val="22"/>
                <w:szCs w:val="22"/>
              </w:rPr>
              <w:t>תיקון בהדרגה לפי תקציב</w:t>
            </w:r>
          </w:p>
        </w:tc>
      </w:tr>
      <w:tr>
        <w:tc>
          <w:tcPr>
            <w:tcW w:type="dxa" w:w="1701"/>
          </w:tcPr>
          <w:p>
            <w:pPr>
              <w:spacing w:line="276" w:lineRule="auto" w:after="40"/>
              <w:jc w:val="right"/>
            </w:pPr>
            <w:r>
              <w:rPr>
                <w:b w:val="0"/>
                <w:i w:val="0"/>
                <w:sz w:val="22"/>
                <w:szCs w:val="22"/>
              </w:rPr>
              <w:t>אינטרסים</w:t>
            </w:r>
          </w:p>
        </w:tc>
        <w:tc>
          <w:tcPr>
            <w:tcW w:type="dxa" w:w="3685"/>
          </w:tcPr>
          <w:p>
            <w:pPr>
              <w:spacing w:line="276" w:lineRule="auto" w:after="40"/>
              <w:jc w:val="right"/>
            </w:pPr>
            <w:r>
              <w:rPr>
                <w:b w:val="0"/>
                <w:i w:val="0"/>
                <w:sz w:val="22"/>
                <w:szCs w:val="22"/>
              </w:rPr>
              <w:t>בטיחות פיזית, אמינות ההתחייבויות</w:t>
            </w:r>
          </w:p>
        </w:tc>
        <w:tc>
          <w:tcPr>
            <w:tcW w:type="dxa" w:w="3685"/>
          </w:tcPr>
          <w:p>
            <w:pPr>
              <w:spacing w:line="276" w:lineRule="auto" w:after="40"/>
              <w:jc w:val="right"/>
            </w:pPr>
            <w:r>
              <w:rPr>
                <w:b w:val="0"/>
                <w:i w:val="0"/>
                <w:sz w:val="22"/>
                <w:szCs w:val="22"/>
              </w:rPr>
              <w:t>מניעת אחריות משפטית אם יקרה אסון, שליטה בסדר העדיפויות</w:t>
            </w:r>
          </w:p>
        </w:tc>
      </w:tr>
      <w:tr>
        <w:tc>
          <w:tcPr>
            <w:tcW w:type="dxa" w:w="1701"/>
          </w:tcPr>
          <w:p>
            <w:pPr>
              <w:spacing w:line="276" w:lineRule="auto" w:after="40"/>
              <w:jc w:val="right"/>
            </w:pPr>
            <w:r>
              <w:rPr>
                <w:b w:val="0"/>
                <w:i w:val="0"/>
                <w:sz w:val="22"/>
                <w:szCs w:val="22"/>
              </w:rPr>
              <w:t>BATNA</w:t>
            </w:r>
          </w:p>
        </w:tc>
        <w:tc>
          <w:tcPr>
            <w:tcW w:type="dxa" w:w="3685"/>
          </w:tcPr>
          <w:p>
            <w:pPr>
              <w:spacing w:line="276" w:lineRule="auto" w:after="40"/>
              <w:jc w:val="right"/>
            </w:pPr>
            <w:r>
              <w:rPr>
                <w:b w:val="0"/>
                <w:i w:val="0"/>
                <w:sz w:val="22"/>
                <w:szCs w:val="22"/>
              </w:rPr>
              <w:t>המשך השביתה, פנייה לתקשורת או לבית משפט</w:t>
            </w:r>
          </w:p>
        </w:tc>
        <w:tc>
          <w:tcPr>
            <w:tcW w:type="dxa" w:w="3685"/>
          </w:tcPr>
          <w:p>
            <w:pPr>
              <w:spacing w:line="276" w:lineRule="auto" w:after="40"/>
              <w:jc w:val="right"/>
            </w:pPr>
            <w:r>
              <w:rPr>
                <w:b w:val="0"/>
                <w:i w:val="0"/>
                <w:sz w:val="22"/>
                <w:szCs w:val="22"/>
              </w:rPr>
              <w:t>המתנה עד שהשביתה תישחק, תוך סיכון משפטי</w:t>
            </w:r>
          </w:p>
        </w:tc>
      </w:tr>
      <w:tr>
        <w:tc>
          <w:tcPr>
            <w:tcW w:type="dxa" w:w="1701"/>
          </w:tcPr>
          <w:p>
            <w:pPr>
              <w:spacing w:line="276" w:lineRule="auto" w:after="40"/>
              <w:jc w:val="right"/>
            </w:pPr>
            <w:r>
              <w:rPr>
                <w:b w:val="0"/>
                <w:i w:val="0"/>
                <w:sz w:val="22"/>
                <w:szCs w:val="22"/>
              </w:rPr>
              <w:t>קו אדום (הערכה)</w:t>
            </w:r>
          </w:p>
        </w:tc>
        <w:tc>
          <w:tcPr>
            <w:tcW w:type="dxa" w:w="3685"/>
          </w:tcPr>
          <w:p>
            <w:pPr>
              <w:spacing w:line="276" w:lineRule="auto" w:after="40"/>
              <w:jc w:val="right"/>
            </w:pPr>
            <w:r>
              <w:rPr>
                <w:b w:val="0"/>
                <w:i w:val="0"/>
                <w:sz w:val="22"/>
                <w:szCs w:val="22"/>
              </w:rPr>
              <w:t>אין חזרה בלי התחייבות כתובה ולוח זמנים</w:t>
            </w:r>
          </w:p>
        </w:tc>
        <w:tc>
          <w:tcPr>
            <w:tcW w:type="dxa" w:w="3685"/>
          </w:tcPr>
          <w:p>
            <w:pPr>
              <w:spacing w:line="276" w:lineRule="auto" w:after="40"/>
              <w:jc w:val="right"/>
            </w:pPr>
            <w:r>
              <w:rPr>
                <w:b w:val="0"/>
                <w:i w:val="0"/>
                <w:sz w:val="22"/>
                <w:szCs w:val="22"/>
              </w:rPr>
              <w:t>אין בנייה מחדש מלאה ללא מימון ממשלתי</w:t>
            </w:r>
          </w:p>
        </w:tc>
      </w:tr>
    </w:tbl>
    <w:p/>
    <w:p>
      <w:r>
        <w:rPr>
          <w:b/>
          <w:i w:val="0"/>
          <w:bCs/>
        </w:rPr>
        <w:t>ZOPA.</w:t>
      </w:r>
      <w:r>
        <w:rPr>
          <w:b w:val="0"/>
          <w:i w:val="0"/>
        </w:rPr>
        <w:t xml:space="preserve"> בין תיקון בטיחותי מיידי ומתועד (המינימום של ההורים) לבין דחיית שיקום מלא עד לקבלת מימון (המקסימום של הרשויות). קיים טווח: חיזוק זמני והעברת כיתות מסוכנות, בצירוף מסמך חתום עם לוח זמנים לשיקום.</w:t>
      </w:r>
    </w:p>
    <w:p>
      <w:r>
        <w:rPr>
          <w:b/>
          <w:i w:val="0"/>
          <w:bCs/>
        </w:rPr>
        <w:t>ניתוח.</w:t>
      </w:r>
      <w:r>
        <w:rPr>
          <w:b w:val="0"/>
          <w:i w:val="0"/>
        </w:rPr>
        <w:t xml:space="preserve"> דוחות המהנדסים הם קריטריון אובייקטיבי מובהק, ולפי פישר ואחרים (2013) שימוש בקריטריון כזה מוציא את הוויכוח מתחום כוח הרצון של הצדדים. עם זאת, המקרה מראה שקריטריון אינו מספיק בלי מחויבות, שהיא אחד משבעת רכיבי המודל שנלמדו בקורס (הוכמן, 2026). הדרישה "לא עוד הבטחות בעל פה" היא ביטוי לשחיקת האמון. Elgoibar ועמיתיו (Elgoibar et al., 2021) מצאו שאמון הוא מה שמאפשר מעבר מנושאים חלוקתיים לפתרון בעיות, ולכן כאשר האמון חסר, כל צד נסוג לעמדתו. מכאן הלקח: הסכמה שאין בה מסמך, תאריך ואחראי אינה הסכמה.</w:t>
      </w:r>
    </w:p>
    <w:p>
      <w:pPr>
        <w:pStyle w:val="Heading2"/>
      </w:pPr>
      <w:r>
        <w:t>תיאוריה 3: מודל העניין הכפול וסגנונות ניהול קונפליקט</w:t>
      </w:r>
    </w:p>
    <w:p>
      <w:pPr>
        <w:pStyle w:val="Heading3"/>
      </w:pPr>
      <w:r>
        <w:t>דוגמה 5: ביקור יו"ר ועדת החינוך והשבתת מוסדות החינוך (2026)</w:t>
      </w:r>
    </w:p>
    <w:p>
      <w:r>
        <w:rPr>
          <w:b w:val="0"/>
          <w:i w:val="0"/>
        </w:rPr>
        <w:t>ביולי 2026 הודיעה עיריית רהט על השבתת כל מוסדות החינוך בעיר ביום הביקור המתוכנן של יו"ר ועדת החינוך של הכנסת, ח"כ צבי סוכות. העירייה כינתה את הביקור "מהלך פרובוקטיבי" שלא תואם עם הנהגת העיר ועם גורמי החינוך. סוכות הודיע שיגיע בכל זאת, והביקור התקיים בליווי משטרה בבית הספר אל־נג'אח, לצד מחאה ועימותים (The Jerusalem Post, 2026; ynet, 2026).</w:t>
      </w:r>
    </w:p>
    <w:tbl>
      <w:tblPr>
        <w:tblStyle w:val="TableGrid"/>
        <w:tblW w:type="auto" w:w="0"/>
        <w:jc w:val="center"/>
        <w:tblLook w:firstColumn="1" w:firstRow="1" w:lastColumn="0" w:lastRow="0" w:noHBand="0" w:noVBand="1" w:val="04A0"/>
        <w:bidiVisual/>
      </w:tblPr>
      <w:tblGrid>
        <w:gridCol w:w="3024"/>
        <w:gridCol w:w="3024"/>
        <w:gridCol w:w="3024"/>
      </w:tblGrid>
      <w:tr>
        <w:tc>
          <w:tcPr>
            <w:tcW w:type="dxa" w:w="1701"/>
            <w:shd w:val="clear" w:color="auto" w:fill="D9D9D9"/>
          </w:tcPr>
          <w:p>
            <w:pPr>
              <w:spacing w:line="276" w:lineRule="auto" w:after="40"/>
              <w:jc w:val="right"/>
            </w:pPr>
            <w:r>
              <w:rPr>
                <w:b/>
                <w:i w:val="0"/>
                <w:bCs/>
                <w:sz w:val="22"/>
                <w:szCs w:val="22"/>
              </w:rPr>
              <w:t>רכיב</w:t>
            </w:r>
          </w:p>
        </w:tc>
        <w:tc>
          <w:tcPr>
            <w:tcW w:type="dxa" w:w="3685"/>
            <w:shd w:val="clear" w:color="auto" w:fill="D9D9D9"/>
          </w:tcPr>
          <w:p>
            <w:pPr>
              <w:spacing w:line="276" w:lineRule="auto" w:after="40"/>
              <w:jc w:val="right"/>
            </w:pPr>
            <w:r>
              <w:rPr>
                <w:b/>
                <w:i w:val="0"/>
                <w:bCs/>
                <w:sz w:val="22"/>
                <w:szCs w:val="22"/>
              </w:rPr>
              <w:t>עיריית רהט</w:t>
            </w:r>
          </w:p>
        </w:tc>
        <w:tc>
          <w:tcPr>
            <w:tcW w:type="dxa" w:w="3685"/>
            <w:shd w:val="clear" w:color="auto" w:fill="D9D9D9"/>
          </w:tcPr>
          <w:p>
            <w:pPr>
              <w:spacing w:line="276" w:lineRule="auto" w:after="40"/>
              <w:jc w:val="right"/>
            </w:pPr>
            <w:r>
              <w:rPr>
                <w:b/>
                <w:i w:val="0"/>
                <w:bCs/>
                <w:sz w:val="22"/>
                <w:szCs w:val="22"/>
              </w:rPr>
              <w:t>יו"ר ועדת החינוך של הכנסת</w:t>
            </w:r>
          </w:p>
        </w:tc>
      </w:tr>
      <w:tr>
        <w:tc>
          <w:tcPr>
            <w:tcW w:type="dxa" w:w="1701"/>
          </w:tcPr>
          <w:p>
            <w:pPr>
              <w:spacing w:line="276" w:lineRule="auto" w:after="40"/>
              <w:jc w:val="right"/>
            </w:pPr>
            <w:r>
              <w:rPr>
                <w:b w:val="0"/>
                <w:i w:val="0"/>
                <w:sz w:val="22"/>
                <w:szCs w:val="22"/>
              </w:rPr>
              <w:t>תפישות</w:t>
            </w:r>
          </w:p>
        </w:tc>
        <w:tc>
          <w:tcPr>
            <w:tcW w:type="dxa" w:w="3685"/>
          </w:tcPr>
          <w:p>
            <w:pPr>
              <w:spacing w:line="276" w:lineRule="auto" w:after="40"/>
              <w:jc w:val="right"/>
            </w:pPr>
            <w:r>
              <w:rPr>
                <w:b w:val="0"/>
                <w:i w:val="0"/>
                <w:sz w:val="22"/>
                <w:szCs w:val="22"/>
              </w:rPr>
              <w:t>הביקור נועד להשפיל ולהסית, לא לפקח</w:t>
            </w:r>
          </w:p>
        </w:tc>
        <w:tc>
          <w:tcPr>
            <w:tcW w:type="dxa" w:w="3685"/>
          </w:tcPr>
          <w:p>
            <w:pPr>
              <w:spacing w:line="276" w:lineRule="auto" w:after="40"/>
              <w:jc w:val="right"/>
            </w:pPr>
            <w:r>
              <w:rPr>
                <w:b w:val="0"/>
                <w:i w:val="0"/>
                <w:sz w:val="22"/>
                <w:szCs w:val="22"/>
              </w:rPr>
              <w:t>העירייה מסתירה בעיות בבתי הספר</w:t>
            </w:r>
          </w:p>
        </w:tc>
      </w:tr>
      <w:tr>
        <w:tc>
          <w:tcPr>
            <w:tcW w:type="dxa" w:w="1701"/>
          </w:tcPr>
          <w:p>
            <w:pPr>
              <w:spacing w:line="276" w:lineRule="auto" w:after="40"/>
              <w:jc w:val="right"/>
            </w:pPr>
            <w:r>
              <w:rPr>
                <w:b w:val="0"/>
                <w:i w:val="0"/>
                <w:sz w:val="22"/>
                <w:szCs w:val="22"/>
              </w:rPr>
              <w:t>עמדות</w:t>
            </w:r>
          </w:p>
        </w:tc>
        <w:tc>
          <w:tcPr>
            <w:tcW w:type="dxa" w:w="3685"/>
          </w:tcPr>
          <w:p>
            <w:pPr>
              <w:spacing w:line="276" w:lineRule="auto" w:after="40"/>
              <w:jc w:val="right"/>
            </w:pPr>
            <w:r>
              <w:rPr>
                <w:b w:val="0"/>
                <w:i w:val="0"/>
                <w:sz w:val="22"/>
                <w:szCs w:val="22"/>
              </w:rPr>
              <w:t>לא לקיים את הביקור; השבתה</w:t>
            </w:r>
          </w:p>
        </w:tc>
        <w:tc>
          <w:tcPr>
            <w:tcW w:type="dxa" w:w="3685"/>
          </w:tcPr>
          <w:p>
            <w:pPr>
              <w:spacing w:line="276" w:lineRule="auto" w:after="40"/>
              <w:jc w:val="right"/>
            </w:pPr>
            <w:r>
              <w:rPr>
                <w:b w:val="0"/>
                <w:i w:val="0"/>
                <w:sz w:val="22"/>
                <w:szCs w:val="22"/>
              </w:rPr>
              <w:t>הביקור יתקיים בכל מקרה</w:t>
            </w:r>
          </w:p>
        </w:tc>
      </w:tr>
      <w:tr>
        <w:tc>
          <w:tcPr>
            <w:tcW w:type="dxa" w:w="1701"/>
          </w:tcPr>
          <w:p>
            <w:pPr>
              <w:spacing w:line="276" w:lineRule="auto" w:after="40"/>
              <w:jc w:val="right"/>
            </w:pPr>
            <w:r>
              <w:rPr>
                <w:b w:val="0"/>
                <w:i w:val="0"/>
                <w:sz w:val="22"/>
                <w:szCs w:val="22"/>
              </w:rPr>
              <w:t>אינטרסים</w:t>
            </w:r>
          </w:p>
        </w:tc>
        <w:tc>
          <w:tcPr>
            <w:tcW w:type="dxa" w:w="3685"/>
          </w:tcPr>
          <w:p>
            <w:pPr>
              <w:spacing w:line="276" w:lineRule="auto" w:after="40"/>
              <w:jc w:val="right"/>
            </w:pPr>
            <w:r>
              <w:rPr>
                <w:b w:val="0"/>
                <w:i w:val="0"/>
                <w:sz w:val="22"/>
                <w:szCs w:val="22"/>
              </w:rPr>
              <w:t>כבוד הקהילה, שליטה במרחב העירוני, לגיטימציה מול התושבים</w:t>
            </w:r>
          </w:p>
        </w:tc>
        <w:tc>
          <w:tcPr>
            <w:tcW w:type="dxa" w:w="3685"/>
          </w:tcPr>
          <w:p>
            <w:pPr>
              <w:spacing w:line="276" w:lineRule="auto" w:after="40"/>
              <w:jc w:val="right"/>
            </w:pPr>
            <w:r>
              <w:rPr>
                <w:b w:val="0"/>
                <w:i w:val="0"/>
                <w:sz w:val="22"/>
                <w:szCs w:val="22"/>
              </w:rPr>
              <w:t>הפגנת סמכות פיקוח, מסר פוליטי לבוחרים</w:t>
            </w:r>
          </w:p>
        </w:tc>
      </w:tr>
      <w:tr>
        <w:tc>
          <w:tcPr>
            <w:tcW w:type="dxa" w:w="1701"/>
          </w:tcPr>
          <w:p>
            <w:pPr>
              <w:spacing w:line="276" w:lineRule="auto" w:after="40"/>
              <w:jc w:val="right"/>
            </w:pPr>
            <w:r>
              <w:rPr>
                <w:b w:val="0"/>
                <w:i w:val="0"/>
                <w:sz w:val="22"/>
                <w:szCs w:val="22"/>
              </w:rPr>
              <w:t>BATNA</w:t>
            </w:r>
          </w:p>
        </w:tc>
        <w:tc>
          <w:tcPr>
            <w:tcW w:type="dxa" w:w="3685"/>
          </w:tcPr>
          <w:p>
            <w:pPr>
              <w:spacing w:line="276" w:lineRule="auto" w:after="40"/>
              <w:jc w:val="right"/>
            </w:pPr>
            <w:r>
              <w:rPr>
                <w:b w:val="0"/>
                <w:i w:val="0"/>
                <w:sz w:val="22"/>
                <w:szCs w:val="22"/>
              </w:rPr>
              <w:t>השבתה ומחאה ציבורית</w:t>
            </w:r>
          </w:p>
        </w:tc>
        <w:tc>
          <w:tcPr>
            <w:tcW w:type="dxa" w:w="3685"/>
          </w:tcPr>
          <w:p>
            <w:pPr>
              <w:spacing w:line="276" w:lineRule="auto" w:after="40"/>
              <w:jc w:val="right"/>
            </w:pPr>
            <w:r>
              <w:rPr>
                <w:b w:val="0"/>
                <w:i w:val="0"/>
                <w:sz w:val="22"/>
                <w:szCs w:val="22"/>
              </w:rPr>
              <w:t>ביקור בליווי משטרה</w:t>
            </w:r>
          </w:p>
        </w:tc>
      </w:tr>
      <w:tr>
        <w:tc>
          <w:tcPr>
            <w:tcW w:type="dxa" w:w="1701"/>
          </w:tcPr>
          <w:p>
            <w:pPr>
              <w:spacing w:line="276" w:lineRule="auto" w:after="40"/>
              <w:jc w:val="right"/>
            </w:pPr>
            <w:r>
              <w:rPr>
                <w:b w:val="0"/>
                <w:i w:val="0"/>
                <w:sz w:val="22"/>
                <w:szCs w:val="22"/>
              </w:rPr>
              <w:t>קו אדום (הערכה)</w:t>
            </w:r>
          </w:p>
        </w:tc>
        <w:tc>
          <w:tcPr>
            <w:tcW w:type="dxa" w:w="3685"/>
          </w:tcPr>
          <w:p>
            <w:pPr>
              <w:spacing w:line="276" w:lineRule="auto" w:after="40"/>
              <w:jc w:val="right"/>
            </w:pPr>
            <w:r>
              <w:rPr>
                <w:b w:val="0"/>
                <w:i w:val="0"/>
                <w:sz w:val="22"/>
                <w:szCs w:val="22"/>
              </w:rPr>
              <w:t>אין ביקור שלא בתיאום</w:t>
            </w:r>
          </w:p>
        </w:tc>
        <w:tc>
          <w:tcPr>
            <w:tcW w:type="dxa" w:w="3685"/>
          </w:tcPr>
          <w:p>
            <w:pPr>
              <w:spacing w:line="276" w:lineRule="auto" w:after="40"/>
              <w:jc w:val="right"/>
            </w:pPr>
            <w:r>
              <w:rPr>
                <w:b w:val="0"/>
                <w:i w:val="0"/>
                <w:sz w:val="22"/>
                <w:szCs w:val="22"/>
              </w:rPr>
              <w:t>אין ויתור על הביקור</w:t>
            </w:r>
          </w:p>
        </w:tc>
      </w:tr>
    </w:tbl>
    <w:p/>
    <w:p>
      <w:r>
        <w:rPr>
          <w:b/>
          <w:i w:val="0"/>
          <w:bCs/>
        </w:rPr>
        <w:t>ZOPA.</w:t>
      </w:r>
      <w:r>
        <w:rPr>
          <w:b w:val="0"/>
          <w:i w:val="0"/>
        </w:rPr>
        <w:t xml:space="preserve"> לא נמצא טווח הסכמה: הקווים האדומים של הצדדים סותרים זה את זה. ייתכן שביקור בתיאום, עם סדר יום מוסכם ונוכחות של הנהלת העיר, היה יוצר טווח כזה, אבל אף צד לא הציע אותו.</w:t>
      </w:r>
    </w:p>
    <w:p>
      <w:r>
        <w:rPr>
          <w:b/>
          <w:i w:val="0"/>
          <w:bCs/>
        </w:rPr>
        <w:t>ניתוח.</w:t>
      </w:r>
      <w:r>
        <w:rPr>
          <w:b w:val="0"/>
          <w:i w:val="0"/>
        </w:rPr>
        <w:t xml:space="preserve"> לפי מודל העניין הכפול, שני הצדדים נקטו סגנון תחרותי, המבטא דאגה גבוהה לתוצאה של עצמי ודאגה נמוכה לאחר (Rahim, 1983, כפי שמצוטט אצל הוכמן, 2026). ההשבתה היא גם צורה של הימנעות: העירייה לא ניהלה משא ומתן על תנאי הביקור אלא ניסתה למנוע אותו. התוצאה הייתה "הפסד־הפסד": יום לימודים אבד, והביקור קרה בכל זאת. Yin ועמיתיו (Yin et al., 2022) מצאו שסגנון תחרותי של מנהיג פוגע באקלים הרגשי בקבוצה, וזה רלוונטי לתלמידים ולמורים שחוו את היום הזה. למנהלת או למנהל בית ספר אין שליטה על מהלך כזה, אבל יש להם תפקיד אחרי: לשמור על שגרה ולתווך את האירוע לתלמידים.</w:t>
      </w:r>
    </w:p>
    <w:p>
      <w:pPr>
        <w:pStyle w:val="Heading3"/>
      </w:pPr>
      <w:r>
        <w:t>דוגמה 6: שביתת אזהרה בגני בית הספר אל־אח'אא (2023)</w:t>
      </w:r>
    </w:p>
    <w:p>
      <w:r>
        <w:rPr>
          <w:b w:val="0"/>
          <w:i w:val="0"/>
        </w:rPr>
        <w:t>במרץ 2023 הכריז ועד ההורים של בית הספר אל־אח'אא ברהט על שביתת אזהרה של יום אחד בגני הילדים של בית הספר. הסיבה: העירייה לא עמדה בהתחייבותה מתחילת שנת הלימודים לבנות כיתות גן חדשות במקום הישנות (عرب 48, 2023).</w:t>
      </w:r>
    </w:p>
    <w:tbl>
      <w:tblPr>
        <w:tblStyle w:val="TableGrid"/>
        <w:tblW w:type="auto" w:w="0"/>
        <w:jc w:val="center"/>
        <w:tblLook w:firstColumn="1" w:firstRow="1" w:lastColumn="0" w:lastRow="0" w:noHBand="0" w:noVBand="1" w:val="04A0"/>
        <w:bidiVisual/>
      </w:tblPr>
      <w:tblGrid>
        <w:gridCol w:w="3024"/>
        <w:gridCol w:w="3024"/>
        <w:gridCol w:w="3024"/>
      </w:tblGrid>
      <w:tr>
        <w:tc>
          <w:tcPr>
            <w:tcW w:type="dxa" w:w="1701"/>
            <w:shd w:val="clear" w:color="auto" w:fill="D9D9D9"/>
          </w:tcPr>
          <w:p>
            <w:pPr>
              <w:spacing w:line="276" w:lineRule="auto" w:after="40"/>
              <w:jc w:val="right"/>
            </w:pPr>
            <w:r>
              <w:rPr>
                <w:b/>
                <w:i w:val="0"/>
                <w:bCs/>
                <w:sz w:val="22"/>
                <w:szCs w:val="22"/>
              </w:rPr>
              <w:t>רכיב</w:t>
            </w:r>
          </w:p>
        </w:tc>
        <w:tc>
          <w:tcPr>
            <w:tcW w:type="dxa" w:w="3685"/>
            <w:shd w:val="clear" w:color="auto" w:fill="D9D9D9"/>
          </w:tcPr>
          <w:p>
            <w:pPr>
              <w:spacing w:line="276" w:lineRule="auto" w:after="40"/>
              <w:jc w:val="right"/>
            </w:pPr>
            <w:r>
              <w:rPr>
                <w:b/>
                <w:i w:val="0"/>
                <w:bCs/>
                <w:sz w:val="22"/>
                <w:szCs w:val="22"/>
              </w:rPr>
              <w:t>ועד ההורים</w:t>
            </w:r>
          </w:p>
        </w:tc>
        <w:tc>
          <w:tcPr>
            <w:tcW w:type="dxa" w:w="3685"/>
            <w:shd w:val="clear" w:color="auto" w:fill="D9D9D9"/>
          </w:tcPr>
          <w:p>
            <w:pPr>
              <w:spacing w:line="276" w:lineRule="auto" w:after="40"/>
              <w:jc w:val="right"/>
            </w:pPr>
            <w:r>
              <w:rPr>
                <w:b/>
                <w:i w:val="0"/>
                <w:bCs/>
                <w:sz w:val="22"/>
                <w:szCs w:val="22"/>
              </w:rPr>
              <w:t>עיריית רהט</w:t>
            </w:r>
          </w:p>
        </w:tc>
      </w:tr>
      <w:tr>
        <w:tc>
          <w:tcPr>
            <w:tcW w:type="dxa" w:w="1701"/>
          </w:tcPr>
          <w:p>
            <w:pPr>
              <w:spacing w:line="276" w:lineRule="auto" w:after="40"/>
              <w:jc w:val="right"/>
            </w:pPr>
            <w:r>
              <w:rPr>
                <w:b w:val="0"/>
                <w:i w:val="0"/>
                <w:sz w:val="22"/>
                <w:szCs w:val="22"/>
              </w:rPr>
              <w:t>תפישות</w:t>
            </w:r>
          </w:p>
        </w:tc>
        <w:tc>
          <w:tcPr>
            <w:tcW w:type="dxa" w:w="3685"/>
          </w:tcPr>
          <w:p>
            <w:pPr>
              <w:spacing w:line="276" w:lineRule="auto" w:after="40"/>
              <w:jc w:val="right"/>
            </w:pPr>
            <w:r>
              <w:rPr>
                <w:b w:val="0"/>
                <w:i w:val="0"/>
                <w:sz w:val="22"/>
                <w:szCs w:val="22"/>
              </w:rPr>
              <w:t>העירייה מבטיחה ולא מקיימת</w:t>
            </w:r>
          </w:p>
        </w:tc>
        <w:tc>
          <w:tcPr>
            <w:tcW w:type="dxa" w:w="3685"/>
          </w:tcPr>
          <w:p>
            <w:pPr>
              <w:spacing w:line="276" w:lineRule="auto" w:after="40"/>
              <w:jc w:val="right"/>
            </w:pPr>
            <w:r>
              <w:rPr>
                <w:b w:val="0"/>
                <w:i w:val="0"/>
                <w:sz w:val="22"/>
                <w:szCs w:val="22"/>
              </w:rPr>
              <w:t>הבנייה מתעכבת מסיבות ביורוקרטיות, ההורים חסרי סבלנות</w:t>
            </w:r>
          </w:p>
        </w:tc>
      </w:tr>
      <w:tr>
        <w:tc>
          <w:tcPr>
            <w:tcW w:type="dxa" w:w="1701"/>
          </w:tcPr>
          <w:p>
            <w:pPr>
              <w:spacing w:line="276" w:lineRule="auto" w:after="40"/>
              <w:jc w:val="right"/>
            </w:pPr>
            <w:r>
              <w:rPr>
                <w:b w:val="0"/>
                <w:i w:val="0"/>
                <w:sz w:val="22"/>
                <w:szCs w:val="22"/>
              </w:rPr>
              <w:t>עמדות</w:t>
            </w:r>
          </w:p>
        </w:tc>
        <w:tc>
          <w:tcPr>
            <w:tcW w:type="dxa" w:w="3685"/>
          </w:tcPr>
          <w:p>
            <w:pPr>
              <w:spacing w:line="276" w:lineRule="auto" w:after="40"/>
              <w:jc w:val="right"/>
            </w:pPr>
            <w:r>
              <w:rPr>
                <w:b w:val="0"/>
                <w:i w:val="0"/>
                <w:sz w:val="22"/>
                <w:szCs w:val="22"/>
              </w:rPr>
              <w:t>לקיים את ההתחייבות לבנייה</w:t>
            </w:r>
          </w:p>
        </w:tc>
        <w:tc>
          <w:tcPr>
            <w:tcW w:type="dxa" w:w="3685"/>
          </w:tcPr>
          <w:p>
            <w:pPr>
              <w:spacing w:line="276" w:lineRule="auto" w:after="40"/>
              <w:jc w:val="right"/>
            </w:pPr>
            <w:r>
              <w:rPr>
                <w:b w:val="0"/>
                <w:i w:val="0"/>
                <w:sz w:val="22"/>
                <w:szCs w:val="22"/>
              </w:rPr>
              <w:t>הבנייה תתבצע כשיתאפשר</w:t>
            </w:r>
          </w:p>
        </w:tc>
      </w:tr>
      <w:tr>
        <w:tc>
          <w:tcPr>
            <w:tcW w:type="dxa" w:w="1701"/>
          </w:tcPr>
          <w:p>
            <w:pPr>
              <w:spacing w:line="276" w:lineRule="auto" w:after="40"/>
              <w:jc w:val="right"/>
            </w:pPr>
            <w:r>
              <w:rPr>
                <w:b w:val="0"/>
                <w:i w:val="0"/>
                <w:sz w:val="22"/>
                <w:szCs w:val="22"/>
              </w:rPr>
              <w:t>אינטרסים</w:t>
            </w:r>
          </w:p>
        </w:tc>
        <w:tc>
          <w:tcPr>
            <w:tcW w:type="dxa" w:w="3685"/>
          </w:tcPr>
          <w:p>
            <w:pPr>
              <w:spacing w:line="276" w:lineRule="auto" w:after="40"/>
              <w:jc w:val="right"/>
            </w:pPr>
            <w:r>
              <w:rPr>
                <w:b w:val="0"/>
                <w:i w:val="0"/>
                <w:sz w:val="22"/>
                <w:szCs w:val="22"/>
              </w:rPr>
              <w:t>סביבה בטוחה לילדים הקטנים, אמינות</w:t>
            </w:r>
          </w:p>
        </w:tc>
        <w:tc>
          <w:tcPr>
            <w:tcW w:type="dxa" w:w="3685"/>
          </w:tcPr>
          <w:p>
            <w:pPr>
              <w:spacing w:line="276" w:lineRule="auto" w:after="40"/>
              <w:jc w:val="right"/>
            </w:pPr>
            <w:r>
              <w:rPr>
                <w:b w:val="0"/>
                <w:i w:val="0"/>
                <w:sz w:val="22"/>
                <w:szCs w:val="22"/>
              </w:rPr>
              <w:t>לדחות הוצאה, להימנע מעימות גלוי</w:t>
            </w:r>
          </w:p>
        </w:tc>
      </w:tr>
      <w:tr>
        <w:tc>
          <w:tcPr>
            <w:tcW w:type="dxa" w:w="1701"/>
          </w:tcPr>
          <w:p>
            <w:pPr>
              <w:spacing w:line="276" w:lineRule="auto" w:after="40"/>
              <w:jc w:val="right"/>
            </w:pPr>
            <w:r>
              <w:rPr>
                <w:b w:val="0"/>
                <w:i w:val="0"/>
                <w:sz w:val="22"/>
                <w:szCs w:val="22"/>
              </w:rPr>
              <w:t>BATNA</w:t>
            </w:r>
          </w:p>
        </w:tc>
        <w:tc>
          <w:tcPr>
            <w:tcW w:type="dxa" w:w="3685"/>
          </w:tcPr>
          <w:p>
            <w:pPr>
              <w:spacing w:line="276" w:lineRule="auto" w:after="40"/>
              <w:jc w:val="right"/>
            </w:pPr>
            <w:r>
              <w:rPr>
                <w:b w:val="0"/>
                <w:i w:val="0"/>
                <w:sz w:val="22"/>
                <w:szCs w:val="22"/>
              </w:rPr>
              <w:t>הסלמה לשביתה פתוחה</w:t>
            </w:r>
          </w:p>
        </w:tc>
        <w:tc>
          <w:tcPr>
            <w:tcW w:type="dxa" w:w="3685"/>
          </w:tcPr>
          <w:p>
            <w:pPr>
              <w:spacing w:line="276" w:lineRule="auto" w:after="40"/>
              <w:jc w:val="right"/>
            </w:pPr>
            <w:r>
              <w:rPr>
                <w:b w:val="0"/>
                <w:i w:val="0"/>
                <w:sz w:val="22"/>
                <w:szCs w:val="22"/>
              </w:rPr>
              <w:t>לדחות ולהמתין</w:t>
            </w:r>
          </w:p>
        </w:tc>
      </w:tr>
      <w:tr>
        <w:tc>
          <w:tcPr>
            <w:tcW w:type="dxa" w:w="1701"/>
          </w:tcPr>
          <w:p>
            <w:pPr>
              <w:spacing w:line="276" w:lineRule="auto" w:after="40"/>
              <w:jc w:val="right"/>
            </w:pPr>
            <w:r>
              <w:rPr>
                <w:b w:val="0"/>
                <w:i w:val="0"/>
                <w:sz w:val="22"/>
                <w:szCs w:val="22"/>
              </w:rPr>
              <w:t>קו אדום (הערכה)</w:t>
            </w:r>
          </w:p>
        </w:tc>
        <w:tc>
          <w:tcPr>
            <w:tcW w:type="dxa" w:w="3685"/>
          </w:tcPr>
          <w:p>
            <w:pPr>
              <w:spacing w:line="276" w:lineRule="auto" w:after="40"/>
              <w:jc w:val="right"/>
            </w:pPr>
            <w:r>
              <w:rPr>
                <w:b w:val="0"/>
                <w:i w:val="0"/>
                <w:sz w:val="22"/>
                <w:szCs w:val="22"/>
              </w:rPr>
              <w:t>לוח זמנים מחייב לבנייה</w:t>
            </w:r>
          </w:p>
        </w:tc>
        <w:tc>
          <w:tcPr>
            <w:tcW w:type="dxa" w:w="3685"/>
          </w:tcPr>
          <w:p>
            <w:pPr>
              <w:spacing w:line="276" w:lineRule="auto" w:after="40"/>
              <w:jc w:val="right"/>
            </w:pPr>
            <w:r>
              <w:rPr>
                <w:b w:val="0"/>
                <w:i w:val="0"/>
                <w:sz w:val="22"/>
                <w:szCs w:val="22"/>
              </w:rPr>
              <w:t>אין התחייבות לתאריך שאינו בשליטתה</w:t>
            </w:r>
          </w:p>
        </w:tc>
      </w:tr>
    </w:tbl>
    <w:p/>
    <w:p>
      <w:r>
        <w:rPr>
          <w:b/>
          <w:i w:val="0"/>
          <w:bCs/>
        </w:rPr>
        <w:t>ZOPA.</w:t>
      </w:r>
      <w:r>
        <w:rPr>
          <w:b w:val="0"/>
          <w:i w:val="0"/>
        </w:rPr>
        <w:t xml:space="preserve"> בין לוח זמנים מחייב (ההורים) לבין התחייבות כללית בלי תאריך (העירייה). הסכמה אפשרית: תאריך יעד מותנה, דיווח חודשי להורים ופתרון זמני לגנים הישנים.</w:t>
      </w:r>
    </w:p>
    <w:p>
      <w:r>
        <w:rPr>
          <w:b/>
          <w:i w:val="0"/>
          <w:bCs/>
        </w:rPr>
        <w:t>ניתוח.</w:t>
      </w:r>
      <w:r>
        <w:rPr>
          <w:b w:val="0"/>
          <w:i w:val="0"/>
        </w:rPr>
        <w:t xml:space="preserve"> העירייה נקטה סגנון נמנע: היא לא דחתה את הדרישה אלא פשוט לא ביצעה. ההורים עברו מסגנון מוותר, שבו המתינו חודשים, לסגנון תחרותי מדורג. שביתת אזהרה של יום אחד היא מהלך מחושב: היא מראה שה־BATNA קיימת בלי לממש אותה במלואה. לפי מודל העניין הכפול, הבחירה בסגנון תלויה במשקל של התוצאה ושל הקשר (Rahim, 1983, כפי שמצוטט אצל הוכמן, 2026), וכאן ההורים שמרו על הקשר עם העירייה תוך הפעלת לחץ. Yeung ו־Ho (Yeung &amp; Ho, 2020) מצאו שמי שמתמקד במגבלות נוטה יותר להימנעות, וייתכן שכך יש להבין גם את התנהגות העירייה, שמתמודדת עם מגבלות תקציב קשות.</w:t>
      </w:r>
    </w:p>
    <w:p>
      <w:r>
        <w:br w:type="page"/>
      </w:r>
    </w:p>
    <w:p>
      <w:pPr>
        <w:pStyle w:val="Heading1"/>
      </w:pPr>
      <w:r>
        <w:t>התיאוריות המאפיינות את ניהול המשא ומתן בבית הספר ובסביבתו</w:t>
      </w:r>
    </w:p>
    <w:p>
      <w:r>
        <w:rPr>
          <w:b w:val="0"/>
          <w:i w:val="0"/>
        </w:rPr>
        <w:t>המקרים מצביעים על דפוס ברור: המשא ומתן בחינוך ברהט הוא בעיקרו חלוקתי ותחרותי. ברוב המקרים נושא המחלוקת הוא משאב מוגבל, כסף, מבנה או הסעה, והמהלך המרכזי של ההורים הוא שביתה. העירייה, מצידה, נוקטת פעמים רבות סגנון נמנע: היא מתחייבת ואינה מבצעת, או מעבירה אחריות לגורם אחר. זה דפוס שמודל העניין הכפול מתאר היטב, והוא מסביר מדוע אותם קונפליקטים חוזרים שוב ושוב (Rahim, 1983, כפי שמצוטט אצל הוכמן, 2026).</w:t>
      </w:r>
    </w:p>
    <w:p>
      <w:r>
        <w:rPr>
          <w:b w:val="0"/>
          <w:i w:val="0"/>
        </w:rPr>
        <w:t>המודל של פישר, יורי ופאטון (2013) מאפיין את המקרים שהסתיימו טוב. בבית הספר אל־זהראא הצדדים זיהו את האינטרס שמאחורי העמדה, בטיחות הילדים, ומצאו פתרון שמשרת אותו. במקרים אחרים היו קריטריונים אובייקטיביים, כמו דוחות מהנדס או הקו הכחול, אבל חסר רכיב המחויבות, ולכן הם לא הובילו להסכמה.</w:t>
      </w:r>
    </w:p>
    <w:p>
      <w:r>
        <w:rPr>
          <w:b w:val="0"/>
          <w:i w:val="0"/>
        </w:rPr>
        <w:t>Miller (2014) מצא פער בין הסגנון שאנשים מצהירים עליו לבין הסגנון שהם נוקטים בפועל. ברהט הפער בולט: כל הצדדים מדברים על טובת הילדים, אבל בפועל כל צד מגן על התקציב, על הסמכות או על הכבוד שלו. המסקנה היא שהנהלת בית ספר ברהט צריכה לשלב שתי גישות: גישה חלוקתית זהירה מול הרשות, עם BATNA מבוססת נתונים, וגישה על פי עקרונות מול ההורים והצוות, שאיתם הקשר נמשך שנים.</w:t>
      </w:r>
    </w:p>
    <w:p>
      <w:r>
        <w:rPr>
          <w:b w:val="0"/>
          <w:i w:val="0"/>
          <w:highlight w:val="yellow"/>
        </w:rPr>
        <w:t>[אם ייערכו ראיונות בבית הספר: להוסיף כאן פסקה על הסגנון שהמנהל/ת מתאר/ת, עם ציטוט קצר, ולבדוק אם הוא תואם את הדפוס שעולה מהמקרים.]</w:t>
      </w:r>
    </w:p>
    <w:p>
      <w:r>
        <w:br w:type="page"/>
      </w:r>
    </w:p>
    <w:p>
      <w:pPr>
        <w:pStyle w:val="Heading1"/>
      </w:pPr>
      <w:r>
        <w:t>תרבות ארגונית ומשא ומתן</w:t>
      </w:r>
    </w:p>
    <w:p>
      <w:r>
        <w:rPr>
          <w:b w:val="0"/>
          <w:i w:val="0"/>
        </w:rPr>
        <w:t>ההיגד "מנהלים מייחסים לתרבות הארגונית חשיבות עליונה בהתמודדות מול הסביבה המשתנה" מניח שהתרבות משמשת למנהלים מצפן כאשר התנאים משתנים. תרבות ארגונית כוללת ערכים ונורמות משותפים, והנורמות מתרגמות ערכים כלליים להוראות התנהגות (שפירא, 1983, כפי שמצוטט אצל הוכמן, 2026). בבית ספר בחברה הבדואית התרבות הארגונית שזורה בתרבות הקהילתית, ומש וכהן (2021) מצאו שתרבות חזקה עשויה דווקא לחזק סגנון תחרותי בקונפליקט. שתי הדוגמאות שלהלן בוחנות את ההיגד.</w:t>
      </w:r>
    </w:p>
    <w:p>
      <w:pPr>
        <w:pStyle w:val="Heading2"/>
      </w:pPr>
      <w:r>
        <w:t>דוגמה 1: המלחמה והמיגון</w:t>
      </w:r>
    </w:p>
    <w:p>
      <w:r>
        <w:rPr>
          <w:b w:val="0"/>
          <w:i w:val="0"/>
        </w:rPr>
        <w:t>מלחמת חרבות ברזל שינתה את סדר היום של בתי הספר בנגב. במקום משא ומתן על שיפוצים ותוכניות, עלתה שאלת המיגון, וארגון עדאלה התריע באוקטובר 2023 שמוסדות חינוך רבים ביישובים הבדואים, ובהם מוסד לחינוך מיוחד ברהט, חסרים מרחב מוגן (עדאלה, 2023). במצב כזה התרבות הבית־ספרית קובעת מה מנהלים מוכנים לדרוש ואיך. בית ספר שבו מקובל לשתף את ההורים יכול להפוך את ועד ההורים לשותף בלחץ על הרשויות; בית ספר שבו הנורמה היא "לא לעשות רעש" יחכה.</w:t>
      </w:r>
    </w:p>
    <w:p>
      <w:r>
        <w:rPr>
          <w:b w:val="0"/>
          <w:i w:val="0"/>
        </w:rPr>
        <w:t>ההיגד מתקיים כאן באופן חלקי. התרבות אכן משפיעה על אופן ההתמודדות, אבל בסביבה שבה המשאבים תלויים ברשויות, גם תרבות תומכת אינה מספיקה בלי כוח מיקוח. מכאן שהתרבות היא תנאי הכרחי אך לא מספיק: היא קובעת את סגנון המשא ומתן, לא את התוצאה.</w:t>
      </w:r>
    </w:p>
    <w:p>
      <w:r>
        <w:rPr>
          <w:b w:val="0"/>
          <w:i w:val="0"/>
          <w:highlight w:val="yellow"/>
        </w:rPr>
        <w:t>[מהראיונות: איך בית הספר התמודד עם המלחמה? מה עזר להסתגל? ציטוט קצר.]</w:t>
      </w:r>
    </w:p>
    <w:p>
      <w:pPr>
        <w:pStyle w:val="Heading2"/>
      </w:pPr>
      <w:r>
        <w:t>דוגמה 2: חוק המורים והמחסור בכוח אדם</w:t>
      </w:r>
    </w:p>
    <w:p>
      <w:r>
        <w:rPr>
          <w:b w:val="0"/>
          <w:i w:val="0"/>
        </w:rPr>
        <w:t>בינואר 2026 אישרה הכנסת חוק האוסר העסקת מורים בוגרי מוסדות אקדמיים של הרשות הפלסטינית, למעט חריגים (הארץ, 2026). עבור בתי ספר בנגב שמעסיקים מורים שהוכשרו במוסדות כאלה, ובסביבה שבה קיים ממילא מחסור במורים (אבו סעד, 2021), מדובר בשינוי סביבתי חד. מנהלי בתי ספר נאלצים לנהל משא ומתן חדש: מול הפיקוח על חריגים ועל תקנים, מול מורים שמעמדם בסכנה, ומול הורים שחוששים לרצף הלימודים.</w:t>
      </w:r>
    </w:p>
    <w:p>
      <w:r>
        <w:rPr>
          <w:b w:val="0"/>
          <w:i w:val="0"/>
        </w:rPr>
        <w:t>כאן התרבות הארגונית מקבלת משמעות מעשית. בית ספר שבו מקובלת שקיפות מול הצוות יכול לשתף את המורים במצב ולבנות יחד פתרונות, כמו חונכות, איחוד כיתות או גיוס מורים מהעיר. Yamini ועמיתיו (Yamini et al., 2025) מצאו שערכים קולקטיביסטיים נקשרים לסגנון של פתרון בעיות משותף כאשר הדאגה היא לתוצאה של שני הצדדים. בקהילה שבה הלכידות גבוהה, זה משאב שהנהלה יכולה להישען עליו.</w:t>
      </w:r>
    </w:p>
    <w:p>
      <w:r>
        <w:rPr>
          <w:b w:val="0"/>
          <w:i w:val="0"/>
          <w:highlight w:val="yellow"/>
        </w:rPr>
        <w:t>[מהראיונות: איך הצוות בבית הספר מושפע מהמחסור במורים? איך ההנהלה מדברת על זה עם הצוות?]</w:t>
      </w:r>
    </w:p>
    <w:p>
      <w:r>
        <w:rPr>
          <w:b w:val="0"/>
          <w:i w:val="0"/>
        </w:rPr>
        <w:t>בשתי הדוגמאות ההיגד מתקיים, אבל בהסתייגות: התרבות משמשת מצפן, כל עוד היא מעודדת פתיחות. תרבות סגורה עלולה לקבע את המנהלים בדפוס תחרותי או נמנע, כפי שמש וכהן (2021) מתארים.</w:t>
      </w:r>
    </w:p>
    <w:p>
      <w:r>
        <w:br w:type="page"/>
      </w:r>
    </w:p>
    <w:p>
      <w:pPr>
        <w:pStyle w:val="Heading1"/>
      </w:pPr>
      <w:r>
        <w:t>סיכום והמלצות</w:t>
      </w:r>
    </w:p>
    <w:p>
      <w:r>
        <w:rPr>
          <w:b w:val="0"/>
          <w:i w:val="0"/>
        </w:rPr>
        <w:t>העבודה בחנה את המשא ומתן שמנהלי בית הספר היסודי ע"ש חג' סלמאן אלעתאיקה מנהלים בסביבה שבה המשאבים מוגבלים והתלות ברשויות גבוהה. המקרים מרהט מראים דפוס חלוקתי ותחרותי, עם שביתה כחלופה המרכזית של ההורים והימנעות מצד הרשות. המקרים המוצלחים היו אלה שבהם נמצא אינטרס משותף, הוצגו קריטריונים אובייקטיביים ונקבעה מחויבות ברורה.</w:t>
      </w:r>
    </w:p>
    <w:p>
      <w:r>
        <w:rPr>
          <w:b/>
          <w:i w:val="0"/>
          <w:bCs/>
        </w:rPr>
        <w:t>המלצה 1: בניית BATNA מבוססת נתונים.</w:t>
      </w:r>
      <w:r>
        <w:rPr>
          <w:b w:val="0"/>
          <w:i w:val="0"/>
        </w:rPr>
        <w:t xml:space="preserve"> להכין תיק קבוע עם נתוני השקיפות, דוחות בטיחות ומספר תלמידים לכיתה, ולהציג אותו בכל פנייה לעירייה ולפיקוח.</w:t>
      </w:r>
    </w:p>
    <w:p>
      <w:r>
        <w:rPr>
          <w:b/>
          <w:i w:val="0"/>
          <w:bCs/>
        </w:rPr>
        <w:t>המלצה 2: שיתוף ועד ההורים לפני המשבר.</w:t>
      </w:r>
      <w:r>
        <w:rPr>
          <w:b w:val="0"/>
          <w:i w:val="0"/>
        </w:rPr>
        <w:t xml:space="preserve"> לקיים פגישה רבעונית קבועה עם הוועד, שבה מציגים את מצב התשתיות ואת הפניות לרשות, כדי שההורים יהיו שותפים ולא יריבים.</w:t>
      </w:r>
    </w:p>
    <w:p>
      <w:r>
        <w:rPr>
          <w:b/>
          <w:i w:val="0"/>
          <w:bCs/>
        </w:rPr>
        <w:t>המלצה 3: הסכמות בכתב.</w:t>
      </w:r>
      <w:r>
        <w:rPr>
          <w:b w:val="0"/>
          <w:i w:val="0"/>
        </w:rPr>
        <w:t xml:space="preserve"> לא להודיע לצוות ולהורים על הסכמה עד שהיא חתומה בידי הגורם המוסמך, עם תאריך ואחראי.</w:t>
      </w:r>
    </w:p>
    <w:p>
      <w:r>
        <w:rPr>
          <w:b/>
          <w:i w:val="0"/>
          <w:bCs/>
        </w:rPr>
        <w:t>המלצה 4: תוכנית קריאה כנושא למשא ומתן.</w:t>
      </w:r>
      <w:r>
        <w:rPr>
          <w:b w:val="0"/>
          <w:i w:val="0"/>
        </w:rPr>
        <w:t xml:space="preserve"> להשתמש בנתוני העמדות הנמוכים בשפת האם כקריטריון לבקשת משאבים ייעודיים מתוכנית החומש.</w:t>
      </w:r>
    </w:p>
    <w:p>
      <w:r>
        <w:br w:type="page"/>
      </w:r>
    </w:p>
    <w:p>
      <w:pPr>
        <w:pStyle w:val="Heading1"/>
      </w:pPr>
      <w:r>
        <w:t>למידה אישית</w:t>
      </w:r>
    </w:p>
    <w:p>
      <w:r>
        <w:rPr>
          <w:b w:val="0"/>
          <w:i w:val="0"/>
          <w:highlight w:val="yellow"/>
        </w:rPr>
        <w:t>[פרק זה נכתב על ידי כל סטודנט/ית בנפרד, בגוף ראשון, ומוגש בתיבת הגשה נפרדת. לפחות 5 היבטים: יכולות שהיו או חסרו; התלבטויות במהלך העבודה; חוויה משמעותית; שינוי עמדות בעקבות הקורס, כולל תוצאת שאלון TKI; מה נדרש ממני כדי להיות איש/אשת מקצוע בתחום; תובנות על התחום.]</w:t>
      </w:r>
    </w:p>
    <w:p>
      <w:r>
        <w:br w:type="page"/>
      </w:r>
    </w:p>
    <w:p>
      <w:pPr>
        <w:pStyle w:val="Heading1"/>
      </w:pPr>
      <w:r>
        <w:t>רשימת מקורות</w:t>
      </w:r>
    </w:p>
    <w:p>
      <w:pPr>
        <w:ind w:hanging="709" w:right="709"/>
        <w:jc w:val="right"/>
      </w:pPr>
      <w:r>
        <w:rPr>
          <w:b w:val="0"/>
          <w:i w:val="0"/>
        </w:rPr>
        <w:t>אבו סעד, א' (2021, 13 בספטמבר). מערכת החינוך הערבית-בדואית בנגב: מציאות וצרכים. המכון הישראלי לדמוקרטיה. https://www.idi.org.il/articles/36317</w:t>
      </w:r>
    </w:p>
    <w:p>
      <w:pPr>
        <w:ind w:hanging="709" w:right="709"/>
        <w:jc w:val="right"/>
      </w:pPr>
      <w:r>
        <w:rPr>
          <w:b w:val="0"/>
          <w:i w:val="0"/>
        </w:rPr>
        <w:t xml:space="preserve">אלברשטין, מ' (2018). יישוב סכסוכים שיפוטי: אל תורת המשפט מעבר למחלוקת. </w:t>
      </w:r>
      <w:r>
        <w:rPr>
          <w:b w:val="0"/>
          <w:i/>
          <w:iCs/>
        </w:rPr>
        <w:t>דין ודברים, יא</w:t>
      </w:r>
      <w:r>
        <w:rPr>
          <w:b w:val="0"/>
          <w:i w:val="0"/>
        </w:rPr>
        <w:t>(1), 17-76. https://law.haifa.ac.il/wp-content/uploads/2021/11/y7.pdf</w:t>
      </w:r>
    </w:p>
    <w:p>
      <w:pPr>
        <w:ind w:hanging="709" w:right="709"/>
        <w:jc w:val="right"/>
      </w:pPr>
      <w:r>
        <w:rPr>
          <w:b w:val="0"/>
          <w:i w:val="0"/>
        </w:rPr>
        <w:t>הארץ. (2026, 21 בינואר). הכנסת אישרה: בוגרי מוסדות אקדמיים [להשלים כותרת מלאה מהכתבה]. https://www.haaretz.co.il/news/politi/2026-01-21/ty-article/.premium/0000019b-e06c-d4f5-a7ff-f5fdfa240000</w:t>
      </w:r>
    </w:p>
    <w:p>
      <w:pPr>
        <w:ind w:hanging="709" w:right="709"/>
        <w:jc w:val="right"/>
      </w:pPr>
      <w:r>
        <w:rPr>
          <w:b w:val="0"/>
          <w:i w:val="0"/>
        </w:rPr>
        <w:t>הוכמן, ר' (2026). מבוא למו"מ; ניהול מו"מ [מצגות הרצאה]. ניהול משא ומתן, הקריה האקדמית אונו.</w:t>
      </w:r>
    </w:p>
    <w:p>
      <w:pPr>
        <w:ind w:hanging="709" w:right="709"/>
        <w:jc w:val="right"/>
      </w:pPr>
      <w:r>
        <w:rPr>
          <w:b w:val="0"/>
          <w:i w:val="0"/>
        </w:rPr>
        <w:t xml:space="preserve">הלשכה המרכזית לסטטיסטיקה. (2023). </w:t>
      </w:r>
      <w:r>
        <w:rPr>
          <w:b w:val="0"/>
          <w:i/>
          <w:iCs/>
        </w:rPr>
        <w:t>ישראל במספרים 2023</w:t>
      </w:r>
      <w:r>
        <w:rPr>
          <w:b w:val="0"/>
          <w:i w:val="0"/>
        </w:rPr>
        <w:t>. https://www.cbs.gov.il/he/publications/DocLib/isr_in_n/isr_in_n23h.pdf</w:t>
      </w:r>
    </w:p>
    <w:p>
      <w:pPr>
        <w:ind w:hanging="709" w:right="709"/>
        <w:jc w:val="right"/>
      </w:pPr>
      <w:r>
        <w:rPr>
          <w:b w:val="0"/>
          <w:i w:val="0"/>
        </w:rPr>
        <w:t>הלשכה המרכזית לסטטיסטיקה. (2024, 29 ביולי). אפיון וסיווג יחידות גאוגרפיות לפי הרמה החברתית-כלכלית של האוכלוסייה [הודעה לתקשורת]. https://www.cbs.gov.il/he/mediarelease/DocLib/2024/230/24_24_230b.pdf</w:t>
      </w:r>
    </w:p>
    <w:p>
      <w:pPr>
        <w:ind w:hanging="709" w:right="709"/>
        <w:jc w:val="right"/>
      </w:pPr>
      <w:r>
        <w:rPr>
          <w:b w:val="0"/>
          <w:i w:val="0"/>
        </w:rPr>
        <w:t xml:space="preserve">ויסבלאי, א' (2017). </w:t>
      </w:r>
      <w:r>
        <w:rPr>
          <w:b w:val="0"/>
          <w:i/>
          <w:iCs/>
        </w:rPr>
        <w:t>חינוך בחברה הבדואית בנגב: תמונת מצב</w:t>
      </w:r>
      <w:r>
        <w:rPr>
          <w:b w:val="0"/>
          <w:i w:val="0"/>
        </w:rPr>
        <w:t>. הכנסת, מרכז המחקר והמידע. https://fs.knesset.gov.il/globaldocs/MMM/cdb926ab-5a61-e711-80d5-00155d0a6d26/2_cdb926ab-5a61-e711-80d5-00155d0a6d26_11_10459.pdf</w:t>
      </w:r>
    </w:p>
    <w:p>
      <w:pPr>
        <w:ind w:hanging="709" w:right="709"/>
        <w:jc w:val="right"/>
      </w:pPr>
      <w:r>
        <w:rPr>
          <w:b w:val="0"/>
          <w:i w:val="0"/>
        </w:rPr>
        <w:t xml:space="preserve">מאיירס־ג'וינט־מכון ברוקדייל. (2023). </w:t>
      </w:r>
      <w:r>
        <w:rPr>
          <w:b w:val="0"/>
          <w:i/>
          <w:iCs/>
        </w:rPr>
        <w:t>הערכה כוללת של החלטת ממשלה מספר 2397: תוכנית לפיתוח כלכלי חברתי בקרב האוכלוסייה הבדואית בנגב לשנים 2017-2021</w:t>
      </w:r>
      <w:r>
        <w:rPr>
          <w:b w:val="0"/>
          <w:i w:val="0"/>
        </w:rPr>
        <w:t xml:space="preserve"> (דמ-23-964). https://brookdale.jdc.org.il/wp-content/uploads/2023/12/Heb_Report_RR-964-23.pdf</w:t>
      </w:r>
    </w:p>
    <w:p>
      <w:pPr>
        <w:ind w:hanging="709" w:right="709"/>
        <w:jc w:val="right"/>
      </w:pPr>
      <w:r>
        <w:rPr>
          <w:b w:val="0"/>
          <w:i w:val="0"/>
        </w:rPr>
        <w:t xml:space="preserve">משרד החינוך. (2023). </w:t>
      </w:r>
      <w:r>
        <w:rPr>
          <w:b w:val="0"/>
          <w:i/>
          <w:iCs/>
        </w:rPr>
        <w:t>תמונת מצב בית ספרית: ע"ש חג' סלמאן אלעתאיקה (ד'), רהט</w:t>
      </w:r>
      <w:r>
        <w:rPr>
          <w:b w:val="0"/>
          <w:i w:val="0"/>
        </w:rPr>
        <w:t xml:space="preserve"> [מערכת השקיפות]. https://outcomes.edu.gov.il/school/615336</w:t>
      </w:r>
    </w:p>
    <w:p>
      <w:pPr>
        <w:ind w:hanging="709" w:right="709"/>
        <w:jc w:val="right"/>
      </w:pPr>
      <w:r>
        <w:rPr>
          <w:b w:val="0"/>
          <w:i w:val="0"/>
        </w:rPr>
        <w:t xml:space="preserve">מש, ר', וכהן, ת' (2021). תרבות ארגונית בישראל, קונפליקטים בארגון ומה שביניהם. </w:t>
      </w:r>
      <w:r>
        <w:rPr>
          <w:b w:val="0"/>
          <w:i/>
          <w:iCs/>
        </w:rPr>
        <w:t>הרבעון לחקר ארגונים וניהול המשאב האנושי, 6</w:t>
      </w:r>
      <w:r>
        <w:rPr>
          <w:b w:val="0"/>
          <w:i w:val="0"/>
        </w:rPr>
        <w:t>(2), 1-16. https://cohrm.haifa.ac.il/wp-content/uploads/2021/08/Mash-Cohen.pdf</w:t>
      </w:r>
    </w:p>
    <w:p>
      <w:pPr>
        <w:ind w:hanging="709" w:right="709"/>
        <w:jc w:val="right"/>
      </w:pPr>
      <w:r>
        <w:rPr>
          <w:b w:val="0"/>
          <w:i w:val="0"/>
        </w:rPr>
        <w:t>עדאלה. (2023, 30 באוקטובר). מיגון מוסדות החינוך ביישובים הבדואים בנגב [מכתב]. https://www.adalah.org/uploads/uploads/Shelters_Schools_Naqab_letter_30_October.pdf</w:t>
      </w:r>
    </w:p>
    <w:p>
      <w:pPr>
        <w:ind w:hanging="709" w:right="709"/>
        <w:jc w:val="right"/>
      </w:pPr>
      <w:r>
        <w:rPr>
          <w:b w:val="0"/>
          <w:i w:val="0"/>
        </w:rPr>
        <w:t xml:space="preserve">פישר, ר', יורי, ו', ופאטון, ב' (2013). </w:t>
      </w:r>
      <w:r>
        <w:rPr>
          <w:b w:val="0"/>
          <w:i/>
          <w:iCs/>
        </w:rPr>
        <w:t>כן! לשאת ולתת ולהגיע לסיכום חיובי בעסקים, בעבודה ובחיי היום יום</w:t>
      </w:r>
      <w:r>
        <w:rPr>
          <w:b w:val="0"/>
          <w:i w:val="0"/>
        </w:rPr>
        <w:t>. מטר.</w:t>
      </w:r>
    </w:p>
    <w:p>
      <w:pPr>
        <w:ind w:hanging="709" w:right="709"/>
        <w:jc w:val="right"/>
      </w:pPr>
      <w:r>
        <w:rPr>
          <w:b w:val="0"/>
          <w:i w:val="0"/>
        </w:rPr>
        <w:t>תנועת אור. (ל.ת.). ע"ש חג' סלמאן אלעתאיקה [מדריך מוסדות חינוך]. https://or1.org.il/education/%D7%A2%D7%A9-%D7%97%D7%92-%D7%A1%D7%9C%D7%9E%D7%90%D7%9F-%D7%90%D7%9C%D7%A2%D7%AA%D7%90%D7%99%D7%A7%D7%94/</w:t>
      </w:r>
    </w:p>
    <w:p>
      <w:pPr>
        <w:ind w:hanging="709" w:right="709"/>
        <w:jc w:val="right"/>
      </w:pPr>
      <w:r>
        <w:rPr>
          <w:b w:val="0"/>
          <w:i w:val="0"/>
        </w:rPr>
        <w:t>عرب 48. (2019, 12 בדצמבר). رهط: استمرار الإضراب في مدرسة بيت الحكمة. https://www.arab48.com/محليات/أخبار-محلية/2019/12/12/رهط-استمرار-الإضراب-في-مدرسة-بيت-الحكمة</w:t>
      </w:r>
    </w:p>
    <w:p>
      <w:pPr>
        <w:ind w:hanging="709" w:right="709"/>
        <w:jc w:val="right"/>
      </w:pPr>
      <w:r>
        <w:rPr>
          <w:b w:val="0"/>
          <w:i w:val="0"/>
        </w:rPr>
        <w:t>عرب 48. (2020, 25 בינואר). رهط: إلغاء الإضراب الذي كان مقررا [להשלים כותרת מלאה]. https://www.arab48.com/محليات/أخبار-محلية/2020/01/25/رهط-إضراب-مفتوح-في-ابتدائية-الزهراء</w:t>
      </w:r>
    </w:p>
    <w:p>
      <w:pPr>
        <w:ind w:hanging="709" w:right="709"/>
        <w:jc w:val="right"/>
      </w:pPr>
      <w:r>
        <w:rPr>
          <w:b w:val="0"/>
          <w:i w:val="0"/>
        </w:rPr>
        <w:t>عرب 48. (2021, 18 בספטמבר). رهط: أولياء أمور طلاب مدرسة النجاح يعلنون الإضراب المفتوح. https://www.arab48.com/محليات/أخبار-محلية/2021/09/18/رهط-أولياء-أمور-طلاب-مدرسة-النجاح-يعلنون-الإضراب-المفتوح</w:t>
      </w:r>
    </w:p>
    <w:p>
      <w:pPr>
        <w:ind w:hanging="709" w:right="709"/>
        <w:jc w:val="right"/>
      </w:pPr>
      <w:r>
        <w:rPr>
          <w:b w:val="0"/>
          <w:i w:val="0"/>
        </w:rPr>
        <w:t>عرب 48. (2022, 6 בפברואר). إضراب في مدرسة الشيخ سلمان الهزيل الشاملة برهط. https://www.arab48.com/محليات/أخبار-محلية/2022/02/06/إضراب-في-مدرسة-الشيخ-سلمان-الهزيل-الشاملة-برهط</w:t>
      </w:r>
    </w:p>
    <w:p>
      <w:pPr>
        <w:ind w:hanging="709" w:right="709"/>
        <w:jc w:val="right"/>
      </w:pPr>
      <w:r>
        <w:rPr>
          <w:b w:val="0"/>
          <w:i w:val="0"/>
        </w:rPr>
        <w:t>عرب 48. (2023, 2 במרץ). رهط: إضراب إنذاري في بساتين مدرسة الإخاء. https://www.arab48.com/محليات/أخبار-محلية/2023/03/02/رهط-إضراب-إنذاري-في-بساتين-مدرسة-الإخاء</w:t>
      </w:r>
    </w:p>
    <w:p>
      <w:pPr>
        <w:ind w:hanging="709" w:right="709"/>
        <w:jc w:val="right"/>
      </w:pPr>
      <w:r>
        <w:rPr>
          <w:b w:val="0"/>
          <w:i w:val="0"/>
        </w:rPr>
        <w:t>عرب 48. (2026, 13 בינואר). إضراب مفتوح في مدرسة صلاح الدين الجماهيرية برهط. https://www.arab48.com/محليات/أخبار-محلية/2026/01/13/إضراب-مفتوح-في-مدرسة-صلاح-الدين-الجماهيرية-برهط</w:t>
      </w:r>
    </w:p>
    <w:p>
      <w:pPr>
        <w:ind w:hanging="709" w:right="709"/>
        <w:jc w:val="right"/>
      </w:pPr>
      <w:r>
        <w:rPr>
          <w:b w:val="0"/>
          <w:i w:val="0"/>
        </w:rPr>
        <w:t>ynet. (2026, יולי). צבי סוכות הגיע לפקח על בתי ספר ברהט [להשלים כותרת מלאה]. https://www.ynet.co.il/news/article/hyvifkbvfe</w:t>
      </w:r>
    </w:p>
    <w:p>
      <w:pPr>
        <w:bidi w:val="0"/>
        <w:ind w:hanging="709" w:left="709"/>
        <w:jc w:val="left"/>
      </w:pPr>
      <w:r>
        <w:rPr>
          <w:rFonts w:ascii="Times New Roman" w:hAnsi="Times New Roman" w:cs="Times New Roman"/>
          <w:b w:val="0"/>
          <w:i w:val="0"/>
          <w:rtl w:val="0"/>
        </w:rPr>
        <w:t xml:space="preserve">Amistad, C., Dunlop, P. D., Ng, R., Anglim, J., Fells, R., &amp; Back, M. (2018). Personality and integrative negotiations: A HEXACO investigation of actor, partner, and actor-partner interaction effects on objective and subjective outcomes. </w:t>
      </w:r>
      <w:r>
        <w:rPr>
          <w:rFonts w:ascii="Times New Roman" w:hAnsi="Times New Roman" w:cs="Times New Roman"/>
          <w:b w:val="0"/>
          <w:i/>
          <w:iCs/>
          <w:rtl w:val="0"/>
        </w:rPr>
        <w:t>European Journal of Personality, 32</w:t>
      </w:r>
      <w:r>
        <w:rPr>
          <w:rFonts w:ascii="Times New Roman" w:hAnsi="Times New Roman" w:cs="Times New Roman"/>
          <w:b w:val="0"/>
          <w:i w:val="0"/>
          <w:rtl w:val="0"/>
        </w:rPr>
        <w:t>(4), 427-442.</w:t>
      </w:r>
    </w:p>
    <w:p>
      <w:pPr>
        <w:bidi w:val="0"/>
        <w:ind w:hanging="709" w:left="709"/>
        <w:jc w:val="left"/>
      </w:pPr>
      <w:r>
        <w:rPr>
          <w:rFonts w:ascii="Times New Roman" w:hAnsi="Times New Roman" w:cs="Times New Roman"/>
          <w:b w:val="0"/>
          <w:i w:val="0"/>
          <w:rtl w:val="0"/>
        </w:rPr>
        <w:t xml:space="preserve">Benetti, S., Ogliastri, E., &amp; Caputo, A. (2021). Distributive/integrative negotiation strategies in cross-cultural contexts: A comparative study of the USA and Italy. </w:t>
      </w:r>
      <w:r>
        <w:rPr>
          <w:rFonts w:ascii="Times New Roman" w:hAnsi="Times New Roman" w:cs="Times New Roman"/>
          <w:b w:val="0"/>
          <w:i/>
          <w:iCs/>
          <w:rtl w:val="0"/>
        </w:rPr>
        <w:t>Journal of Management &amp; Organization, 27</w:t>
      </w:r>
      <w:r>
        <w:rPr>
          <w:rFonts w:ascii="Times New Roman" w:hAnsi="Times New Roman" w:cs="Times New Roman"/>
          <w:b w:val="0"/>
          <w:i w:val="0"/>
          <w:rtl w:val="0"/>
        </w:rPr>
        <w:t>(4), 786-808. https://doi.org/10.1017/jmo.2020.47</w:t>
      </w:r>
    </w:p>
    <w:p>
      <w:pPr>
        <w:bidi w:val="0"/>
        <w:ind w:hanging="709" w:left="709"/>
        <w:jc w:val="left"/>
      </w:pPr>
      <w:r>
        <w:rPr>
          <w:rFonts w:ascii="Times New Roman" w:hAnsi="Times New Roman" w:cs="Times New Roman"/>
          <w:b w:val="0"/>
          <w:i w:val="0"/>
          <w:rtl w:val="0"/>
        </w:rPr>
        <w:t xml:space="preserve">Elgoibar, P., Medina, F. J., Euwema, M. C., &amp; Munduate, L. (2021). Increasing integrative negotiation in European organizations through trustworthiness and trust. </w:t>
      </w:r>
      <w:r>
        <w:rPr>
          <w:rFonts w:ascii="Times New Roman" w:hAnsi="Times New Roman" w:cs="Times New Roman"/>
          <w:b w:val="0"/>
          <w:i/>
          <w:iCs/>
          <w:rtl w:val="0"/>
        </w:rPr>
        <w:t>Frontiers in Psychology, 12</w:t>
      </w:r>
      <w:r>
        <w:rPr>
          <w:rFonts w:ascii="Times New Roman" w:hAnsi="Times New Roman" w:cs="Times New Roman"/>
          <w:b w:val="0"/>
          <w:i w:val="0"/>
          <w:rtl w:val="0"/>
        </w:rPr>
        <w:t>, Article 655448. https://doi.org/10.3389/fpsyg.2021.655448</w:t>
      </w:r>
    </w:p>
    <w:p>
      <w:pPr>
        <w:bidi w:val="0"/>
        <w:ind w:hanging="709" w:left="709"/>
        <w:jc w:val="left"/>
      </w:pPr>
      <w:r>
        <w:rPr>
          <w:rFonts w:ascii="Times New Roman" w:hAnsi="Times New Roman" w:cs="Times New Roman"/>
          <w:b w:val="0"/>
          <w:i w:val="0"/>
          <w:rtl w:val="0"/>
        </w:rPr>
        <w:t>The Jerusalem Post. (2026, July 12). Clashes erupt in Rahat at MK Sukkot's visit to oversee educational institutions. https://www.jpost.com/israel-news/article-902221</w:t>
      </w:r>
    </w:p>
    <w:p>
      <w:pPr>
        <w:bidi w:val="0"/>
        <w:ind w:hanging="709" w:left="709"/>
        <w:jc w:val="left"/>
      </w:pPr>
      <w:r>
        <w:rPr>
          <w:rFonts w:ascii="Times New Roman" w:hAnsi="Times New Roman" w:cs="Times New Roman"/>
          <w:b w:val="0"/>
          <w:i w:val="0"/>
          <w:rtl w:val="0"/>
        </w:rPr>
        <w:t xml:space="preserve">Lipp, W. E., Smolinski, R., &amp; Kesting, P. (2023). Toward a process model of first offers and anchoring in negotiations. </w:t>
      </w:r>
      <w:r>
        <w:rPr>
          <w:rFonts w:ascii="Times New Roman" w:hAnsi="Times New Roman" w:cs="Times New Roman"/>
          <w:b w:val="0"/>
          <w:i/>
          <w:iCs/>
          <w:rtl w:val="0"/>
        </w:rPr>
        <w:t>Negotiation and Conflict Management Research, 16</w:t>
      </w:r>
      <w:r>
        <w:rPr>
          <w:rFonts w:ascii="Times New Roman" w:hAnsi="Times New Roman" w:cs="Times New Roman"/>
          <w:b w:val="0"/>
          <w:i w:val="0"/>
          <w:rtl w:val="0"/>
        </w:rPr>
        <w:t>(1), 48-79. https://doi.org/10.34891/2022.574</w:t>
      </w:r>
    </w:p>
    <w:p>
      <w:pPr>
        <w:bidi w:val="0"/>
        <w:ind w:hanging="709" w:left="709"/>
        <w:jc w:val="left"/>
      </w:pPr>
      <w:r>
        <w:rPr>
          <w:rFonts w:ascii="Times New Roman" w:hAnsi="Times New Roman" w:cs="Times New Roman"/>
          <w:b w:val="0"/>
          <w:i w:val="0"/>
          <w:rtl w:val="0"/>
        </w:rPr>
        <w:t xml:space="preserve">Maaravi, Y., &amp; Levy, A. (2017). When your anchor sinks your boat: Information asymmetry in distributive negotiations and the disadvantage of making the first offer. </w:t>
      </w:r>
      <w:r>
        <w:rPr>
          <w:rFonts w:ascii="Times New Roman" w:hAnsi="Times New Roman" w:cs="Times New Roman"/>
          <w:b w:val="0"/>
          <w:i/>
          <w:iCs/>
          <w:rtl w:val="0"/>
        </w:rPr>
        <w:t>Judgment and Decision Making, 12</w:t>
      </w:r>
      <w:r>
        <w:rPr>
          <w:rFonts w:ascii="Times New Roman" w:hAnsi="Times New Roman" w:cs="Times New Roman"/>
          <w:b w:val="0"/>
          <w:i w:val="0"/>
          <w:rtl w:val="0"/>
        </w:rPr>
        <w:t>(5), 420-429. https://www.sjdm.org/journal/17/17327a/jdm17327a.pdf</w:t>
      </w:r>
    </w:p>
    <w:p>
      <w:pPr>
        <w:bidi w:val="0"/>
        <w:ind w:hanging="709" w:left="709"/>
        <w:jc w:val="left"/>
      </w:pPr>
      <w:r>
        <w:rPr>
          <w:rFonts w:ascii="Times New Roman" w:hAnsi="Times New Roman" w:cs="Times New Roman"/>
          <w:b w:val="0"/>
          <w:i w:val="0"/>
          <w:rtl w:val="0"/>
        </w:rPr>
        <w:t xml:space="preserve">Miller, O. (2014). The negotiation style: A comparative study between the stated and in-practice negotiation style. </w:t>
      </w:r>
      <w:r>
        <w:rPr>
          <w:rFonts w:ascii="Times New Roman" w:hAnsi="Times New Roman" w:cs="Times New Roman"/>
          <w:b w:val="0"/>
          <w:i/>
          <w:iCs/>
          <w:rtl w:val="0"/>
        </w:rPr>
        <w:t>Procedia - Social and Behavioral Sciences, 124</w:t>
      </w:r>
      <w:r>
        <w:rPr>
          <w:rFonts w:ascii="Times New Roman" w:hAnsi="Times New Roman" w:cs="Times New Roman"/>
          <w:b w:val="0"/>
          <w:i w:val="0"/>
          <w:rtl w:val="0"/>
        </w:rPr>
        <w:t>, 200-209.</w:t>
      </w:r>
    </w:p>
    <w:p>
      <w:pPr>
        <w:bidi w:val="0"/>
        <w:ind w:hanging="709" w:left="709"/>
        <w:jc w:val="left"/>
      </w:pPr>
      <w:r>
        <w:rPr>
          <w:rFonts w:ascii="Times New Roman" w:hAnsi="Times New Roman" w:cs="Times New Roman"/>
          <w:b w:val="0"/>
          <w:i w:val="0"/>
          <w:rtl w:val="0"/>
        </w:rPr>
        <w:t xml:space="preserve">Yamini, S., Fousiani, K., Dabiriyan Tehrani, H., &amp; Wisse, B. (2025). Culture and conflict management strategy: The mediating role of instrumental concerns. </w:t>
      </w:r>
      <w:r>
        <w:rPr>
          <w:rFonts w:ascii="Times New Roman" w:hAnsi="Times New Roman" w:cs="Times New Roman"/>
          <w:b w:val="0"/>
          <w:i/>
          <w:iCs/>
          <w:rtl w:val="0"/>
        </w:rPr>
        <w:t>Journal of Cross-Cultural Psychology, 56</w:t>
      </w:r>
      <w:r>
        <w:rPr>
          <w:rFonts w:ascii="Times New Roman" w:hAnsi="Times New Roman" w:cs="Times New Roman"/>
          <w:b w:val="0"/>
          <w:i w:val="0"/>
          <w:rtl w:val="0"/>
        </w:rPr>
        <w:t>(3), 281-305. https://doi.org/10.1177/00220221241312414</w:t>
      </w:r>
    </w:p>
    <w:p>
      <w:pPr>
        <w:bidi w:val="0"/>
        <w:ind w:hanging="709" w:left="709"/>
        <w:jc w:val="left"/>
      </w:pPr>
      <w:r>
        <w:rPr>
          <w:rFonts w:ascii="Times New Roman" w:hAnsi="Times New Roman" w:cs="Times New Roman"/>
          <w:b w:val="0"/>
          <w:i w:val="0"/>
          <w:rtl w:val="0"/>
        </w:rPr>
        <w:t xml:space="preserve">Yeung, D. Y., &amp; Ho, A. K.-K. (2020). Focus on opportunities or limitations? Their effects on older workers' conflict management. </w:t>
      </w:r>
      <w:r>
        <w:rPr>
          <w:rFonts w:ascii="Times New Roman" w:hAnsi="Times New Roman" w:cs="Times New Roman"/>
          <w:b w:val="0"/>
          <w:i/>
          <w:iCs/>
          <w:rtl w:val="0"/>
        </w:rPr>
        <w:t>Frontiers in Psychology, 11</w:t>
      </w:r>
      <w:r>
        <w:rPr>
          <w:rFonts w:ascii="Times New Roman" w:hAnsi="Times New Roman" w:cs="Times New Roman"/>
          <w:b w:val="0"/>
          <w:i w:val="0"/>
          <w:rtl w:val="0"/>
        </w:rPr>
        <w:t>, Article 571874. https://doi.org/10.3389/fpsyg.2020.571874</w:t>
      </w:r>
    </w:p>
    <w:p>
      <w:pPr>
        <w:bidi w:val="0"/>
        <w:ind w:hanging="709" w:left="709"/>
        <w:jc w:val="left"/>
      </w:pPr>
      <w:r>
        <w:rPr>
          <w:rFonts w:ascii="Times New Roman" w:hAnsi="Times New Roman" w:cs="Times New Roman"/>
          <w:b w:val="0"/>
          <w:i w:val="0"/>
          <w:rtl w:val="0"/>
        </w:rPr>
        <w:t xml:space="preserve">Yin, J., Qu, M., Liao, G., Jia, M., &amp; Li, M. (2022). Exploring the relationships between team leader's conflict management styles and team passion: From the emotional perspective. </w:t>
      </w:r>
      <w:r>
        <w:rPr>
          <w:rFonts w:ascii="Times New Roman" w:hAnsi="Times New Roman" w:cs="Times New Roman"/>
          <w:b w:val="0"/>
          <w:i/>
          <w:iCs/>
          <w:rtl w:val="0"/>
        </w:rPr>
        <w:t>Frontiers in Psychology, 13</w:t>
      </w:r>
      <w:r>
        <w:rPr>
          <w:rFonts w:ascii="Times New Roman" w:hAnsi="Times New Roman" w:cs="Times New Roman"/>
          <w:b w:val="0"/>
          <w:i w:val="0"/>
          <w:rtl w:val="0"/>
        </w:rPr>
        <w:t>, Article 921300. https://doi.org/10.3389/fpsyg.2022.921300</w:t>
      </w:r>
    </w:p>
    <w:p>
      <w:r>
        <w:br w:type="page"/>
      </w:r>
    </w:p>
    <w:p>
      <w:pPr>
        <w:pStyle w:val="Heading1"/>
      </w:pPr>
      <w:r>
        <w:t>נספחים</w:t>
      </w:r>
    </w:p>
    <w:p>
      <w:pPr>
        <w:pStyle w:val="Heading2"/>
      </w:pPr>
      <w:r>
        <w:t>נספח א: מדריך הראיון</w:t>
      </w:r>
    </w:p>
    <w:p>
      <w:pPr>
        <w:pStyle w:val="ListBullet"/>
      </w:pPr>
      <w:r>
        <w:rPr>
          <w:b w:val="0"/>
          <w:i w:val="0"/>
        </w:rPr>
        <w:t>ספר/י על תפקידך בבית הספר, על הוותק שלך ועל תחומי האחריות שלך.</w:t>
      </w:r>
    </w:p>
    <w:p>
      <w:pPr>
        <w:pStyle w:val="ListBullet"/>
      </w:pPr>
      <w:r>
        <w:rPr>
          <w:b w:val="0"/>
          <w:i w:val="0"/>
        </w:rPr>
        <w:t>מול אילו גורמים את/ה מנהל/ת משא ומתן באופן קבוע (הורים, ועד הורים, מורים, העירייה, הפיקוח, ספקים)?</w:t>
      </w:r>
    </w:p>
    <w:p>
      <w:pPr>
        <w:pStyle w:val="ListBullet"/>
      </w:pPr>
      <w:r>
        <w:rPr>
          <w:b w:val="0"/>
          <w:i w:val="0"/>
        </w:rPr>
        <w:t>תאר/י משא ומתן משמעותי מהשנתיים האחרונות: מי היה הצד השני, מה דרשתם ומה דרש הוא, ולמה?</w:t>
      </w:r>
    </w:p>
    <w:p>
      <w:pPr>
        <w:pStyle w:val="ListBullet"/>
      </w:pPr>
      <w:r>
        <w:rPr>
          <w:b w:val="0"/>
          <w:i w:val="0"/>
        </w:rPr>
        <w:t>מה הייתם עושים אם לא הייתם מגיעים להסכם, ומה היה עושה הצד השני? מה היה הקו האדום של כל צד?</w:t>
      </w:r>
    </w:p>
    <w:p>
      <w:pPr>
        <w:pStyle w:val="ListBullet"/>
      </w:pPr>
      <w:r>
        <w:rPr>
          <w:b w:val="0"/>
          <w:i w:val="0"/>
        </w:rPr>
        <w:t>איך זה נגמר, ומה היית עושה אחרת?</w:t>
      </w:r>
    </w:p>
    <w:p>
      <w:pPr>
        <w:pStyle w:val="ListBullet"/>
      </w:pPr>
      <w:r>
        <w:rPr>
          <w:b w:val="0"/>
          <w:i w:val="0"/>
        </w:rPr>
        <w:t>מה חשוב בבית הספר הזה, ואיך זה משפיע על מה שמותר ואסור במשא ומתן עם הורים ומורים?</w:t>
      </w:r>
    </w:p>
    <w:p>
      <w:pPr>
        <w:pStyle w:val="ListBullet"/>
      </w:pPr>
      <w:r>
        <w:rPr>
          <w:b w:val="0"/>
          <w:i w:val="0"/>
        </w:rPr>
        <w:t>איך המלחמה או המחסור במורים שינו את הדרך שבה אתם מנהלים משא ומתן?</w:t>
      </w:r>
    </w:p>
    <w:p>
      <w:pPr>
        <w:pStyle w:val="Heading2"/>
      </w:pPr>
      <w:r>
        <w:t>נספח ב: תמלול ראיון 1</w:t>
      </w:r>
    </w:p>
    <w:p>
      <w:r>
        <w:rPr>
          <w:b w:val="0"/>
          <w:i w:val="0"/>
          <w:highlight w:val="yellow"/>
        </w:rPr>
        <w:t>[שם המרואיין/ת, תפקיד, טלפון, תאריך, תמלול.]</w:t>
      </w:r>
    </w:p>
    <w:p>
      <w:pPr>
        <w:pStyle w:val="Heading2"/>
      </w:pPr>
      <w:r>
        <w:t>נספח ג: תמלול ראיון 2</w:t>
      </w:r>
    </w:p>
    <w:p>
      <w:r>
        <w:rPr>
          <w:b w:val="0"/>
          <w:i w:val="0"/>
          <w:highlight w:val="yellow"/>
        </w:rPr>
        <w:t>[שם המרואיין/ת, תפקיד, טלפון, תאריך, תמלול.]</w:t>
      </w:r>
    </w:p>
    <w:p>
      <w:pPr>
        <w:pStyle w:val="Heading2"/>
      </w:pPr>
      <w:r>
        <w:t>נספח ד: תמלול ראיון 3</w:t>
      </w:r>
    </w:p>
    <w:p>
      <w:r>
        <w:rPr>
          <w:b w:val="0"/>
          <w:i w:val="0"/>
          <w:highlight w:val="yellow"/>
        </w:rPr>
        <w:t>[שם המרואיין/ת, תפקיד, טלפון, תאריך, תמלול.]</w:t>
      </w:r>
    </w:p>
    <w:sectPr w:rsidR="00FC693F" w:rsidRPr="0006063C" w:rsidSect="00034616">
      <w:footerReference w:type="default" r:id="rId9"/>
      <w:pgSz w:w="11906" w:h="16838"/>
      <w:pgMar w:top="1417" w:right="1417" w:bottom="1417" w:left="1417" w:header="720" w:footer="720" w:gutter="0"/>
      <w:cols w:space="720"/>
      <w:docGrid w:linePitch="360"/>
      <w:titlePg/>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bidi/>
    </w:pPr>
    <w:rPr>
      <w:rFonts w:ascii="David" w:hAnsi="David" w:cs="David" w:eastAsia="David"/>
      <w:b w:val="0"/>
      <w:sz w:val="24"/>
      <w:szCs w:val="24"/>
      <w:rt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right"/>
      <w:outlineLvl w:val="0"/>
      <w:bidi/>
    </w:pPr>
    <w:rPr>
      <w:rFonts w:asciiTheme="majorHAnsi" w:eastAsiaTheme="majorEastAsia" w:hAnsiTheme="majorHAnsi" w:cstheme="majorBidi" w:ascii="David" w:hAnsi="David" w:cs="David" w:eastAsia="David"/>
      <w:b/>
      <w:bCs/>
      <w:i w:val="0"/>
      <w:color w:val="000000"/>
      <w:sz w:val="28"/>
      <w:szCs w:val="28"/>
      <w:szCs w:val="28"/>
      <w:bCs/>
      <w:rtl/>
    </w:rPr>
  </w:style>
  <w:style w:type="paragraph" w:styleId="Heading2">
    <w:name w:val="heading 2"/>
    <w:basedOn w:val="Normal"/>
    <w:next w:val="Normal"/>
    <w:link w:val="Heading2Char"/>
    <w:uiPriority w:val="9"/>
    <w:unhideWhenUsed/>
    <w:qFormat/>
    <w:rsid w:val="00FC693F"/>
    <w:pPr>
      <w:keepNext/>
      <w:keepLines/>
      <w:spacing w:before="160" w:after="120" w:line="360" w:lineRule="auto"/>
      <w:jc w:val="right"/>
      <w:outlineLvl w:val="1"/>
      <w:bidi/>
    </w:pPr>
    <w:rPr>
      <w:rFonts w:asciiTheme="majorHAnsi" w:eastAsiaTheme="majorEastAsia" w:hAnsiTheme="majorHAnsi" w:cstheme="majorBidi" w:ascii="David" w:hAnsi="David" w:cs="David" w:eastAsia="David"/>
      <w:b/>
      <w:bCs/>
      <w:i w:val="0"/>
      <w:color w:val="000000"/>
      <w:sz w:val="24"/>
      <w:szCs w:val="26"/>
      <w:szCs w:val="24"/>
      <w:bCs/>
      <w:rtl/>
    </w:rPr>
  </w:style>
  <w:style w:type="paragraph" w:styleId="Heading3">
    <w:name w:val="heading 3"/>
    <w:basedOn w:val="Normal"/>
    <w:next w:val="Normal"/>
    <w:link w:val="Heading3Char"/>
    <w:uiPriority w:val="9"/>
    <w:unhideWhenUsed/>
    <w:qFormat/>
    <w:rsid w:val="00FC693F"/>
    <w:pPr>
      <w:keepNext/>
      <w:keepLines/>
      <w:spacing w:before="160" w:after="120" w:line="360" w:lineRule="auto"/>
      <w:jc w:val="right"/>
      <w:outlineLvl w:val="2"/>
      <w:bidi/>
    </w:pPr>
    <w:rPr>
      <w:rFonts w:asciiTheme="majorHAnsi" w:eastAsiaTheme="majorEastAsia" w:hAnsiTheme="majorHAnsi" w:cstheme="majorBidi" w:ascii="David" w:hAnsi="David" w:cs="David" w:eastAsia="David"/>
      <w:b/>
      <w:bCs/>
      <w:i w:val="0"/>
      <w:color w:val="000000"/>
      <w:sz w:val="24"/>
      <w:szCs w:val="24"/>
      <w:bCs/>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bidi/>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