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0" w:line="480"/>
        <w:jc w:val="center"/>
      </w:pPr>
      <w:r>
        <w:rPr>
          <w:rFonts w:ascii="Times New Roman" w:cs="Simplified Arabic" w:eastAsia="Times New Roman" w:hAnsi="Times New Roman"/>
          <w:b/>
          <w:bCs/>
          <w:sz w:val="30"/>
          <w:szCs w:val="34"/>
          <w:rtl/>
          <w:lang w:val="en-US" w:bidi="ar-SA"/>
        </w:rPr>
        <w:t xml:space="preserve">[اسم الكلية / الجامعة]</w:t>
      </w:r>
    </w:p>
    <w:p>
      <w:pPr>
        <w:bidi/>
        <w:spacing w:after="200" w:before="0" w:line="480"/>
        <w:jc w:val="center"/>
      </w:pPr>
      <w:r>
        <w:rPr>
          <w:rFonts w:ascii="Times New Roman" w:cs="Simplified Arabic" w:eastAsia="Times New Roman" w:hAnsi="Times New Roman"/>
          <w:b w:val="false"/>
          <w:sz w:val="26"/>
          <w:szCs w:val="30"/>
          <w:rtl/>
          <w:lang w:val="en-US" w:bidi="ar-SA"/>
        </w:rPr>
        <w:t xml:space="preserve">[اسم البرنامج / القسم]</w:t>
      </w:r>
    </w:p>
    <w:p>
      <w:pPr>
        <w:bidi/>
        <w:spacing w:after="200" w:before="0" w:line="480"/>
        <w:jc w:val="center"/>
      </w:pPr>
      <w:r>
        <w:rPr>
          <w:rFonts w:ascii="Times New Roman" w:cs="Simplified Arabic" w:eastAsia="Times New Roman" w:hAnsi="Times New Roman"/>
          <w:b w:val="false"/>
          <w:sz w:val="26"/>
          <w:szCs w:val="30"/>
          <w:rtl/>
          <w:lang w:val="en-US" w:bidi="ar-SA"/>
        </w:rPr>
        <w:t xml:space="preserve">[اسم المساق ورقمه]</w:t>
      </w:r>
    </w:p>
    <w:p>
      <w:pPr>
        <w:bidi/>
        <w:spacing w:after="200" w:before="0" w:line="480"/>
        <w:jc w:val="center"/>
      </w:pPr>
      <w:r>
        <w:rPr>
          <w:rFonts w:ascii="Times New Roman" w:cs="Simplified Arabic" w:eastAsia="Times New Roman" w:hAnsi="Times New Roman"/>
          <w:b w:val="false"/>
          <w:sz w:val="26"/>
          <w:szCs w:val="30"/>
          <w:rtl/>
          <w:lang w:val="en-US" w:bidi="ar-SA"/>
        </w:rPr>
        <w:t xml:space="preserve">[اسم المحاضر/ة]</w:t>
      </w:r>
    </w:p>
    <w:p>
      <w:pPr>
        <w:bidi/>
        <w:spacing w:after="600" w:before="0" w:line="480"/>
        <w:jc w:val="center"/>
      </w:pPr>
      <w:r>
        <w:rPr>
          <w:rFonts w:ascii="Times New Roman" w:cs="Simplified Arabic" w:eastAsia="Times New Roman" w:hAnsi="Times New Roman"/>
          <w:b w:val="false"/>
          <w:sz w:val="24"/>
          <w:szCs w:val="28"/>
          <w:rtl/>
          <w:lang w:val="en-US" w:bidi="ar-SA"/>
        </w:rPr>
        <w:t xml:space="preserve"> </w:t>
      </w:r>
    </w:p>
    <w:p>
      <w:pPr>
        <w:bidi/>
        <w:spacing w:after="400" w:before="400" w:line="480"/>
        <w:jc w:val="center"/>
      </w:pPr>
      <w:r>
        <w:rPr>
          <w:rFonts w:ascii="Times New Roman" w:cs="Simplified Arabic" w:eastAsia="Times New Roman" w:hAnsi="Times New Roman"/>
          <w:b/>
          <w:bCs/>
          <w:sz w:val="36"/>
          <w:szCs w:val="40"/>
          <w:rtl/>
          <w:lang w:val="en-US" w:bidi="ar-SA"/>
        </w:rPr>
        <w:t xml:space="preserve">أثر توظيف الألعاب الحركية في تدريس الرياضيات على الفهم والتحصيل والدافعية لدى طلاب المرحلة الابتدائية من وجهة نظر المعلمات</w:t>
      </w:r>
    </w:p>
    <w:p>
      <w:pPr>
        <w:bidi/>
        <w:spacing w:after="200" w:before="0" w:line="480"/>
        <w:jc w:val="center"/>
      </w:pPr>
      <w:r>
        <w:rPr>
          <w:rFonts w:ascii="Times New Roman" w:cs="Simplified Arabic" w:eastAsia="Times New Roman" w:hAnsi="Times New Roman"/>
          <w:b w:val="false"/>
          <w:sz w:val="26"/>
          <w:szCs w:val="30"/>
          <w:rtl/>
          <w:lang w:val="en-US" w:bidi="ar-SA"/>
        </w:rPr>
        <w:t xml:space="preserve">بحث سمينار</w:t>
      </w:r>
    </w:p>
    <w:p>
      <w:pPr>
        <w:bidi/>
        <w:spacing w:after="600" w:before="0" w:line="480"/>
        <w:jc w:val="center"/>
      </w:pPr>
      <w:r>
        <w:rPr>
          <w:rFonts w:ascii="Times New Roman" w:cs="Simplified Arabic" w:eastAsia="Times New Roman" w:hAnsi="Times New Roman"/>
          <w:b w:val="false"/>
          <w:sz w:val="24"/>
          <w:szCs w:val="28"/>
          <w:rtl/>
          <w:lang w:val="en-US" w:bidi="ar-SA"/>
        </w:rPr>
        <w:t xml:space="preserve"> </w:t>
      </w:r>
    </w:p>
    <w:p>
      <w:pPr>
        <w:bidi/>
        <w:spacing w:after="200" w:before="0" w:line="480"/>
        <w:jc w:val="center"/>
      </w:pPr>
      <w:r>
        <w:rPr>
          <w:rFonts w:ascii="Times New Roman" w:cs="Simplified Arabic" w:eastAsia="Times New Roman" w:hAnsi="Times New Roman"/>
          <w:b w:val="false"/>
          <w:sz w:val="26"/>
          <w:szCs w:val="30"/>
          <w:rtl/>
          <w:lang w:val="en-US" w:bidi="ar-SA"/>
        </w:rPr>
        <w:t xml:space="preserve">إعداد الطالبة: [الاسم الكامل]</w:t>
      </w:r>
    </w:p>
    <w:p>
      <w:pPr>
        <w:bidi/>
        <w:spacing w:after="200" w:before="0" w:line="480"/>
        <w:jc w:val="center"/>
      </w:pPr>
      <w:r>
        <w:rPr>
          <w:rFonts w:ascii="Times New Roman" w:cs="Simplified Arabic" w:eastAsia="Times New Roman" w:hAnsi="Times New Roman"/>
          <w:b w:val="false"/>
          <w:sz w:val="26"/>
          <w:szCs w:val="30"/>
          <w:rtl/>
          <w:lang w:val="en-US" w:bidi="ar-SA"/>
        </w:rPr>
        <w:t xml:space="preserve">رقم الهوية: [الرقم]</w:t>
      </w:r>
    </w:p>
    <w:p>
      <w:pPr>
        <w:bidi/>
        <w:spacing w:after="600" w:before="0" w:line="480"/>
        <w:jc w:val="center"/>
      </w:pPr>
      <w:r>
        <w:rPr>
          <w:rFonts w:ascii="Times New Roman" w:cs="Simplified Arabic" w:eastAsia="Times New Roman" w:hAnsi="Times New Roman"/>
          <w:b w:val="false"/>
          <w:sz w:val="24"/>
          <w:szCs w:val="28"/>
          <w:rtl/>
          <w:lang w:val="en-US" w:bidi="ar-SA"/>
        </w:rPr>
        <w:t xml:space="preserve"> </w:t>
      </w:r>
    </w:p>
    <w:p>
      <w:pPr>
        <w:bidi/>
        <w:spacing w:after="200" w:before="0" w:line="480"/>
        <w:jc w:val="center"/>
      </w:pPr>
      <w:r>
        <w:rPr>
          <w:rFonts w:ascii="Times New Roman" w:cs="Simplified Arabic" w:eastAsia="Times New Roman" w:hAnsi="Times New Roman"/>
          <w:b w:val="false"/>
          <w:sz w:val="26"/>
          <w:szCs w:val="30"/>
          <w:rtl/>
          <w:lang w:val="en-US" w:bidi="ar-SA"/>
        </w:rPr>
        <w:t xml:space="preserve">التاريخ: [التاريخ العبري] / [التاريخ الميلادي]</w:t>
      </w:r>
    </w:p>
    <w:p>
      <w:pPr>
        <w:sectPr>
          <w:pgSz w:w="11906" w:h="16838" w:orient="portrait"/>
          <w:pgMar w:top="1418" w:right="1418" w:bottom="1418" w:left="1418" w:header="708" w:footer="708" w:gutter="0"/>
          <w:pgNumType/>
          <w:titlePg/>
          <w:docGrid w:linePitch="360"/>
        </w:sectPr>
      </w:pPr>
    </w:p>
    <w:p>
      <w:pPr>
        <w:bidi/>
        <w:spacing w:after="240" w:before="0" w:line="480"/>
        <w:jc w:val="center"/>
      </w:pPr>
      <w:r>
        <w:rPr>
          <w:rFonts w:ascii="Times New Roman" w:cs="Simplified Arabic" w:eastAsia="Times New Roman" w:hAnsi="Times New Roman"/>
          <w:b/>
          <w:bCs/>
          <w:sz w:val="36"/>
          <w:szCs w:val="40"/>
          <w:rtl/>
          <w:lang w:val="en-US" w:bidi="ar-SA"/>
        </w:rPr>
        <w:t xml:space="preserve">فهرس المحتويات</w:t>
      </w:r>
    </w:p>
    <w:sdt>
      <w:sdtPr>
        <w:alias w:val="فهرس المحتويات"/>
      </w:sdtPr>
      <w:sdtContent>
        <w:p>
          <w:r>
            <w:fldChar w:fldCharType="begin" w:dirty="true"/>
            <w:instrText xml:space="preserve">TOC \h \o "1-3"</w:instrText>
            <w:fldChar w:fldCharType="separate"/>
          </w:r>
        </w:p>
        <w:p>
          <w:r>
            <w:fldChar w:fldCharType="end"/>
          </w:r>
        </w:p>
      </w:sdtContent>
    </w:sdt>
    <w:p>
      <w:r>
        <w:br w:type="page"/>
      </w:r>
    </w:p>
    <w:p>
      <w:pPr>
        <w:pStyle w:val="Heading1"/>
        <w:keepNext/>
        <w:bidi/>
        <w:spacing w:after="120" w:before="240" w:line="480"/>
        <w:jc w:val="center"/>
      </w:pPr>
      <w:r>
        <w:rPr>
          <w:rFonts w:ascii="Times New Roman" w:cs="Simplified Arabic" w:eastAsia="Times New Roman" w:hAnsi="Times New Roman"/>
          <w:b/>
          <w:bCs/>
          <w:sz w:val="36"/>
          <w:szCs w:val="40"/>
          <w:rtl/>
          <w:lang w:val="en-US" w:bidi="ar-SA"/>
        </w:rPr>
        <w:t xml:space="preserve">الملخص</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هدف هذا البحث إلى الكشف عن أثر توظيف الألعاب الحركية في تدريس الرياضيات على فهم طلاب المرحلة الابتدائية وتحصيلهم ودافعيتهم، من وجهة نظر معلمات الرياضيات. وانطلق البحث من ثلاثة أسئلة: كيف توظف المعلمات الألعاب الحركية في تعليم المفاهيم الرياضية وما دورها في تبسيطها، وما أثرها في التحصيل، وما أثرها في الدافعية والمشاركة داخل الصف. اعتمد البحث المنهج النوعي، وجمعت البيانات بمقابلات شبه مبنية من خمسة عشر سؤالاً مع ثماني معلمات رياضيات في مدارس ابتدائية في النقب، تراوحت خبرتهن بين ثلاث سنوات واثنتين وعشرين سنة، وحللت البيانات بالتحليل الموضوعي. أظهرت النتائج أن المعلمات يوظفن الألعاب الحركية في المفاهيم التي فيها كمية أو اتجاه أو موقع أو علاقة، كالعد والجمع والطرح والقيمة المكانية والكسور والقياس، ويتجنبنها في الخوارزميات المكتوبة، وأن اللعبة تعمل حين تجسد المفهوم نفسه وتواجه خطأً شائعاً محدداً وتُختم بربط كتابي في الحصة ذاتها. وأفادت المعلمات بارتفاع في نتائج الاختبارات في أسئلة الفهم أكثر من أسئلة المهارة، وبتحول نوع الخطأ من خطأ مفهوم إلى خطأ حساب، وبأن التحسن جاء من الثلثين الأدنى والأوسط للصف، مع بقاء أثر أطول للتعلم. كما وصفن ارتفاعاً في الانتباه والمبادرة وأسئلة المعنى والاستمرار في المحاولة، ومساراً متدرجاً لمشاركة الطلاب الصامتين يبدأ بالجسد وينتهي بالكلام. وخلص البحث إلى أن أثر الألعاب الحركية مشروط بالمعلمة وبتصميم اللعبة وبالجسر نحو الرمز، وأوصى بدليل ألعاب معتمد لكل مرحلة وبإرشاد في السنة الأولى.</w:t>
      </w:r>
    </w:p>
    <w:p>
      <w:pPr>
        <w:bidi/>
        <w:spacing w:after="120" w:before="0" w:line="480"/>
        <w:jc w:val="both"/>
      </w:pPr>
      <w:r>
        <w:rPr>
          <w:rFonts w:ascii="Times New Roman" w:cs="Simplified Arabic" w:eastAsia="Times New Roman" w:hAnsi="Times New Roman"/>
          <w:b/>
          <w:bCs/>
          <w:i w:val="false"/>
          <w:iCs w:val="false"/>
          <w:sz w:val="24"/>
          <w:szCs w:val="28"/>
          <w:rtl/>
          <w:lang w:val="en-US" w:bidi="ar-SA"/>
        </w:rPr>
        <w:t xml:space="preserve">الكلمات المفتاحية:</w:t>
      </w:r>
      <w:r>
        <w:rPr>
          <w:rFonts w:ascii="Times New Roman" w:cs="Simplified Arabic" w:eastAsia="Times New Roman" w:hAnsi="Times New Roman"/>
          <w:b w:val="false"/>
          <w:i w:val="false"/>
          <w:iCs w:val="false"/>
          <w:sz w:val="24"/>
          <w:szCs w:val="28"/>
          <w:rtl/>
          <w:lang w:val="en-US" w:bidi="ar-SA"/>
        </w:rPr>
        <w:t xml:space="preserve"> الألعاب الحركية، تدريس الرياضيات، المرحلة الابتدائية، التحصيل، الدافعية، التعلم المجسد، وجهة نظر المعلمات.</w:t>
      </w:r>
    </w:p>
    <w:p>
      <w:r>
        <w:br w:type="page"/>
      </w:r>
    </w:p>
    <w:p>
      <w:pPr>
        <w:pStyle w:val="Heading1"/>
        <w:keepNext/>
        <w:bidi/>
        <w:spacing w:after="120" w:before="240" w:line="480"/>
        <w:jc w:val="center"/>
      </w:pPr>
      <w:r>
        <w:rPr>
          <w:rFonts w:ascii="Times New Roman" w:cs="Simplified Arabic" w:eastAsia="Times New Roman" w:hAnsi="Times New Roman"/>
          <w:b/>
          <w:bCs/>
          <w:sz w:val="36"/>
          <w:szCs w:val="40"/>
          <w:rtl/>
          <w:lang w:val="en-US" w:bidi="ar-SA"/>
        </w:rPr>
        <w:t xml:space="preserve">قائمة الجداول</w:t>
      </w:r>
    </w:p>
    <w:p>
      <w:pPr>
        <w:pStyle w:val="ListParagraph"/>
        <w:numPr>
          <w:ilvl w:val="0"/>
          <w:numId w:val="2"/>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الجدول (1): خصائص المشاركات في البحث.</w:t>
      </w:r>
    </w:p>
    <w:p>
      <w:pPr>
        <w:pStyle w:val="ListParagraph"/>
        <w:numPr>
          <w:ilvl w:val="0"/>
          <w:numId w:val="2"/>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الجدول (2): محاور دليل المقابلة وأسئلته والغرض من كل سؤال.</w:t>
      </w:r>
    </w:p>
    <w:p>
      <w:pPr>
        <w:pStyle w:val="ListParagraph"/>
        <w:numPr>
          <w:ilvl w:val="0"/>
          <w:numId w:val="2"/>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الجدول (3): الموضوعات الرئيسة والفرعية المستخلصة من تحليل المقابلات.</w:t>
      </w:r>
    </w:p>
    <w:p>
      <w:r>
        <w:br w:type="page"/>
      </w:r>
    </w:p>
    <w:p>
      <w:pPr>
        <w:pStyle w:val="Heading1"/>
        <w:keepNext/>
        <w:bidi/>
        <w:spacing w:after="120" w:before="240" w:line="480"/>
        <w:jc w:val="center"/>
      </w:pPr>
      <w:r>
        <w:rPr>
          <w:rFonts w:ascii="Times New Roman" w:cs="Simplified Arabic" w:eastAsia="Times New Roman" w:hAnsi="Times New Roman"/>
          <w:b/>
          <w:bCs/>
          <w:sz w:val="36"/>
          <w:szCs w:val="40"/>
          <w:rtl/>
          <w:lang w:val="en-US" w:bidi="ar-SA"/>
        </w:rPr>
        <w:t xml:space="preserve">المقدمة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في كل صف من صفوف المرحلة الابتدائية طفل يجلس في الخلف ولا يرفع يده في حصة الرياضيات. بعض هؤلاء الأطفال لا يفهمون، وبعضهم يفهمون بطريقة لا يسمح بها الكرسي. الرياضيات في المرحلة الابتدائية هي أول لقاء منظم للطفل مع الرموز المجردة، وهي في الوقت نفسه المادة التي يتشكل فيها، مبكراً، الشعور بأن "الرياضيات ليست لي". ومنذ عقود تشير النتائج في التقييمات الدولية إلى فجوة بين ما يُتوقع من طلاب هذه المرحلة وما يحققونه، وإلى أن جزءاً من الفجوة يعود إلى تدريس يقدم الرياضيات كإجراءات تُحفظ لا كمعانٍ تُبنى.</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تنطلق هذه الدراسة من فكرة قديمة وحديثة معاً. قديمة لأن بياجيه (1952) بيّن أن المعرفة تُبنى من الفعل، وأن طفل المرحلة الابتدائية يفكر تفكيراً منطقياً حين يتعامل مع أشياء محسوسة وخبرات مباشرة. وحديثة لأن بحوث المعرفة المجسدة في العقدين الأخيرين أعادت الجسد إلى مركز التعلم، وبيّنت أن المفاهيم الرياضية كالعدد والقياس والجزء من الكل تحمل أصولاً حسية حركية يمكن أن يستثمرها التدريس (Abrahamson &amp; Lindgren, 2014). الألعاب الحركية تقف بين الفكرتين: هي أنشطة منظمة ذات قواعد وهدف تعليمي، تكون فيها الحركة الجسدية وسيط التعلم نفسه لا استراحة تسبقه.</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تقصد الباحثة بالألعاب الحركية في هذه الدراسة الأنشطة التعليمية التي يستدعي فيها المفهوم الرياضي حركة جسدية كبرى من الطالب، كالقفز على خط أعداد، أو الوقوف في دوائر تمثل القيمة المكانية، أو تشكيل كسر بأجساد مجموعة من الطلاب، على أن تكون الحركة جزءاً من بنية النشاط الرياضي. أما تبسيط المفهوم فيُقصد به تقديمه في صورة محسوسة تمهد للانتقال إلى صورته الرمزية، وهو التدرج الذي وصفه برونر من التمثيل الفعلي إلى الأيقوني إلى الرمزي (Bruner, 1966). والتحصيل هو ما يكتسبه الطالب من معارف ومهارات رياضية ويمكن قياسه بأدوات التقويم الصفية. والدافعية هي الحالة الداخلية التي توجه سلوك الطالب نحو التعلم وتبقيه فيه، وتظهر في الصف كانتباه ومبادرة وأسئلة واستمرار في المحاولة.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اختارت الباحثة هذا الموضوع لثلاثة أسباب. الأول ميداني: في المدارس الابتدائية في النقب، حيث الصفوف مكتظة والوسائل التعليمية شحيحة، تلجأ معلمات كثيرات إلى جسد الطالب بوصفه الوسيلة التعليمية الوحيدة المتوفرة دائماً، ولا يوجد وصف منظم لما يفعلنه. الثاني بحثي: معظم الدراسات في مجال التعلم بالألعاب في الرياضيات تناولت الألعاب الرقمية، وأفردت لها مراجعات منهجية واسعة (Dan et al., 2024; Hussein et al., 2022)، بينما تشير دراسات حديثة إلى أن معلمي المرحلة الابتدائية يفضلون في الواقع الألعاب غير الرقمية (Debrenti, 2024). والثالث تطبيقي: المعلمات اللواتي يوظفن هذه الألعاب يبنين كل شيء بأنفسهن، ولا يوجد دليل معتمد يعتمدن عليه، ولا وصف للشروط التي تجعل اللعبة تعلّم بدل أن تشتت.</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يهدف البحث إلى التعرف على كيفية توظيف معلمات المرحلة الابتدائية للألعاب الحركية في تعليم المفاهيم الرياضية وتصوراتهن حول دورها في تبسيط هذه المفاهيم، والكشف عن تصوراتهن حول أثرها في التحصيل الدراسي، والكشف عن تصوراتهن حول أثرها في دافعية الطلاب ومشاركتهم داخل الصف. وتكمن أهمية البحث في أنه يصف الظاهرة من داخل الصف ومن خلال من يمارسنها يومياً، وفي أنه يتناول الصفوف العليا من المرحلة الابتدائية أيضاً، وهي صفوف تكاد تغيب عن أدبيات الألعاب الحركية، وفي أنه يُجرى في سياق مدارس قليلة الموارد لم يُبحث فيه هذا الموضوع من قبل.</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تتألف بقية العمل من الفصول الآتية: الإطار النظري والدراسات السابقة، ثم أسئلة البحث، فالمنهجية، فالنتائج، فالمناقشة والاستنتاجات، ثم قائمة المراجع والملاحق.</w:t>
      </w:r>
    </w:p>
    <w:p>
      <w:r>
        <w:br w:type="page"/>
      </w:r>
    </w:p>
    <w:p>
      <w:pPr>
        <w:pStyle w:val="Heading1"/>
        <w:keepNext/>
        <w:bidi/>
        <w:spacing w:after="120" w:before="240" w:line="480"/>
        <w:jc w:val="center"/>
      </w:pPr>
      <w:r>
        <w:rPr>
          <w:rFonts w:ascii="Times New Roman" w:cs="Simplified Arabic" w:eastAsia="Times New Roman" w:hAnsi="Times New Roman"/>
          <w:b/>
          <w:bCs/>
          <w:sz w:val="36"/>
          <w:szCs w:val="40"/>
          <w:rtl/>
          <w:lang w:val="en-US" w:bidi="ar-SA"/>
        </w:rPr>
        <w:t xml:space="preserve">الإطار النظري والدراسات السابقة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ينظم هذا الفصل الأدبيات في أربعة محاور تنبثق من عنوان البحث وأسئلته. يعرض المحور الأول الأسس النظرية للتعلم بالحركة، ويتناول الثاني علاقة الألعاب الحركية بتبسيط المفاهيم الرياضية، ويجمع الثالث ما توصلت إليه البحوث التجريبية عن أثرها في التحصيل، ويتناول الرابع أثرها في الدافعية والمشاركة. ويُختم الفصل بتعقيب يحدد موقع البحث الحالي.</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الأسس النظرية للتعلم بالحركة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تعود جذور الفكرة إلى نظرية النمو المعرفي، التي ترى أن الطفل بين السابعة والحادية عشرة يقع في مرحلة العمليات المادية، حيث يستطيع التفكير المنطقي عندما يتعامل مع أشياء محسوسة وخبرات مباشرة، بينما يبقى التفكير المجرد الصرف خارج متناوله (Piaget, 1952). وقد ترجم برونر هذه الفكرة إلى تدرج تعليمي من ثلاثة تمثيلات: تمثيل فعلي يتعلم فيه الطفل بالفعل والحركة، ثم أيقوني يعتمد على الصور، ثم رمزي يعتمد على اللغة والرموز، وذهب إلى أن المفهوم الذي يُبنى في المستوى الفعلي يمكن نقله إلى المستويين الآخرين بأمان أكبر (Bruner, 1966).</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أضافت نظرية المعرفة المجسدة إلى هذه المرجعية بعداً جديداً. فهي لا تكتفي بالقول إن الحركة تساعد على الفهم، بل تفترض أن المعرفة ذاتها تتشكل من خلال الحواس والحركة والتفاعل مع البيئة الفيزيائية، وأن جزءاً من التفكير المجرد هو إعادة تشغيل داخلية لخبرات حسية حركية سابقة (Wilson, 2002). وفي مجال التعليم، يرى أبراهامسون وليندغرين (2014) أن التصميم التعليمي المجسد يمكّن المتعلم من "فعل" المفهوم بجسده قبل أن "يقوله" بالرموز، ويشترطان أن تكون الحركة المطلوبة مطابقة لبنية المفهوم لا حركة مضافة إليه. هذا الشرط، الذي يمكن تسميته شفافية التصميم، سيتبين لاحقاً أنه يفسر جزءاً كبيراً مما يميز اللعبة الناجحة من الفاشلة في الميدان.</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تميز الأدبيات أيضاً بين نمطين من دمج الحركة في الدرس. النمط الأول هو الاستراحات الحركية التي تُقدم بين الأنشطة الأكاديمية من غير صلة بالمحتوى، والثاني هو التعلم النشط بدنياً الذي تُدمج فيه الحركة بالمحتوى نفسه (Syväoja et al., 2024; Vazou &amp; Skrade, 2017). الألعاب الحركية بالمعنى المقصود هنا تنتمي إلى النمط الثاني، وهو النمط الذي تتوقع له النظرية أثراً معرفياً لا مجرد أثر في اليقظة.</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الألعاب الحركية وتبسيط المفاهيم الرياضية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تقوم فكرة التبسيط على التدرج من المحسوس إلى المجرد، والألعاب الحركية توفر المستوى الأول من هذا التدرج بأوضح صوره. خط الأعداد الذي يُرسم عادة على اللوح يتحول في اللعبة إلى شريط على الأرض يمشي عليه الطالب، فيدرك أن الجمع تقدم والطرح تراجع. تؤكد ديبرينتي (2024) أن الألعاب والأدوات المحسوسة الفاعلة تؤدي دوراً محورياً في تعزيز الفهم الرياضي لأنها تساعد الطالب على بناء تمثيلات متعددة للمفهوم والربط بينها، وأن الألعاب عالية الجودة تمنح المتعلم سيطرة على مسار تعلمه.</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وفي المراجعة المنهجية التي أجراها دان وآخرون (2024) لخمسة وأربعين بحثاً عن التعلم القائم على الألعاب في رياضيات المرحلة الابتدائية بين عامي 2006 و2023، تبين أن موضوعات الأعداد والعمليات الحسابية كانت الأكثر تناولاً، وأن الألعاب تدعم الانخراط النشط والوضوح المفاهيمي. وعلى الرغم من أن المراجعة تناولت الألعاب الرقمية، فإن آلية التبسيط التي تصفها، أي تحويل المفهوم إلى موقف تفاعلي ذي تغذية راجعة فورية، هي الآلية نفسها التي تعمل بها الألعاب الحركية، مع إضافة بعد الحركة الذي تفتقر إليه الشاشة.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لا يخلو الأمر من تحفظ. فقد حذر أبراهامسون وليندغرين (2014) من أن الحركة تتحول إلى عبء معرفي إذا كانت اللعبة معقدة القواعد أو كانت الحركة المطلوبة لا تمثل بنية المفهوم، فينصرف انتباه الطفل إلى الأداء الحركي على حساب المحتوى. وأشار حسين وآخرون (2022) في مراجعتهم إلى أن الألعاب استُخدمت في الغالب أداة مساندة للتدريب والممارسة، وأن تعلم محتوى جديد كلياً من خلالها كان نادراً. هذان التحفظان يطرحان سؤالاً سيعود في النتائج: أي المفاهيم تناسبها الحركة وأيها لا تناسبها.</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أثر الألعاب الحركية في التحصيل الدراسي</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الأدلة التجريبية على أثر الحركة في التحصيل الرياضي من أقوى الأدلة في هذا المجال، وإن لم تكن متجانسة. في دراسة دنماركية عشوائية عنقودية شملت 505 أطفال بمتوسط عمر 7.2 سنة، وجدت هافه وآخرون (2018) أن الأطفال الذين تلقوا دروس رياضيات مدمجة بالنشاط البدني لمدة تسعة أشهر حققوا تحسناً في درجات الرياضيات يفوق تحسن المجموعة الضابطة بمقدار 1.2 درجة، وهو فرق دال إحصائياً. وفي دراسة دنماركية أخرى على 165 طفلاً في الصف الأول، قارن بيك وآخرون (2016) بين دروس مدعّمة بالحركات الكبرى كالقفز والانتقال، ودروس مدعّمة بالحركات الدقيقة، ودروس تقليدية، فوجدوا أن مجموعة الحركات الكبرى حققت أكبر تحسن في الأداء الرياضي، لكن الأثر ظهر لدى الطلاب ذوي الأداء العادي أكثر مما ظهر لدى منخفضي الأداء.</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وفي الولايات المتحدة، أجرت فازو وسكرايد (2017) دراسة على 224 طالباً في الصفين الرابع والخامس، قارنت فيها بين دروس دُمج فيها النشاط البدني بمحتوى الرياضيات لثمانية أسابيع ودروس تقليدية، ووجدت أن المجموعة المدمجة تحسن أداؤها في الرياضيات وارتفع شعورها بالكفاءة. وأظهرت مافيليدي وآخرون (2018)، في دراسة على أطفال ما قبل المدرسة، أن دمج النشاط البدني في تعلم المهارات العددية أدى إلى أداء أفضل في القياس الفوري، واستمر التفوق في القياس المؤجل، وهو ما يشير إلى أن التعلم المرتبط بالحركة أكثر رسوخاً في الذاكرة. أما وايت وماكوي (2019) فقد أجرتا بحثاً إجرائياً على طلاب الصف الخامس أثناء وحدة الأزواج المرتبة بدروس قائمة على الألعاب، وأظهرت نتائجهما تحسن تحصيل جميع الطلاب وتحسن اتجاهاتهم نحو الرياضيات، ونشوء ما وصفتاه بعقلية النمو.</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الصورة ليست إيجابية على نحو مطلق. أجرت سيفاويا وآخرون (2024) تجربة فنلندية عشوائية عنقودية استمرت خمسة أشهر على 397 طالباً في الصف الثالث، فلم تجد أثراً دالاً لدروس الرياضيات النشطة بدنياً في الأداء الرياضي، ووجدت أن أثرها في القلق من الرياضيات ومتعة تعلمها اختلف باختلاف المهارات الحركية للأطفال، إذ استفاد ذوو المهارات الحركية العالية وتضرر ذوو المهارات المنخفضة. وعلى مستوى التحليلات البعدية، وجد بيون وجونغ (2018) أثراً إيجابياً إجمالياً معتدلاً للألعاب في تحصيل الرياضيات، ولاحظا أن ألعاب التدريب والممارسة كانت الأكثر شيوعاً في الدراسات التي حللاها. وفي السياق العربي، توصلت الحربي (2026) في دراسة شبه تجريبية على طلاب الصف الثالث الابتدائي إلى فروق دالة بين درجات الطلاب قبل توظيف الألعاب التعليمية وبعده لصالح القياس البعدي.</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يتضح من هذه الدراسات أن أثر الحركة في التحصيل إيجابي في معظمها، لكنه مشروط بعوامل تصميمية وفردية لم تُفسر بعد تفسيراً كافياً. النتيجة غير المتوقعة عند بيك وآخرين (2016) عن منخفضي الأداء، ونتيجة سيفاويا وآخرين (2024) عن ذوي المهارات الحركية المنخفضة، تقولان إن الألعاب الحركية ليست وصفة واحدة تناسب الجميع.</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الألعاب الحركية والدافعية والمشاركة الصفية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تكاد الأدبيات تجمع على أن الأثر الأوضح والأسرع للألعاب في تعليم الرياضيات هو الأثر الدافعي. صنف حسين وآخرون (2022) نتائج ثلاث وأربعين دراسة نُشرت بين 2008 و2019 في ثلاث فئات، اكتساب المعرفة، والمهارات الإدراكية والمعرفية، والتغير الوجداني والدافعي والسلوكي، وخلصوا إلى أن التعلم القائم على الألعاب يُنظر إليه بوصفه أسلوباً واعداً في تعزيز اهتمام الطلاب ودافعيتهم. ورصدت مراجعة دان وآخرين (2024) أن معظم الدراسات في المرحلة الابتدائية قاست مخرجات دافعية ووجدانية إلى جانب المخرجات التحصيلية، وأن النتائج كانت إيجابية في معظمها.</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تفسر نظرية التحديد الذاتي هذا الأثر بأن الدافعية الداخلية تنمو حين تُشبع ثلاث حاجات نفسية أساسية: الحاجة إلى الكفاءة، والحاجة إلى الاستقلالية، والحاجة إلى الانتماء (Deci &amp; Ryan, 2000). اللعبة تعطي الطالب تغذية راجعة فورية بنجاحه، وتتيح له الاختيار والقرار داخل قواعدها، وتجعله يلعب مع زملائه، وقد وجدت فازو وسكرايد (2017) أن إشباع هذه الحاجات كان أعلى في مجموعة الدروس المدمجة بالحركة. وفي الميدان العربي، هدفت دراسة جوابرة ونمر (2024) إلى التعرف على دور الألعاب التربوية في تعليم الرياضيات لطلبة الصف الثالث متدني التحصيل من وجهة نظر معلميهم في مدارس وكالة الغوث في رام الله، وأظهرت أن المعلمين يستخدمون هذه الألعاب بدرجة مرتفعة ويقدرون أهميتها في إثارة دافعية الطلبة متدني التحصيل وتحسين مشاركتهم. تتميز هذه الدراسة بأنها تناولت وجهة نظر المعلم، وهو المنظور نفسه الذي يتبناه البحث الحالي، وإن كانت قد اعتمدت الاستبانة الكمية.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يبقى السؤال المطروح في الأدبيات هو ما إذا كانت الدافعية المرتفعة تترجم بالضرورة إلى تحصيل مرتفع. بينما تشير دراسات وايت وماكوي (2019) وفازو وسكرايد (2017) إلى تلازم الأثرين، تشير دراسة سيفاويا وآخرين (2024) إلى إمكان انفصالهما. هذا التباين يبين أن العلاقة بين اللعب والدافعية والتحصيل تتأثر بجملة عوامل تتصل بتصميم اللعبة وإدارتها وخصائص الطلاب، وهي العوامل التي لا يستطيع البحث التجريبي الكمي وحده أن يصفها من الداخل.</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تعقيب على الأدبيات وموقع البحث الحالي</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تتفق الأدبيات على أن الحركة توفر وسيطاً فعالاً لتعلم الرياضيات في المرحلة الابتدائية، وأن الأثر الدافعي شبه مضمون، وأن الأثر التحصيلي إيجابي في معظم الدراسات لكنه مشروط. يمكن تمييز اتجاهين: اتجاه تجريبي كمي يقيس حجم الأثر (Beck et al., 2016; Have et al., 2018; Syväoja et al., 2024)، واتجاه وصفي يستقصي تصورات المعلمين والطلاب (جوابرة ونمر، 2024; Debrenti, 2024). ثلاث فجوات تبرز من هذا العرض. الأولى أن الاتجاه الكمي يرصد التباين في الأثر ولا يفسره. الثانية أن معظم الدراسات تناولت الصفوف الأولى أو الألعاب الرقمية، وتكاد الألعاب الحركية في الصفوف العليا من المرحلة الابتدائية تغيب. الثالثة أن السياق المحلي، أي المدارس العربية في النقب بصفوفها المكتظة ومواردها الشحيحة، لم يُبحث فيه هذا الموضوع. يأتي البحث الحالي ليسد هذه الفجوات من خلال خبرة معلمات يمارسن الألعاب الحركية يومياً في الصفوف الدنيا والعليا، ويسعى إلى تفسير متى تعمل اللعبة ومتى لا تعمل.</w:t>
      </w:r>
    </w:p>
    <w:p>
      <w:r>
        <w:br w:type="page"/>
      </w:r>
    </w:p>
    <w:p>
      <w:pPr>
        <w:pStyle w:val="Heading1"/>
        <w:keepNext/>
        <w:bidi/>
        <w:spacing w:after="120" w:before="240" w:line="480"/>
        <w:jc w:val="center"/>
      </w:pPr>
      <w:r>
        <w:rPr>
          <w:rFonts w:ascii="Times New Roman" w:cs="Simplified Arabic" w:eastAsia="Times New Roman" w:hAnsi="Times New Roman"/>
          <w:b/>
          <w:bCs/>
          <w:sz w:val="36"/>
          <w:szCs w:val="40"/>
          <w:rtl/>
          <w:lang w:val="en-US" w:bidi="ar-SA"/>
        </w:rPr>
        <w:t xml:space="preserve">أسئلة البحث</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ينطلق البحث من السؤال الرئيس الآتي: ما أثر توظيف الألعاب الحركية في تدريس الرياضيات على الفهم والتحصيل والدافعية لدى طلاب المرحلة الابتدائية من وجهة نظر المعلمات؟</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ويتفرع عنه الأسئلة الفرعية الآتية:</w:t>
      </w:r>
    </w:p>
    <w:p>
      <w:pPr>
        <w:pStyle w:val="ListParagraph"/>
        <w:numPr>
          <w:ilvl w:val="0"/>
          <w:numId w:val="3"/>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كيف توظف معلمات المرحلة الابتدائية الألعاب الحركية في تعليم المفاهيم الرياضية، وما دورها في تبسيط هذه المفاهيم من وجهة نظرهن؟</w:t>
      </w:r>
    </w:p>
    <w:p>
      <w:pPr>
        <w:pStyle w:val="ListParagraph"/>
        <w:numPr>
          <w:ilvl w:val="0"/>
          <w:numId w:val="3"/>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ما أثر الألعاب الحركية في التحصيل الدراسي للطلاب في الرياضيات من وجهة نظر المعلمات؟</w:t>
      </w:r>
    </w:p>
    <w:p>
      <w:pPr>
        <w:pStyle w:val="ListParagraph"/>
        <w:numPr>
          <w:ilvl w:val="0"/>
          <w:numId w:val="3"/>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ما أثر الألعاب الحركية في دافعية الطلاب ومشاركتهم داخل الصف من وجهة نظر المعلمات؟</w:t>
      </w:r>
    </w:p>
    <w:p>
      <w:r>
        <w:br w:type="page"/>
      </w:r>
    </w:p>
    <w:p>
      <w:pPr>
        <w:pStyle w:val="Heading1"/>
        <w:keepNext/>
        <w:bidi/>
        <w:spacing w:after="120" w:before="240" w:line="480"/>
        <w:jc w:val="center"/>
      </w:pPr>
      <w:r>
        <w:rPr>
          <w:rFonts w:ascii="Times New Roman" w:cs="Simplified Arabic" w:eastAsia="Times New Roman" w:hAnsi="Times New Roman"/>
          <w:b/>
          <w:bCs/>
          <w:sz w:val="36"/>
          <w:szCs w:val="40"/>
          <w:rtl/>
          <w:lang w:val="en-US" w:bidi="ar-SA"/>
        </w:rPr>
        <w:t xml:space="preserve">منهجية البحث</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منهج البحث</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اعتمد البحث المنهج النوعي بتصميمه الوصفي التفسيري، لأن أسئلته تسأل عن "كيف" و"لماذا" تعمل الألعاب الحركية في الصف، وهي أسئلة تتطلب الوصول إلى خبرات المعلمات وتفسيراتهن، لا إلى قياس كمي لمتغير محدد. يتيح المنهج النوعي للباحثة الاقتراب من الظاهرة في سياقها الطبيعي، وفهمها من منظور من يعشنها يومياً، والكشف عن أبعاد لم تكن في الحسبان عند تصميم البحث (Creswell, 2013).</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مجتمع البحث والمشاركات فيه</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تكوّن مجتمع البحث من معلمات الرياضيات في المدارس الابتدائية العربية في النقب. واختيرت المشاركات بطريقة العينة القصدية وفق ثلاثة معايير: أن تكون المشاركة قد درّست الرياضيات في المرحلة الابتدائية مدة لا تقل عن ثلاث سنوات، وأن تكون قد وظفت الألعاب الحركية فعلياً في تدريسها خلال العام الدراسي الجاري، وأن تتنوع المشاركات في الصفوف التي يدرّسنها بحيث تُغطى الصفوف الدنيا والعليا معاً. بلغ عدد المشاركات ثماني معلمات من مدارس مختلفة، وتوقفت الباحثة عند هذا العدد بعد أن بلغت البيانات حد التشبع، إذ لم تضف المقابلتان الأخيرتان موضوعات جديدة، وهو ما يتفق مع ما بينه غست وآخرون (2006) من أن معظم الموضوعات في عينة متجانسة نسبياً تظهر في المقابلات الست الأولى. يعرض الجدول (1) خصائص المشاركات، وقد استُبدلت أسماؤهن بأسماء مستعارة، ولم تُذكر أسماء المدارس.</w:t>
      </w:r>
    </w:p>
    <w:p>
      <w:pPr>
        <w:keepNext/>
        <w:bidi/>
        <w:spacing w:after="80" w:before="120" w:line="480"/>
        <w:jc w:val="center"/>
      </w:pPr>
      <w:r>
        <w:rPr>
          <w:rFonts w:ascii="Times New Roman" w:cs="Simplified Arabic" w:eastAsia="Times New Roman" w:hAnsi="Times New Roman"/>
          <w:b/>
          <w:bCs/>
          <w:i w:val="false"/>
          <w:iCs w:val="false"/>
          <w:sz w:val="24"/>
          <w:szCs w:val="28"/>
          <w:rtl/>
          <w:lang w:val="en-US" w:bidi="ar-SA"/>
        </w:rPr>
        <w:t xml:space="preserve">الجدول (1): خصائص المشاركات في البحث</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63"/>
        <w:gridCol w:w="1163"/>
        <w:gridCol w:w="1512"/>
        <w:gridCol w:w="1744"/>
        <w:gridCol w:w="3488"/>
      </w:tblGrid>
      <w:tr>
        <w:trPr>
          <w:cantSplit/>
          <w:tblHeader/>
        </w:trPr>
        <w:tc>
          <w:tcPr>
            <w:tcW w:type="dxa" w:w="1163"/>
            <w:shd w:fill="D9E2F3" w:color="auto" w:val="clear"/>
            <w:tcMar>
              <w:top w:type="dxa" w:w="60"/>
              <w:left w:type="dxa" w:w="80"/>
              <w:bottom w:type="dxa" w:w="60"/>
              <w:right w:type="dxa" w:w="80"/>
            </w:tcMar>
            <w:vAlign w:val="center"/>
          </w:tcPr>
          <w:p>
            <w:pPr>
              <w:bidi/>
              <w:spacing w:after="0" w:line="276"/>
              <w:jc w:val="center"/>
            </w:pPr>
            <w:r>
              <w:rPr>
                <w:rFonts w:ascii="Times New Roman" w:cs="Simplified Arabic" w:eastAsia="Times New Roman" w:hAnsi="Times New Roman"/>
                <w:b/>
                <w:bCs/>
                <w:sz w:val="22"/>
                <w:szCs w:val="24"/>
                <w:rtl/>
                <w:lang w:val="en-US" w:bidi="ar-SA"/>
              </w:rPr>
              <w:t xml:space="preserve">الاسم المستعار</w:t>
            </w:r>
          </w:p>
        </w:tc>
        <w:tc>
          <w:tcPr>
            <w:tcW w:type="dxa" w:w="1163"/>
            <w:shd w:fill="D9E2F3" w:color="auto" w:val="clear"/>
            <w:tcMar>
              <w:top w:type="dxa" w:w="60"/>
              <w:left w:type="dxa" w:w="80"/>
              <w:bottom w:type="dxa" w:w="60"/>
              <w:right w:type="dxa" w:w="80"/>
            </w:tcMar>
            <w:vAlign w:val="center"/>
          </w:tcPr>
          <w:p>
            <w:pPr>
              <w:bidi/>
              <w:spacing w:after="0" w:line="276"/>
              <w:jc w:val="center"/>
            </w:pPr>
            <w:r>
              <w:rPr>
                <w:rFonts w:ascii="Times New Roman" w:cs="Simplified Arabic" w:eastAsia="Times New Roman" w:hAnsi="Times New Roman"/>
                <w:b/>
                <w:bCs/>
                <w:sz w:val="22"/>
                <w:szCs w:val="24"/>
                <w:rtl/>
                <w:lang w:val="en-US" w:bidi="ar-SA"/>
              </w:rPr>
              <w:t xml:space="preserve">الصفوف التي تدرّسها</w:t>
            </w:r>
          </w:p>
        </w:tc>
        <w:tc>
          <w:tcPr>
            <w:tcW w:type="dxa" w:w="1512"/>
            <w:shd w:fill="D9E2F3" w:color="auto" w:val="clear"/>
            <w:tcMar>
              <w:top w:type="dxa" w:w="60"/>
              <w:left w:type="dxa" w:w="80"/>
              <w:bottom w:type="dxa" w:w="60"/>
              <w:right w:type="dxa" w:w="80"/>
            </w:tcMar>
            <w:vAlign w:val="center"/>
          </w:tcPr>
          <w:p>
            <w:pPr>
              <w:bidi/>
              <w:spacing w:after="0" w:line="276"/>
              <w:jc w:val="center"/>
            </w:pPr>
            <w:r>
              <w:rPr>
                <w:rFonts w:ascii="Times New Roman" w:cs="Simplified Arabic" w:eastAsia="Times New Roman" w:hAnsi="Times New Roman"/>
                <w:b/>
                <w:bCs/>
                <w:sz w:val="22"/>
                <w:szCs w:val="24"/>
                <w:rtl/>
                <w:lang w:val="en-US" w:bidi="ar-SA"/>
              </w:rPr>
              <w:t xml:space="preserve">سنوات الخبرة</w:t>
            </w:r>
          </w:p>
        </w:tc>
        <w:tc>
          <w:tcPr>
            <w:tcW w:type="dxa" w:w="1744"/>
            <w:shd w:fill="D9E2F3" w:color="auto" w:val="clear"/>
            <w:tcMar>
              <w:top w:type="dxa" w:w="60"/>
              <w:left w:type="dxa" w:w="80"/>
              <w:bottom w:type="dxa" w:w="60"/>
              <w:right w:type="dxa" w:w="80"/>
            </w:tcMar>
            <w:vAlign w:val="center"/>
          </w:tcPr>
          <w:p>
            <w:pPr>
              <w:bidi/>
              <w:spacing w:after="0" w:line="276"/>
              <w:jc w:val="center"/>
            </w:pPr>
            <w:r>
              <w:rPr>
                <w:rFonts w:ascii="Times New Roman" w:cs="Simplified Arabic" w:eastAsia="Times New Roman" w:hAnsi="Times New Roman"/>
                <w:b/>
                <w:bCs/>
                <w:sz w:val="22"/>
                <w:szCs w:val="24"/>
                <w:rtl/>
                <w:lang w:val="en-US" w:bidi="ar-SA"/>
              </w:rPr>
              <w:t xml:space="preserve">أدوار إضافية</w:t>
            </w:r>
          </w:p>
        </w:tc>
        <w:tc>
          <w:tcPr>
            <w:tcW w:type="dxa" w:w="3488"/>
            <w:shd w:fill="D9E2F3" w:color="auto" w:val="clear"/>
            <w:tcMar>
              <w:top w:type="dxa" w:w="60"/>
              <w:left w:type="dxa" w:w="80"/>
              <w:bottom w:type="dxa" w:w="60"/>
              <w:right w:type="dxa" w:w="80"/>
            </w:tcMar>
            <w:vAlign w:val="center"/>
          </w:tcPr>
          <w:p>
            <w:pPr>
              <w:bidi/>
              <w:spacing w:after="0" w:line="276"/>
              <w:jc w:val="center"/>
            </w:pPr>
            <w:r>
              <w:rPr>
                <w:rFonts w:ascii="Times New Roman" w:cs="Simplified Arabic" w:eastAsia="Times New Roman" w:hAnsi="Times New Roman"/>
                <w:b/>
                <w:bCs/>
                <w:sz w:val="22"/>
                <w:szCs w:val="24"/>
                <w:rtl/>
                <w:lang w:val="en-US" w:bidi="ar-SA"/>
              </w:rPr>
              <w:t xml:space="preserve">سياق المدرسة</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منال</w:t>
            </w:r>
          </w:p>
        </w:tc>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الأول والثاني</w:t>
            </w:r>
          </w:p>
        </w:tc>
        <w:tc>
          <w:tcPr>
            <w:tcW w:type="dxa" w:w="151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14</w:t>
            </w:r>
          </w:p>
        </w:tc>
        <w:tc>
          <w:tcPr>
            <w:tcW w:type="dxa" w:w="1744"/>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لا يوجد</w:t>
            </w:r>
          </w:p>
        </w:tc>
        <w:tc>
          <w:tcPr>
            <w:tcW w:type="dxa" w:w="348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صفوف بأكثر من ثلاثين طالباً، ساحة مشتركة</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رحاب</w:t>
            </w:r>
          </w:p>
        </w:tc>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الرابع إلى السادس</w:t>
            </w:r>
          </w:p>
        </w:tc>
        <w:tc>
          <w:tcPr>
            <w:tcW w:type="dxa" w:w="151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9</w:t>
            </w:r>
          </w:p>
        </w:tc>
        <w:tc>
          <w:tcPr>
            <w:tcW w:type="dxa" w:w="1744"/>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لقب ثانٍ في تعليم الرياضيات</w:t>
            </w:r>
          </w:p>
        </w:tc>
        <w:tc>
          <w:tcPr>
            <w:tcW w:type="dxa" w:w="348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صفوف مكتظة، ممر مشترك</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غدير</w:t>
            </w:r>
          </w:p>
        </w:tc>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الثالث</w:t>
            </w:r>
          </w:p>
        </w:tc>
        <w:tc>
          <w:tcPr>
            <w:tcW w:type="dxa" w:w="151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5</w:t>
            </w:r>
          </w:p>
        </w:tc>
        <w:tc>
          <w:tcPr>
            <w:tcW w:type="dxa" w:w="1744"/>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مربية صف</w:t>
            </w:r>
          </w:p>
        </w:tc>
        <w:tc>
          <w:tcPr>
            <w:tcW w:type="dxa" w:w="348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صف ضيق، ممر مشترك مع صفين</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سهى</w:t>
            </w:r>
          </w:p>
        </w:tc>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الرابع إلى السادس</w:t>
            </w:r>
          </w:p>
        </w:tc>
        <w:tc>
          <w:tcPr>
            <w:tcW w:type="dxa" w:w="151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22</w:t>
            </w:r>
          </w:p>
        </w:tc>
        <w:tc>
          <w:tcPr>
            <w:tcW w:type="dxa" w:w="1744"/>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مركزة مادة الرياضيات، تشرف على تسع معلمات</w:t>
            </w:r>
          </w:p>
        </w:tc>
        <w:tc>
          <w:tcPr>
            <w:tcW w:type="dxa" w:w="348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صفوف بأكثر من ثلاثين طالباً</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أمل</w:t>
            </w:r>
          </w:p>
        </w:tc>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الأول والثاني</w:t>
            </w:r>
          </w:p>
        </w:tc>
        <w:tc>
          <w:tcPr>
            <w:tcW w:type="dxa" w:w="151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11</w:t>
            </w:r>
          </w:p>
        </w:tc>
        <w:tc>
          <w:tcPr>
            <w:tcW w:type="dxa" w:w="1744"/>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معلمة دمج، دبلوم تربية خاصة</w:t>
            </w:r>
          </w:p>
        </w:tc>
        <w:tc>
          <w:tcPr>
            <w:tcW w:type="dxa" w:w="348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صف بثلاثين طفلاً، غرفة دمج صغيرة</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ميسون</w:t>
            </w:r>
          </w:p>
        </w:tc>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الثالث والرابع</w:t>
            </w:r>
          </w:p>
        </w:tc>
        <w:tc>
          <w:tcPr>
            <w:tcW w:type="dxa" w:w="151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7</w:t>
            </w:r>
          </w:p>
        </w:tc>
        <w:tc>
          <w:tcPr>
            <w:tcW w:type="dxa" w:w="1744"/>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لا يوجد</w:t>
            </w:r>
          </w:p>
        </w:tc>
        <w:tc>
          <w:tcPr>
            <w:tcW w:type="dxa" w:w="348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مدرسة قروية، مبانٍ مؤقتة، ساحة ترابية، بلا وسائل تقريباً</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نجوى</w:t>
            </w:r>
          </w:p>
        </w:tc>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الثاني</w:t>
            </w:r>
          </w:p>
        </w:tc>
        <w:tc>
          <w:tcPr>
            <w:tcW w:type="dxa" w:w="151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18</w:t>
            </w:r>
          </w:p>
        </w:tc>
        <w:tc>
          <w:tcPr>
            <w:tcW w:type="dxa" w:w="1744"/>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مرشدة للمعلمات الجدد</w:t>
            </w:r>
          </w:p>
        </w:tc>
        <w:tc>
          <w:tcPr>
            <w:tcW w:type="dxa" w:w="348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صفوف بأكثر من ثلاثين طفلاً</w:t>
            </w:r>
          </w:p>
        </w:tc>
      </w:tr>
      <w:tr>
        <w:trPr>
          <w:cantSplit/>
          <w:tblHeader w:val="false"/>
        </w:trPr>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وفاء</w:t>
            </w:r>
          </w:p>
        </w:tc>
        <w:tc>
          <w:tcPr>
            <w:tcW w:type="dxa" w:w="1163"/>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الخامس والسادس</w:t>
            </w:r>
          </w:p>
        </w:tc>
        <w:tc>
          <w:tcPr>
            <w:tcW w:type="dxa" w:w="151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3</w:t>
            </w:r>
          </w:p>
        </w:tc>
        <w:tc>
          <w:tcPr>
            <w:tcW w:type="dxa" w:w="1744"/>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لا يوجد</w:t>
            </w:r>
          </w:p>
        </w:tc>
        <w:tc>
          <w:tcPr>
            <w:tcW w:type="dxa" w:w="348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صفوف مكتظة، ممر مشترك</w:t>
            </w:r>
          </w:p>
        </w:tc>
      </w:tr>
    </w:tbl>
    <w:p>
      <w:pPr>
        <w:bidi/>
        <w:spacing w:after="120" w:before="0" w:line="480"/>
        <w:jc w:val="both"/>
      </w:pP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يتبين من الجدول (1) أن الخبرة تراوحت بين ثلاث سنوات واثنتين وعشرين سنة بمتوسط يقارب أحد عشر عاماً، وأن أربع مشاركات يدرّسن الصفوف الدنيا من الأول إلى الثالث، وأربعاً يدرّسن الصفوف العليا من الرابع إلى السادس. ثلاث من المشاركات يحملن أدواراً تتيح لهن رؤية الظاهرة عند معلمات أخريات: مركزة المادة، والمرشدة، ومعلمة الدمج. هذا التنوع مقصود، لأنه يتيح مقارنة الظاهرة بين الصفوف الدنيا والعليا، وبين الصف العادي ومجموعات الدمج، وبين المدرسة قليلة الموارد والمدرسة الأوفر حظاً.</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أداة البحث</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المقابلة شبه المبنية: مسوغات الاختيار</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اعتمد البحث المقابلة شبه المبنية أداةً لجمع البيانات. المقابلة شبه المبنية أداة نوعية تقوم على دليل من الأسئلة المفتوحة المرتبة حول محاور محددة سلفاً، مع منح الباحثة حرية تغيير ترتيب الأسئلة، وطرح أسئلة استقصائية للمتابعة، وتعميق النقاش في النقاط التي تثيرها المشاركة (Creswell, 2013). اختيرت هذه الأداة لثلاثة أسباب. أولها أنها تحقق التوازن بين الاتساق، إذ تُطرح المحاور نفسها على جميع المشاركات مما يتيح المقارنة، والمرونة، إذ تسمح بمتابعة ما يستجد. وثانيها أنها تناسب طبيعة المشاركات بوصفهن ممارسات يمتلكن خبرة ضمنية يصعب استخراجها بالاستبانات المغلقة. وثالثها أنها تتيح للباحثة ملاحظة الحماس والتردد في حديث المعلمة، وهي إشارات ذات دلالة في فهم موقفها.</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وصف دليل المقابلة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بُني دليل المقابلة خصيصاً لهذا البحث في ضوء أسئلته والإطار النظري، وصيغت أسئلته وفق المبادئ التي تعلمتها الباحثة في المساق: أسئلة وصفية وشاملة في الافتتاح، وأسئلة تدعو إلى الأمثلة والتجارب في المحاور الثلاثة، وتجنب الأسئلة المغلقة والأسئلة التي تبدأ بكلمة "هل" والأسئلة الموجهة. يتألف الدليل من خمسة عشر سؤالاً: سؤال افتتاحي عام غايته بناء الألفة، وهو: "حدثيني عن نفسك وعن مسيرتك في تدريس الرياضيات في المرحلة الابتدائية، وكيف بدأت علاقتك بالألعاب الحركية في التعليم"، ثم ثلاثة محاور تقابل أسئلة البحث الثلاثة، محور توظيف الألعاب وتبسيط المفاهيم بخمسة أسئلة، ومحور التحصيل بأربعة أسئلة، ومحور الدافعية والمشاركة بأربعة أسئلة، وسؤال ختامي عن الصعوبات والتمنيات وما لم يُسأل عنه. وُضعت الأسئلة المتعلقة بالصعوبات والفشل في الجزء الأخير بعد بناء الثقة. وقد عُرض الدليل على محكمين اثنين من ذوي الاختصاص في تعليم الرياضيات والبحث النوعي، وجُرّب في مقابلة استطلاعية مع معلمة لم تُدرج في العينة. يعرض الجدول (2) الأسئلة والغرض من كل منها، ويرد الدليل كاملاً في الملحق (أ).</w:t>
      </w:r>
    </w:p>
    <w:p>
      <w:pPr>
        <w:keepNext/>
        <w:bidi/>
        <w:spacing w:after="80" w:before="120" w:line="480"/>
        <w:jc w:val="center"/>
      </w:pPr>
      <w:r>
        <w:rPr>
          <w:rFonts w:ascii="Times New Roman" w:cs="Simplified Arabic" w:eastAsia="Times New Roman" w:hAnsi="Times New Roman"/>
          <w:b/>
          <w:bCs/>
          <w:i w:val="false"/>
          <w:iCs w:val="false"/>
          <w:sz w:val="24"/>
          <w:szCs w:val="28"/>
          <w:rtl/>
          <w:lang w:val="en-US" w:bidi="ar-SA"/>
        </w:rPr>
        <w:t xml:space="preserve">الجدول (2): محاور دليل المقابلة وأسئلته والغرض من كل سؤال</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72"/>
        <w:gridCol w:w="3870"/>
        <w:gridCol w:w="3628"/>
      </w:tblGrid>
      <w:tr>
        <w:trPr>
          <w:cantSplit/>
          <w:tblHeader/>
        </w:trPr>
        <w:tc>
          <w:tcPr>
            <w:tcW w:type="dxa" w:w="1572"/>
            <w:shd w:fill="D9E2F3" w:color="auto" w:val="clear"/>
            <w:tcMar>
              <w:top w:type="dxa" w:w="60"/>
              <w:left w:type="dxa" w:w="80"/>
              <w:bottom w:type="dxa" w:w="60"/>
              <w:right w:type="dxa" w:w="80"/>
            </w:tcMar>
            <w:vAlign w:val="center"/>
          </w:tcPr>
          <w:p>
            <w:pPr>
              <w:bidi/>
              <w:spacing w:after="0" w:line="276"/>
              <w:jc w:val="center"/>
            </w:pPr>
            <w:r>
              <w:rPr>
                <w:rFonts w:ascii="Times New Roman" w:cs="Simplified Arabic" w:eastAsia="Times New Roman" w:hAnsi="Times New Roman"/>
                <w:b/>
                <w:bCs/>
                <w:sz w:val="22"/>
                <w:szCs w:val="24"/>
                <w:rtl/>
                <w:lang w:val="en-US" w:bidi="ar-SA"/>
              </w:rPr>
              <w:t xml:space="preserve">المحور</w:t>
            </w:r>
          </w:p>
        </w:tc>
        <w:tc>
          <w:tcPr>
            <w:tcW w:type="dxa" w:w="3870"/>
            <w:shd w:fill="D9E2F3" w:color="auto" w:val="clear"/>
            <w:tcMar>
              <w:top w:type="dxa" w:w="60"/>
              <w:left w:type="dxa" w:w="80"/>
              <w:bottom w:type="dxa" w:w="60"/>
              <w:right w:type="dxa" w:w="80"/>
            </w:tcMar>
            <w:vAlign w:val="center"/>
          </w:tcPr>
          <w:p>
            <w:pPr>
              <w:bidi/>
              <w:spacing w:after="0" w:line="276"/>
              <w:jc w:val="center"/>
            </w:pPr>
            <w:r>
              <w:rPr>
                <w:rFonts w:ascii="Times New Roman" w:cs="Simplified Arabic" w:eastAsia="Times New Roman" w:hAnsi="Times New Roman"/>
                <w:b/>
                <w:bCs/>
                <w:sz w:val="22"/>
                <w:szCs w:val="24"/>
                <w:rtl/>
                <w:lang w:val="en-US" w:bidi="ar-SA"/>
              </w:rPr>
              <w:t xml:space="preserve">رقم السؤال ومضمونه</w:t>
            </w:r>
          </w:p>
        </w:tc>
        <w:tc>
          <w:tcPr>
            <w:tcW w:type="dxa" w:w="3628"/>
            <w:shd w:fill="D9E2F3" w:color="auto" w:val="clear"/>
            <w:tcMar>
              <w:top w:type="dxa" w:w="60"/>
              <w:left w:type="dxa" w:w="80"/>
              <w:bottom w:type="dxa" w:w="60"/>
              <w:right w:type="dxa" w:w="80"/>
            </w:tcMar>
            <w:vAlign w:val="center"/>
          </w:tcPr>
          <w:p>
            <w:pPr>
              <w:bidi/>
              <w:spacing w:after="0" w:line="276"/>
              <w:jc w:val="center"/>
            </w:pPr>
            <w:r>
              <w:rPr>
                <w:rFonts w:ascii="Times New Roman" w:cs="Simplified Arabic" w:eastAsia="Times New Roman" w:hAnsi="Times New Roman"/>
                <w:b/>
                <w:bCs/>
                <w:sz w:val="22"/>
                <w:szCs w:val="24"/>
                <w:rtl/>
                <w:lang w:val="en-US" w:bidi="ar-SA"/>
              </w:rPr>
              <w:t xml:space="preserve">الغرض من السؤال</w:t>
            </w:r>
          </w:p>
        </w:tc>
      </w:tr>
      <w:tr>
        <w:trPr>
          <w:cantSplit/>
          <w:tblHeader w:val="false"/>
        </w:trPr>
        <w:tc>
          <w:tcPr>
            <w:tcW w:type="dxa" w:w="157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الافتتاحي</w:t>
            </w:r>
          </w:p>
        </w:tc>
        <w:tc>
          <w:tcPr>
            <w:tcW w:type="dxa" w:w="3870"/>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1. المسيرة المهنية وبداية العلاقة بالألعاب الحركية</w:t>
            </w:r>
          </w:p>
        </w:tc>
        <w:tc>
          <w:tcPr>
            <w:tcW w:type="dxa" w:w="362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بناء الألفة، والتعرف على خلفية المعلمة والدافع الأول للتوظيف</w:t>
            </w:r>
          </w:p>
        </w:tc>
      </w:tr>
      <w:tr>
        <w:trPr>
          <w:cantSplit/>
          <w:tblHeader w:val="false"/>
        </w:trPr>
        <w:tc>
          <w:tcPr>
            <w:tcW w:type="dxa" w:w="157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تبسيط المفاهيم</w:t>
            </w:r>
          </w:p>
        </w:tc>
        <w:tc>
          <w:tcPr>
            <w:tcW w:type="dxa" w:w="3870"/>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2. وصف حصة كاملة وُظفت فيها لعبة حركية</w:t>
            </w:r>
          </w:p>
        </w:tc>
        <w:tc>
          <w:tcPr>
            <w:tcW w:type="dxa" w:w="362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الحصول على مثال ملموس يكشف بنية الحصة والربط بين الحركة والمفهوم</w:t>
            </w:r>
          </w:p>
        </w:tc>
      </w:tr>
      <w:tr>
        <w:trPr>
          <w:cantSplit/>
          <w:tblHeader w:val="false"/>
        </w:trPr>
        <w:tc>
          <w:tcPr>
            <w:tcW w:type="dxa" w:w="157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تبسيط المفاهيم</w:t>
            </w:r>
          </w:p>
        </w:tc>
        <w:tc>
          <w:tcPr>
            <w:tcW w:type="dxa" w:w="3870"/>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3. المفاهيم الأكثر والأقل ملاءمة للألعاب الحركية</w:t>
            </w:r>
          </w:p>
        </w:tc>
        <w:tc>
          <w:tcPr>
            <w:tcW w:type="dxa" w:w="362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تحديد نطاق فاعلية الأداة وحدودها من منظور المعلمة</w:t>
            </w:r>
          </w:p>
        </w:tc>
      </w:tr>
      <w:tr>
        <w:trPr>
          <w:cantSplit/>
          <w:tblHeader w:val="false"/>
        </w:trPr>
        <w:tc>
          <w:tcPr>
            <w:tcW w:type="dxa" w:w="157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تبسيط المفاهيم</w:t>
            </w:r>
          </w:p>
        </w:tc>
        <w:tc>
          <w:tcPr>
            <w:tcW w:type="dxa" w:w="3870"/>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4. مفهوم صعب تغير فهمه بعد لعبة حركية</w:t>
            </w:r>
          </w:p>
        </w:tc>
        <w:tc>
          <w:tcPr>
            <w:tcW w:type="dxa" w:w="362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الكشف عن مؤشرات الفهم التي تعتمدها المعلمة</w:t>
            </w:r>
          </w:p>
        </w:tc>
      </w:tr>
      <w:tr>
        <w:trPr>
          <w:cantSplit/>
          <w:tblHeader w:val="false"/>
        </w:trPr>
        <w:tc>
          <w:tcPr>
            <w:tcW w:type="dxa" w:w="157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تبسيط المفاهيم</w:t>
            </w:r>
          </w:p>
        </w:tc>
        <w:tc>
          <w:tcPr>
            <w:tcW w:type="dxa" w:w="3870"/>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5. طريقة التخطيط للعبة ومصادر الأفكار ومراعاة المكان والوقت والعدد</w:t>
            </w:r>
          </w:p>
        </w:tc>
        <w:tc>
          <w:tcPr>
            <w:tcW w:type="dxa" w:w="362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وصف عملية التصميم وشروطها</w:t>
            </w:r>
          </w:p>
        </w:tc>
      </w:tr>
      <w:tr>
        <w:trPr>
          <w:cantSplit/>
          <w:tblHeader w:val="false"/>
        </w:trPr>
        <w:tc>
          <w:tcPr>
            <w:tcW w:type="dxa" w:w="157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تبسيط المفاهيم</w:t>
            </w:r>
          </w:p>
        </w:tc>
        <w:tc>
          <w:tcPr>
            <w:tcW w:type="dxa" w:w="3870"/>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6. سلوك الطلاب ذوي المستوى الضعيف أثناء اللعبة</w:t>
            </w:r>
          </w:p>
        </w:tc>
        <w:tc>
          <w:tcPr>
            <w:tcW w:type="dxa" w:w="362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فحص أثر اللعبة في الفئة الأقل استفادة من التدريس التقليدي</w:t>
            </w:r>
          </w:p>
        </w:tc>
      </w:tr>
      <w:tr>
        <w:trPr>
          <w:cantSplit/>
          <w:tblHeader w:val="false"/>
        </w:trPr>
        <w:tc>
          <w:tcPr>
            <w:tcW w:type="dxa" w:w="157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التحصيل</w:t>
            </w:r>
          </w:p>
        </w:tc>
        <w:tc>
          <w:tcPr>
            <w:tcW w:type="dxa" w:w="3870"/>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7. التغيرات في نتائج الاختبارات والواجبات بعد الوحدات الحركية</w:t>
            </w:r>
          </w:p>
        </w:tc>
        <w:tc>
          <w:tcPr>
            <w:tcW w:type="dxa" w:w="362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استقصاء الأثر المدرَك في التحصيل بأدلة من الممارسة</w:t>
            </w:r>
          </w:p>
        </w:tc>
      </w:tr>
      <w:tr>
        <w:trPr>
          <w:cantSplit/>
          <w:tblHeader w:val="false"/>
        </w:trPr>
        <w:tc>
          <w:tcPr>
            <w:tcW w:type="dxa" w:w="157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التحصيل</w:t>
            </w:r>
          </w:p>
        </w:tc>
        <w:tc>
          <w:tcPr>
            <w:tcW w:type="dxa" w:w="3870"/>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8. طالب تغير تحصيله وكيف عُرف أن الألعاب هي السبب</w:t>
            </w:r>
          </w:p>
        </w:tc>
        <w:tc>
          <w:tcPr>
            <w:tcW w:type="dxa" w:w="362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فحص التفسير السببي عند المعلمة ومؤشراته</w:t>
            </w:r>
          </w:p>
        </w:tc>
      </w:tr>
      <w:tr>
        <w:trPr>
          <w:cantSplit/>
          <w:tblHeader w:val="false"/>
        </w:trPr>
        <w:tc>
          <w:tcPr>
            <w:tcW w:type="dxa" w:w="157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التحصيل</w:t>
            </w:r>
          </w:p>
        </w:tc>
        <w:tc>
          <w:tcPr>
            <w:tcW w:type="dxa" w:w="3870"/>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9. مقارنة التذكر بين المفاهيم الحركية والمشروحة بعد أسابيع</w:t>
            </w:r>
          </w:p>
        </w:tc>
        <w:tc>
          <w:tcPr>
            <w:tcW w:type="dxa" w:w="362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استقصاء بقاء أثر التعلم</w:t>
            </w:r>
          </w:p>
        </w:tc>
      </w:tr>
      <w:tr>
        <w:trPr>
          <w:cantSplit/>
          <w:tblHeader w:val="false"/>
        </w:trPr>
        <w:tc>
          <w:tcPr>
            <w:tcW w:type="dxa" w:w="157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التحصيل</w:t>
            </w:r>
          </w:p>
        </w:tc>
        <w:tc>
          <w:tcPr>
            <w:tcW w:type="dxa" w:w="3870"/>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10. حالة لم تحسن فيها اللعبة التحصيل أو شتتت الطلاب</w:t>
            </w:r>
          </w:p>
        </w:tc>
        <w:tc>
          <w:tcPr>
            <w:tcW w:type="dxa" w:w="362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الكشف عن حدود الأداة وشروط فشلها</w:t>
            </w:r>
          </w:p>
        </w:tc>
      </w:tr>
      <w:tr>
        <w:trPr>
          <w:cantSplit/>
          <w:tblHeader w:val="false"/>
        </w:trPr>
        <w:tc>
          <w:tcPr>
            <w:tcW w:type="dxa" w:w="157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الدافعية والمشاركة</w:t>
            </w:r>
          </w:p>
        </w:tc>
        <w:tc>
          <w:tcPr>
            <w:tcW w:type="dxa" w:w="3870"/>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11. جو الصف عند الإعلان عن لعبة حركية</w:t>
            </w:r>
          </w:p>
        </w:tc>
        <w:tc>
          <w:tcPr>
            <w:tcW w:type="dxa" w:w="362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رصد مظاهر الدافعية الأولية</w:t>
            </w:r>
          </w:p>
        </w:tc>
      </w:tr>
      <w:tr>
        <w:trPr>
          <w:cantSplit/>
          <w:tblHeader w:val="false"/>
        </w:trPr>
        <w:tc>
          <w:tcPr>
            <w:tcW w:type="dxa" w:w="157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الدافعية والمشاركة</w:t>
            </w:r>
          </w:p>
        </w:tc>
        <w:tc>
          <w:tcPr>
            <w:tcW w:type="dxa" w:w="3870"/>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12. طالب لم يكن يشارك وكيف تغيرت مشاركته</w:t>
            </w:r>
          </w:p>
        </w:tc>
        <w:tc>
          <w:tcPr>
            <w:tcW w:type="dxa" w:w="362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تتبع مسار المشاركة عند الطلاب الصامتين</w:t>
            </w:r>
          </w:p>
        </w:tc>
      </w:tr>
      <w:tr>
        <w:trPr>
          <w:cantSplit/>
          <w:tblHeader w:val="false"/>
        </w:trPr>
        <w:tc>
          <w:tcPr>
            <w:tcW w:type="dxa" w:w="157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الدافعية والمشاركة</w:t>
            </w:r>
          </w:p>
        </w:tc>
        <w:tc>
          <w:tcPr>
            <w:tcW w:type="dxa" w:w="3870"/>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13. الفرق في الانتباه والمبادرة والأسئلة والاستمرار في المحاولة</w:t>
            </w:r>
          </w:p>
        </w:tc>
        <w:tc>
          <w:tcPr>
            <w:tcW w:type="dxa" w:w="362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مقارنة مؤشرات الدافعية بين نوعي الحصص</w:t>
            </w:r>
          </w:p>
        </w:tc>
      </w:tr>
      <w:tr>
        <w:trPr>
          <w:cantSplit/>
          <w:tblHeader w:val="false"/>
        </w:trPr>
        <w:tc>
          <w:tcPr>
            <w:tcW w:type="dxa" w:w="157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الدافعية والمشاركة</w:t>
            </w:r>
          </w:p>
        </w:tc>
        <w:tc>
          <w:tcPr>
            <w:tcW w:type="dxa" w:w="3870"/>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14. التعامل مع الرافضين والخجولين والمبالغين</w:t>
            </w:r>
          </w:p>
        </w:tc>
        <w:tc>
          <w:tcPr>
            <w:tcW w:type="dxa" w:w="362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استخلاص ممارسات الإدارة الصفية في اللعبة</w:t>
            </w:r>
          </w:p>
        </w:tc>
      </w:tr>
      <w:tr>
        <w:trPr>
          <w:cantSplit/>
          <w:tblHeader w:val="false"/>
        </w:trPr>
        <w:tc>
          <w:tcPr>
            <w:tcW w:type="dxa" w:w="1572"/>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الختامي</w:t>
            </w:r>
          </w:p>
        </w:tc>
        <w:tc>
          <w:tcPr>
            <w:tcW w:type="dxa" w:w="3870"/>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15. الصعوبات والتمنيات وما لم يُسأل عنه</w:t>
            </w:r>
          </w:p>
        </w:tc>
        <w:tc>
          <w:tcPr>
            <w:tcW w:type="dxa" w:w="3628"/>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تحديد التحديات وإتاحة الإضافة</w:t>
            </w:r>
          </w:p>
        </w:tc>
      </w:tr>
    </w:tbl>
    <w:p>
      <w:pPr>
        <w:bidi/>
        <w:spacing w:after="120" w:before="0" w:line="480"/>
        <w:jc w:val="both"/>
      </w:pP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إجراءات البحث وأخلاقياته</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بدأ البحث بالحصول على موافقة إدارات المدارس المعنية، ثم تواصلت الباحثة مع معلمات الرياضيات وشرحت لهن أهداف البحث وطبيعة المشاركة، ووقّعت كل من وافقت نموذج موافقة مستنيرة يوضح حقها في الانسحاب في أي وقت، وسرية بياناتها، واستخدامها لأغراض البحث حصراً. أُجريت المقابلات على مدى ستة أسابيع في الفصل الدراسي الثاني، في غرف هادئة داخل المدارس بعد انتهاء الدوام أو في الحصص الفارغة، وفق ما ناسب كل مشاركة. تراوحت مدة المقابلة بين خمسين وسبعين دقيقة، وسُجلت صوتياً بإذن المشاركة، وفُرّغت حرفياً خلال 48 ساعة، مع تدوين ملاحظات ميدانية عن سياق المقابلة.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واجهت الباحثة بعض الصعوبات. ترددت معلمتان في التسجيل الصوتي بداية الأمر، فأوضحت لهما الباحثة أن التسجيل سيُتلف بعد التفريغ، ووافقتا. وذكرت المشاركات أسماء طلاب وزميلات، فاستُبدلت جميعها بأسماء مستعارة عند التفريغ، وأُزيلت أي إشارة قد تدل على المدرسة. وحرصت الباحثة على تجنب أي حكم على ممارسات المعلمات أثناء المقابلة، وعلى عدم مقاطعة المشاركة حين تصف حصة فاشلة، لأن هذه المواضع كانت من أغنى ما في البيانات.</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تحليل البيانات</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حُللت البيانات بأسلوب التحليل الموضوعي وفق الخطوات الست التي وصفتها براون وكلارك (2006): التعرف على البيانات بقراءة التفريغات مراراً، وتوليد الرموز الأولية، والبحث عن الموضوعات بتجميع الرموز المتقاربة، ومراجعة الموضوعات في ضوء البيانات الكاملة، وتسمية الموضوعات وتعريفها، ثم كتابة التقرير. رُمّزت المقاطع الدالة في التفريغات الثمانية، وجُمعت في رموز فرعية، ثم في أربعة موضوعات رئيسة تقابل أسئلة البحث الثلاثة ويضاف إليها موضوع رابع فرضته البيانات نفسها هو شروط التوظيف وتحدياته. لتعزيز المصداقية، رُمّزت مقابلتان بشكل مستقل من قبل زميلة في البرنامج ونوقشت مواضع الاختلاف حتى التوافق، وعُرضت النتائج الأولية على ثلاث من المشاركات للتحقق من أنها تعكس وجهات نظرهن، وهو ما يُعرف بالتحقق من المشاركين (Lincoln &amp; Guba, 1985).</w:t>
      </w:r>
    </w:p>
    <w:p>
      <w:r>
        <w:br w:type="page"/>
      </w:r>
    </w:p>
    <w:p>
      <w:pPr>
        <w:pStyle w:val="Heading1"/>
        <w:keepNext/>
        <w:bidi/>
        <w:spacing w:after="120" w:before="240" w:line="480"/>
        <w:jc w:val="center"/>
      </w:pPr>
      <w:r>
        <w:rPr>
          <w:rFonts w:ascii="Times New Roman" w:cs="Simplified Arabic" w:eastAsia="Times New Roman" w:hAnsi="Times New Roman"/>
          <w:b/>
          <w:bCs/>
          <w:sz w:val="36"/>
          <w:szCs w:val="40"/>
          <w:rtl/>
          <w:lang w:val="en-US" w:bidi="ar-SA"/>
        </w:rPr>
        <w:t xml:space="preserve">النتائج</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يعرض هذا الفصل نتائج تحليل المقابلات الثماني، وقد نُظم في أربعة أقسام تقابل الموضوعات الرئيسة التي أفرزها التحليل. يعرض القسم الأول النتائج المتعلقة بكيفية توظيف المعلمات للألعاب الحركية ودورها في تبسيط المفاهيم، ويعرض الثاني النتائج المتعلقة بالأثر في التحصيل، ويعرض الثالث النتائج المتعلقة بالدافعية والمشاركة، ويعرض الرابع شروط التوظيف الناجح وتحدياته كما وصفتها المعلمات. تُستخدم الأسماء المستعارة للمشاركات ولطلابهن، والاقتباسات الواردة هي من أقوال المشاركات في المقابلات. يلخص الجدول (3) الموضوعات الرئيسة والفرعية قبل عرضها تفصيلاً.</w:t>
      </w:r>
    </w:p>
    <w:p>
      <w:pPr>
        <w:keepNext/>
        <w:bidi/>
        <w:spacing w:after="80" w:before="120" w:line="480"/>
        <w:jc w:val="center"/>
      </w:pPr>
      <w:r>
        <w:rPr>
          <w:rFonts w:ascii="Times New Roman" w:cs="Simplified Arabic" w:eastAsia="Times New Roman" w:hAnsi="Times New Roman"/>
          <w:b/>
          <w:bCs/>
          <w:i w:val="false"/>
          <w:iCs w:val="false"/>
          <w:sz w:val="24"/>
          <w:szCs w:val="28"/>
          <w:rtl/>
          <w:lang w:val="en-US" w:bidi="ar-SA"/>
        </w:rPr>
        <w:t xml:space="preserve">الجدول (3): الموضوعات الرئيسة والفرعية المستخلصة من تحليل المقابلات</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87"/>
        <w:gridCol w:w="4774"/>
        <w:gridCol w:w="1909"/>
      </w:tblGrid>
      <w:tr>
        <w:trPr>
          <w:cantSplit/>
          <w:tblHeader/>
        </w:trPr>
        <w:tc>
          <w:tcPr>
            <w:tcW w:type="dxa" w:w="2387"/>
            <w:shd w:fill="D9E2F3" w:color="auto" w:val="clear"/>
            <w:tcMar>
              <w:top w:type="dxa" w:w="60"/>
              <w:left w:type="dxa" w:w="80"/>
              <w:bottom w:type="dxa" w:w="60"/>
              <w:right w:type="dxa" w:w="80"/>
            </w:tcMar>
            <w:vAlign w:val="center"/>
          </w:tcPr>
          <w:p>
            <w:pPr>
              <w:bidi/>
              <w:spacing w:after="0" w:line="276"/>
              <w:jc w:val="center"/>
            </w:pPr>
            <w:r>
              <w:rPr>
                <w:rFonts w:ascii="Times New Roman" w:cs="Simplified Arabic" w:eastAsia="Times New Roman" w:hAnsi="Times New Roman"/>
                <w:b/>
                <w:bCs/>
                <w:sz w:val="22"/>
                <w:szCs w:val="24"/>
                <w:rtl/>
                <w:lang w:val="en-US" w:bidi="ar-SA"/>
              </w:rPr>
              <w:t xml:space="preserve">الموضوع الرئيس</w:t>
            </w:r>
          </w:p>
        </w:tc>
        <w:tc>
          <w:tcPr>
            <w:tcW w:type="dxa" w:w="4774"/>
            <w:shd w:fill="D9E2F3" w:color="auto" w:val="clear"/>
            <w:tcMar>
              <w:top w:type="dxa" w:w="60"/>
              <w:left w:type="dxa" w:w="80"/>
              <w:bottom w:type="dxa" w:w="60"/>
              <w:right w:type="dxa" w:w="80"/>
            </w:tcMar>
            <w:vAlign w:val="center"/>
          </w:tcPr>
          <w:p>
            <w:pPr>
              <w:bidi/>
              <w:spacing w:after="0" w:line="276"/>
              <w:jc w:val="center"/>
            </w:pPr>
            <w:r>
              <w:rPr>
                <w:rFonts w:ascii="Times New Roman" w:cs="Simplified Arabic" w:eastAsia="Times New Roman" w:hAnsi="Times New Roman"/>
                <w:b/>
                <w:bCs/>
                <w:sz w:val="22"/>
                <w:szCs w:val="24"/>
                <w:rtl/>
                <w:lang w:val="en-US" w:bidi="ar-SA"/>
              </w:rPr>
              <w:t xml:space="preserve">الموضوعات الفرعية</w:t>
            </w:r>
          </w:p>
        </w:tc>
        <w:tc>
          <w:tcPr>
            <w:tcW w:type="dxa" w:w="1909"/>
            <w:shd w:fill="D9E2F3" w:color="auto" w:val="clear"/>
            <w:tcMar>
              <w:top w:type="dxa" w:w="60"/>
              <w:left w:type="dxa" w:w="80"/>
              <w:bottom w:type="dxa" w:w="60"/>
              <w:right w:type="dxa" w:w="80"/>
            </w:tcMar>
            <w:vAlign w:val="center"/>
          </w:tcPr>
          <w:p>
            <w:pPr>
              <w:bidi/>
              <w:spacing w:after="0" w:line="276"/>
              <w:jc w:val="center"/>
            </w:pPr>
            <w:r>
              <w:rPr>
                <w:rFonts w:ascii="Times New Roman" w:cs="Simplified Arabic" w:eastAsia="Times New Roman" w:hAnsi="Times New Roman"/>
                <w:b/>
                <w:bCs/>
                <w:sz w:val="22"/>
                <w:szCs w:val="24"/>
                <w:rtl/>
                <w:lang w:val="en-US" w:bidi="ar-SA"/>
              </w:rPr>
              <w:t xml:space="preserve">عدد المشاركات</w:t>
            </w:r>
          </w:p>
        </w:tc>
      </w:tr>
      <w:tr>
        <w:trPr>
          <w:cantSplit/>
          <w:tblHeader w:val="false"/>
        </w:trPr>
        <w:tc>
          <w:tcPr>
            <w:tcW w:type="dxa" w:w="2387"/>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توظيف الألعاب الحركية وتبسيط المفاهيم</w:t>
            </w:r>
          </w:p>
        </w:tc>
        <w:tc>
          <w:tcPr>
            <w:tcW w:type="dxa" w:w="4774"/>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المفاهيم التي تناسبها الحركة وحدودها؛ اللعبة التي تواجه خطأً محدداً؛ مبدأ الحركة الواحدة والقاعدة الواحدة؛ الجسر إلى الورقة</w:t>
            </w:r>
          </w:p>
        </w:tc>
        <w:tc>
          <w:tcPr>
            <w:tcW w:type="dxa" w:w="1909"/>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8</w:t>
            </w:r>
          </w:p>
        </w:tc>
      </w:tr>
      <w:tr>
        <w:trPr>
          <w:cantSplit/>
          <w:tblHeader w:val="false"/>
        </w:trPr>
        <w:tc>
          <w:tcPr>
            <w:tcW w:type="dxa" w:w="2387"/>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الأثر في التحصيل</w:t>
            </w:r>
          </w:p>
        </w:tc>
        <w:tc>
          <w:tcPr>
            <w:tcW w:type="dxa" w:w="4774"/>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تحسن النتائج وتغير نوع الخطأ؛ تقليص الفجوة داخل الصف؛ بقاء أثر التعلم؛ اللعبة الفاشلة كخسارة</w:t>
            </w:r>
          </w:p>
        </w:tc>
        <w:tc>
          <w:tcPr>
            <w:tcW w:type="dxa" w:w="1909"/>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8</w:t>
            </w:r>
          </w:p>
        </w:tc>
      </w:tr>
      <w:tr>
        <w:trPr>
          <w:cantSplit/>
          <w:tblHeader w:val="false"/>
        </w:trPr>
        <w:tc>
          <w:tcPr>
            <w:tcW w:type="dxa" w:w="2387"/>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الدافعية والمشاركة</w:t>
            </w:r>
          </w:p>
        </w:tc>
        <w:tc>
          <w:tcPr>
            <w:tcW w:type="dxa" w:w="4774"/>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جو الصف والمراجعة التلقائية؛ سلّم المشاركة عند الصامتين؛ مؤشرات الدافعية الأربعة؛ حدود الدافعية</w:t>
            </w:r>
          </w:p>
        </w:tc>
        <w:tc>
          <w:tcPr>
            <w:tcW w:type="dxa" w:w="1909"/>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8</w:t>
            </w:r>
          </w:p>
        </w:tc>
      </w:tr>
      <w:tr>
        <w:trPr>
          <w:cantSplit/>
          <w:tblHeader w:val="false"/>
        </w:trPr>
        <w:tc>
          <w:tcPr>
            <w:tcW w:type="dxa" w:w="2387"/>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شروط التوظيف وتحدياته</w:t>
            </w:r>
          </w:p>
        </w:tc>
        <w:tc>
          <w:tcPr>
            <w:tcW w:type="dxa" w:w="4774"/>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المعلمة كعامل حاسم؛ الفرق بين الصفوف الدنيا والعليا؛ المكان والوقت والمنهاج والإدارة والأهل؛ ما تتمناه المعلمات</w:t>
            </w:r>
          </w:p>
        </w:tc>
        <w:tc>
          <w:tcPr>
            <w:tcW w:type="dxa" w:w="1909"/>
            <w:tcMar>
              <w:top w:type="dxa" w:w="60"/>
              <w:left w:type="dxa" w:w="80"/>
              <w:bottom w:type="dxa" w:w="60"/>
              <w:right w:type="dxa" w:w="80"/>
            </w:tcMar>
            <w:vAlign w:val="center"/>
          </w:tcPr>
          <w:p>
            <w:pPr>
              <w:bidi/>
              <w:spacing w:after="0" w:line="276"/>
              <w:jc w:val="right"/>
            </w:pPr>
            <w:r>
              <w:rPr>
                <w:rFonts w:ascii="Times New Roman" w:cs="Simplified Arabic" w:eastAsia="Times New Roman" w:hAnsi="Times New Roman"/>
                <w:b w:val="false"/>
                <w:sz w:val="22"/>
                <w:szCs w:val="24"/>
                <w:rtl/>
                <w:lang w:val="en-US" w:bidi="ar-SA"/>
              </w:rPr>
              <w:t xml:space="preserve">8</w:t>
            </w:r>
          </w:p>
        </w:tc>
      </w:tr>
    </w:tbl>
    <w:p>
      <w:pPr>
        <w:bidi/>
        <w:spacing w:after="120" w:before="0" w:line="480"/>
        <w:jc w:val="both"/>
      </w:pP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أولاً: توظيف الألعاب الحركية ودورها في تبسيط المفاهيم</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المفاهيم التي تناسبها الحركة وحدودها</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اتفقت المشاركات الثماني على أن الألعاب الحركية تناسب المفاهيم التي فيها كمية أو اتجاه أو موقع أو علاقة، وتناسب أقل المفاهيم التي جوهرها إجراء مكتوب متسلسل. في الصفوف الدنيا ذكرت منال العد والجمع والطرح على خط الأعداد والأشكال بالحبال والقياس بالخطوات والزوجي والفردي، وقالت إن الحركة "تناسب أكثر المفاهيم التي فيها ترتيب أو اتجاه أو كمية يمكن الإحساس بها بالجسد". وأضافت أمل من زاوية الدمج العدد الترتيبي والاتجاهات والأنماط. وفي الصفوف العليا ذكرت رحاب الكسور والأعداد العشرية والنسبة المئوية والزوايا والمتوسط الحسابي، وذكرت سهى القياس والهندسة أولاً ثم الكسور والنسب والإحصاء البسيط، وذكرت وفاء الأعداد العشرية على الخط الطويل والنسبة المئوية والإحداثيات.</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في المقابل، حددت المشاركات حدود الأداة بوضوح. ذكرت ست معلمات الخوارزميات المكتوبة، كالضرب في عددين والقسمة الطويلة وترتيب العمليات والجمع بالحمل، بوصفها مفاهيم فشلت فيها الحركة. تلخص سهى القاعدة التي تعلمها للمعلمات اللواتي تشرف عليهن: "الحركة للمفهوم في بدايته وللمفاهيم التي فيها مكان أو كمية أو شكل، والورقة للإجراء والتدريب، ومن يخلط بينهما يخسر الاثنين". وتقدم رحاب تمييزاً أدق بين نوعين من الحركة:</w:t>
      </w:r>
    </w:p>
    <w:p>
      <w:pPr>
        <w:bidi/>
        <w:spacing w:after="160" w:before="0" w:line="480"/>
        <w:ind w:left="720" w:right="720"/>
        <w:jc w:val="both"/>
      </w:pPr>
      <w:r>
        <w:rPr>
          <w:rFonts w:ascii="Times New Roman" w:cs="Simplified Arabic" w:eastAsia="Times New Roman" w:hAnsi="Times New Roman"/>
          <w:b w:val="false"/>
          <w:i w:val="false"/>
          <w:iCs w:val="false"/>
          <w:sz w:val="24"/>
          <w:szCs w:val="28"/>
          <w:rtl/>
          <w:lang w:val="en-US" w:bidi="ar-SA"/>
        </w:rPr>
        <w:t xml:space="preserve">تعلمت أن أميز بين المفاهيم التي يمكن تجسيدها والمفاهيم التي يمكن فقط تمثيلها بالحركة، ففي الأولى يكون الجسد هو الفكرة نفسها، كما في الكسور حيث الطلاب هم الأجزاء، وفي الثانية تكون الحركة رمزاً للفكرة، وهذه أقل فائدة في الصفوف العليا لأن الطلاب يستطيعون التعامل مع الرموز أصلاً، فلا داعي لإضافة رمز آخر.</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اللعبة التي تواجه خطأً محدداً</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وصفت المشاركات، حين سُئلن عن مفهوم صعب تغير فهمه، ألعاباً صُممت لهدم خطأ شائع بعينه لا لتعليم المفهوم عموماً. منال واجهت خطأ الطلاب الذين يجمعون بدل أن يطرحوا بلعبة "القطار" التي ينزل فيها ركاب في محطة، وغدير واجهت محاولة الطلاب إخفاء الباقي في القسمة بلعبة توزيع يبقى فيها طالب واقفاً بلا مكان، ونجوى واجهت قراءة ٢٣ كرقمين منفصلين بلعبة "الربط" التي تتشابك فيها الأيدي في مجموعات من عشرة، ووفاء واجهت الاعتقاد بأن ٠٫٤٥ أكبر من ٠٫٥ بخط عشري طوله عشرة أمتار. وتصف سهى هذا المبدأ صراحة: "أبدأ من الخطأ الشائع، وليس من المفهوم"، لأن "اللعبة التي تعلم المفهوم عموماً أقل فائدة من اللعبة التي تهدم خطأً محدداً".</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المؤشر الذي اعتمدته المعلمات على حدوث الفهم لم يكن الإجابة الصحيحة بل الجملة التي يصوغها الطالب بنفسه. تروي رحاب أن طالباً قال عن قسمة الكسور "لأن القطعة الصغيرة تدخل مرات أكثر"، وتعلق: "هذا هو المفهوم كله في جملة واحدة". وتروي سهى أن طالباً قال عن الفرق بين المساحة والمحيط "المحيط نمشي عليه، والمساحة نجلس عليها"، وأنها تستخدم الجملة منذ ذلك اليوم مع كل صف. وتذكر غدير أن الطالب الذي بقي واقفاً في لعبة التوزيع قال "لا يوجد مكان متساوٍ لي"، وتعلق: "هذه الجملة هي المفهوم كله". ما تصفه المعلمات هنا هو انتقال من حفظ القاعدة إلى امتلاك صورة، وهو ما عبّر عنه طالب وفاء بقوله إن "النسبة المئوية هي مكان، ليست رقماً".</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مبدأ الحركة الواحدة والقاعدة الواحدة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حين وصفت المشاركات تخطيطهن للعبة، تكررت عندهن بنية شبه ثابتة رغم اختلاف الخبرة: تحديد الفكرة الرياضية الجوهرية بجملة واحدة، ثم البحث عن حركة واحدة تمثلها، ثم قواعد قليلة تُعلن قبل البدء، ثم سؤال يُطرح في منتصف اللعبة، ثم ورقة تأتي بعدها. تكتب غدير الفكرة بجملة واحدة "وإذا لم أستطع كتابته بجملة واحدة فهذا يعني أنني لم أفهم بعد ما أريد أن أعلمه". وتضع رحاب اختباراً بسيطاً قبل كل لعبة: "هل يمكن أن أشرح قواعد هذه اللعبة في دقيقة واحدة؟ إذا كان الجواب لا، فاللعبة معقدة أكثر من اللازم ولن تنجح مع صف كامل". وترفض نجوى "أي لعبة فيها أكثر من حركة واحدة في الصف الثاني".</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المصدر الذي تأتي منه الأفكار كان متشابهاً عند الجميع تقريباً: الطلاب أنفسهم، وزميلات في المدرسة أو في مجموعات تواصل، ومقاطع أو مواقع لمعلمات في بلدان أخرى تُعدَّل لتناسب الصف. ولم تذكر أي مشاركة المنهاج أو كتاب المعلم مصدراً لأي لعبة. وقد تحولت هذه الخبرة المتراكمة عند بعضهن إلى أرشيف: أربعون لعبة موثقة عند رحاب، وثلاثون لعبة بلا أدوات عند ميسون، ونموذج من صفحة واحدة تعطيه نجوى للمعلمات الجدد في أول أسبوع.</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الجسر إلى الورقة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أكثر ما أجمعت عليه المشاركات هو أن اللعبة لا تكتمل من دون ربط كتابي في الحصة نفسها وبالأعداد نفسها. قالت منال إن "اللعبة بلا تثبيت تبقى ذكرى جميلة ولا تصبح تعلماً"، وقالت رحاب إن "كل لعبة تنتهي بجملة مكتوبة بخط الطالب، وإلا تصبح ذكرى جميلة بلا فائدة"، وقالت غدير إن "الانتقال من الجسد إلى الورقة يجب أن يكون في نفس الحصة وبنفس الأمثلة". وتروي نجوى دليلاً على أهمية هذا الربط من عملها كمرشدة: نقلت لعبة "الربط" إلى كل معلمات الصف الثاني في مدرستها، ورأت الفرق نفسه في نتائجهن "ما عدا معلمة واحدة لم تربط اللعبة بالكتابة في نفس اليوم، فبقيت نتائجها كما كانت".</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عند الطلاب ذوي المستوى الضعيف يصبح هذا الجسر عمل المعلمة الأساسي. تصف أمل الفرق بين معلمة الصف ومعلمة الدمج بأن "معلمة الصف تلعب وتنتقل، وأنا ألعب ثم أبقى مع الطفل حتى يصل الجسر إلى الضفة الأخرى". وتصوغ سهى القاعدة نفسها بصورة أخرى:</w:t>
      </w:r>
    </w:p>
    <w:p>
      <w:pPr>
        <w:bidi/>
        <w:spacing w:after="160" w:before="0" w:line="480"/>
        <w:ind w:left="720" w:right="720"/>
        <w:jc w:val="both"/>
      </w:pPr>
      <w:r>
        <w:rPr>
          <w:rFonts w:ascii="Times New Roman" w:cs="Simplified Arabic" w:eastAsia="Times New Roman" w:hAnsi="Times New Roman"/>
          <w:b w:val="false"/>
          <w:i w:val="false"/>
          <w:iCs w:val="false"/>
          <w:sz w:val="24"/>
          <w:szCs w:val="28"/>
          <w:rtl/>
          <w:lang w:val="en-US" w:bidi="ar-SA"/>
        </w:rPr>
        <w:t xml:space="preserve">اللعبة تفتح الباب للضعيف، والمعلمة يجب أن تدخل معه بعدها، في خمس دقائق فردية أو في مجموعة صغيرة، وإلا يبقى واقفاً عند الباب ويظن الجميع أنه دخل.</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ثانياً: أثر الألعاب الحركية في التحصيل الدراسي</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تحسن النتائج وتغير نوع الخطأ</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قدمت المشاركات الثماني أمثلة محددة من دفاتر علاماتهن على تحسن النتائج في الوحدات التي وُظفت فيها الألعاب الحركية، مع تحفظ صريح من كل واحدة منهن على أن ما لديها ليس بحثاً مضبوطاً. رحاب، التي توثق نتائج وحدة الكسور في الصف الخامس منذ تسع سنوات، ذكرت أن متوسط الصف ارتفع من ما بين 52 و58 في السنوات التقليدية إلى ما بين 68 و74 بعد إدخال أربع ألعاب حركية، وأن نسبة الراسبين انخفضت من نحو 40% إلى نحو 15%، بينما بقي متوسط وحدة القسمة الطويلة، التي لم تغير طريقتها فيها، في الستينات. وسهى، بوصفها مركزة تجمع نتائج المدرسة كلها، ذكرت أن متوسط وحدة الكسور في الصف الرابع ارتفع من ما بين 58 و63 إلى ما بين 69 و73 عبر معلمات مختلفات وأربع سنوات. وأوردت غدير ووفاء مقارنة بين صفين موازيين درّست أحدهما بالألعاب أكثر من الآخر بسبب الجدول، وكان الفرق في المتوسط أحد عشر درجة عند غدير وثلاث عشرة درجة عند وفاء لصالح الصف الذي لعب، مع تقارب الصفين في اختبار التشخيص.</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الأهم من الأرقام، في تقدير المشاركات، هو نوع الخطأ. وصفت خمس معلمات بصياغات متقاربة تحولاً من خطأ المفهوم إلى خطأ الحساب. تشرح منال:</w:t>
      </w:r>
    </w:p>
    <w:p>
      <w:pPr>
        <w:bidi/>
        <w:spacing w:after="160" w:before="0" w:line="480"/>
        <w:ind w:left="720" w:right="720"/>
        <w:jc w:val="both"/>
      </w:pPr>
      <w:r>
        <w:rPr>
          <w:rFonts w:ascii="Times New Roman" w:cs="Simplified Arabic" w:eastAsia="Times New Roman" w:hAnsi="Times New Roman"/>
          <w:b w:val="false"/>
          <w:i w:val="false"/>
          <w:iCs w:val="false"/>
          <w:sz w:val="24"/>
          <w:szCs w:val="28"/>
          <w:rtl/>
          <w:lang w:val="en-US" w:bidi="ar-SA"/>
        </w:rPr>
        <w:t xml:space="preserve">في الامتحان الأول كانت الأخطاء في المفهوم نفسه، طالب يجمع بدل أن يطرح؛ وفي الامتحان الثاني كانت الأخطاء في الحساب، طالب يطرح ولكن يخطئ في عد واحد. وهذا فرق كبير، لأن خطأ الحساب يُصلح بالتدريب، أما خطأ المفهوم فيحتاج إلى إعادة بناء الفكرة من الأساس.</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وتضيف رحاب أن الألعاب "رفعت الفهم أكثر مما رفعت المهارة"، إذ تحسنت أسئلة "أي الكسرين أكبر ولماذا" ولم تتحسن كثيراً أسئلة توحيد المقامات. وتحذر سهى من أن هذا التحول قد ينقلب إلى خلل عند "بعض المعلمات المتحمسات للألعاب" اللواتي تكون أسئلة الفهم عندهن ممتازة وأسئلة المهارة ضعيفة.</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تقليص الفجوة داخل الصف</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لاحظت ست مشاركات أن التحسن جاء من الثلثين الأدنى والأوسط للصف لا من أعلاه. قالت رحاب إن "الطلاب الذين كانوا في أعلى الصف لم تتغير علاماتهم كثيراً، فالفرق كله جاء من الوسط والقاع، وهذا يعني أن الألعاب قللت الفجوة". ولاحظت سهى على مستوى المدرسة أن "الصفوف الضعيفة اقتربت من الصفوف القوية". وفي مجموعات الدمج، قارنت أمل بين مجموعتين متقاربتي المستوى عملت مع الأولى بالطرق التقليدية للتربية الخاصة ومع الثانية بإضافة الألعاب الحركية، فاجتاز اختبار نهاية السنة طالبان من خمسة في الأولى وأربعة من خمسة في الثانية.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وصفت المشاركات ما يحدث للطالب الضعيف في اللعبة بتفاصيل متشابهة. في الحصة العادية "يجلس في الخلف، ولا يرفع يده، وعندما أسأله ينظر إلى الطاولة، وأحياناً يشاغب لكي يخفي أنه لا يفهم" كما تقول منال، وفي اللعبة "لا تسأل 'من يعرف' بل 'من يقفز'، والقفز يستطيعه الجميع". وتضيف نجوى أن الطالب الضعيف في اللعبة "يفهم أثناء الحركة وليس قبلها، وهذا عكس الحصة العادية التي تطلب الفهم أولاً ثم التطبيق"، وأنه "يسمع تفكير زملائه الأقوياء بصوت عالٍ". وتصف رحاب اكتشافاً يحدث للطالب الضعيف في الصفوف العليا: "أن الفكرة الرياضية ليست فوق قدرته، وأن ما كان فوق قدرته هو الرمز فقط".</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غير أن المشاركات ميزن بين نوعين من الطلاب الضعفاء. تقول رحاب إن سلمى علمتها "أن أفرق بين نوعين من الطلاب الضعفاء: من يحتاج إلى مزيد من التدريب ومن يحتاج إلى طريقة مختلفة، وأن الألعاب الحركية تنفع النوع الثاني أكثر بكثير". وتقول وفاء عن لمى إن التحديات الحركية تنفع "الطالب الذي يجتهد بلا فهم" أكثر من "الطالب الذي لا يجتهد". وتصف غدير طارق، الذي كان يُعاقب على المشي في الصف، بأنه "طالب يحتاج إلى الحركة ليفكر، وأن العقاب على المشي كان يمنعه من التفكير".</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الحالات الفردية ومؤشرات السببية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حين سُئلت المشاركات كيف عرفن أن الألعاب هي سبب التحسن، قدمن أدلة من نوع واحد تقريباً، وهو ما يمكن تسميته التزامن والانقطاع: أن التحسن بدأ في الأسبوع الذي بدأت فيه الألعاب، وأنه ظهر في الوحدات التي لُعبت أكثر من الوحدات التي لم تُلعب، وأنه تراجع حين انتقل الطالب إلى معلمة لا تستخدم الحركة. تروي منال عن وسيم، الذي كانت معلمته السابقة تظن أنه يعاني من صعوبة تعلم:</w:t>
      </w:r>
    </w:p>
    <w:p>
      <w:pPr>
        <w:bidi/>
        <w:spacing w:after="160" w:before="0" w:line="480"/>
        <w:ind w:left="720" w:right="720"/>
        <w:jc w:val="both"/>
      </w:pPr>
      <w:r>
        <w:rPr>
          <w:rFonts w:ascii="Times New Roman" w:cs="Simplified Arabic" w:eastAsia="Times New Roman" w:hAnsi="Times New Roman"/>
          <w:b w:val="false"/>
          <w:i w:val="false"/>
          <w:iCs w:val="false"/>
          <w:sz w:val="24"/>
          <w:szCs w:val="28"/>
          <w:rtl/>
          <w:lang w:val="en-US" w:bidi="ar-SA"/>
        </w:rPr>
        <w:t xml:space="preserve">عندما انتقل إلى الصف الثالث مع معلمة لا تستخدم الحركة، انخفضت علامته إلى الخمسينات في الفصل الأول، ثم ارتفعت عندما بدأت زميلتي تستخدم بعض ألعابي بناءً على طلبي. وسيم اليوم في الصف الخامس وعلاماته جيدة، ولم يُحوّل للتشخيص أبداً.</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إلى جانب هذا الدليل، أوردت المشاركات شهادات الطلاب أنفسهم. قالت سلمى لرحاب: "قبل كنت أحفظ ولا أفهم، والآن أرى الحل في رأسي كأنني أمشي عليه"، وقالت لمى لوفاء: "قبل كنت أحفظ ولا أرى، والآن أرى الرقم على الخط"، وقال عمر لميسون: "في الساحة أفهم وفي الصف لا". والملاحظ في هذه الشهادات الثلاث أنها تصف الشيء نفسه بكلمات مختلفة: امتلاك صورة للمفهوم.</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بقاء أثر التعلم</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تقارن سبع من المشاركات بشكل منظم بين ما يتذكره الطلاب من المفاهيم الحركية وما يتذكرونه من المفاهيم المشروحة، باختبار قصير في بداية كل شهر أو كل فصل. قدرت رحاب النسبة بثلاثة أرباع الصف مقابل أقل من النصف بعد ثلاثة أشهر، وقدرتها سهى بسبعين بالمئة مقابل أربعين بالمئة بعد الصيف، وقدرتها نجوى بثمانين بالمئة مقابل خمسين بالمئة بعد شهرين. والأهم عندهن من النسبة هو طريقة التذكر: الطالب يستدعي اللعبة أولاً ثم يبني منها القاعدة. تقول منال إن الطلاب "يتذكرونها من خلال اللعبة نفسها: أسألهم عن الطرح فيقولون 'القطار'"، وتقول سهى إن الطلاب يكتبون في اختبار التشخيص "المحيط نمشي عليه والمساحة نجلس عليها". وتفسر ذلك بأن "الحركة تعطي الطالب تجربة يمكن أن يستعيدها في ذهنه"، وتفسره ميسون بأن "ما تعلمه الطالب بجسده يُخزَّن كحدث عاشه، والأحداث تُنسى أقل من المعلومات".</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لكن المشاركات وصفن حدين لهذا الأثر. الأول أن التذكر قد يبقى تذكراً للعبة لا للرياضيات، فقد رأت سهى في اختبارات التشخيص "طلاباً يكتبون 'لعبنا في الممر' جواباً عن سؤال في الكسور"، وهذا يحدث حين لا تُربط اللعبة بالكتابة في اليوم نفسه. والثاني أن التذكر الحركي يحفظ المفهوم لا المهارة، فالطالب "يتذكر أن الضرب قفز متكرر لكنه قد ينسى أن ٧×٨=٥٦" كما تقول غدير. ولمواجهة الحدين طورت ثلاث معلمات، كل على حدة، ممارسة متطابقة تقريباً: إعادة اللعبة بعد شهر في خمس دقائق ثم الانتقال فوراً إلى الورقة، وهي ما تسميها نجوى "الجرعة المنشطة".</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اللعبة الفاشلة كخسارة لا كوقت ضائع</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روت المشاركات جميعاً حصة واحدة على الأقل فشلت فيها اللعبة، وكانت أسباب الفشل متشابهة إلى حد لافت: عدد كبير من الطلاب يتحركون في وقت واحد، ولعبة تجمع مفهومين أو حركتين، ومفهوم جوهره ترتيب يُعلَّم بحركة حرة، وقواعد لم تُعلن قبل البدء. حاولت منال تعليم العشرات والآحاد بلعبة كبيرة في الساحة مع اثنين وثلاثين طفلاً، وحاولت ميسون إضافة الجمع إلى لعبة القيمة المكانية، وحاولت سهى ومعلمة شابة تعليم ترتيب العمليات بمحطات في الساحة، فكانت النتيجة "أن الطلاب ركضوا بين المحطات بلا ترتيب، أي عكس المفهوم تماماً" كما تقول وفاء التي كررت المحاولة نفسها.</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النتيجة المشتركة التي وصفتها المعلمات هي أن ورقة العمل في الحصة التالية كانت أسوأ مما قبل اللعبة. تلخص رحاب: "الفشل في اللعبة يضر أكثر من الشرح الممل، لأنه يخلط المفهوم، ولأن الطلاب يفقدون الثقة في اللعبة التالية". وتضيف ميسون أن الطلاب قالوا في اللعبة التالية "هل ستكون فوضى مثل المرة الماضية؟". ومن هذه التجارب خرجت المشاركات بممارسة واحدة تكررت عند خمس منهن من دون تنسيق: تجريب كل لعبة جديدة أولاً مع مجموعة صغيرة من ستة طلاب في وقت الاستراحة قبل تطبيقها على الصف.</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ثالثاً: أثر الألعاب الحركية في الدافعية والمشاركة</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جو الصف والمراجعة التلقائية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وصفت المشاركات الثماني جو الصف عند الإعلان عن لعبة حركية بصور متقاربة في الصفوف الدنيا: صوت جماعي، ووقوف قبل الطلب، وترتيب للطاولات من تلقاء الطلاب، وتفاوض على الأدوار. تقول منال: "الطلاب الذين عادة يتأخرون في إخراج الدفتر، يكونون أول من يقف". وتضيف أمل أن أطفال الدمج "الذين في الحصة العادية يكونون منقطعين عن الصف، ينضمون إلى الجو فوراً، لأن الفرح لا يحتاج إلى فهم".</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الظاهرة التي أثارت انتباه أربع معلمات هي المراجعة التلقائية للمفهوم قبل اللعبة. تصف غدير: "يبدأ الطلاب بمراجعة الجدول بأصواتهم قبل اللعبة، لأنهم يريدون أن يقفزوا بلا خطأ، أي أنهم يراجعون الدرس من تلقاء أنفسهم، وهذا لا يحدث قبل الامتحان حتى". وتروي منال أن طالباً قال لزميله "تذكر، في الطرح نرجع للخلف" لأنه يريد أن يفوز. أما في الصفوف العليا فالجو مختلف، إذ يبدأ بما تسميه سهى "اختباراً": "'هل هذه لعبة للصغار؟' يقولها طالب أو طالبة بنبرة فيها تحدٍ"، ولا يتغير إلا حين تُقدَّم اللعبة بوصفها مشكلة أو منافسة. وتصف ثلاث معلمات للصفوف العليا انقلاباً في الأدوار: الطلاب النشيطون الذين يُخرجون من الحصة العادية يصبحون قادة اللعبة، "لأن اللعبة تعطي قيمة للحركة والسرعة والتنظيم، وهذه أشياء يجيدونها" كما تقول رحاب.</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سلّم المشاركة عند الطلاب الصامتين</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حين سُئلت المشاركات عن طالب لم يكن يشارك، رَوَت كل واحدة منهن حالة، والحالات الثماني تتبع مساراً واحداً تقريباً: مشاركة بالجسد من دون كلام، ثم كلام مع المجموعة الصغيرة، ثم كلام أمام الصف داخل اللعبة، ثم كلام أمام الصف خارج اللعبة. تصف غدير مسار ندى:</w:t>
      </w:r>
    </w:p>
    <w:p>
      <w:pPr>
        <w:bidi/>
        <w:spacing w:after="160" w:before="0" w:line="480"/>
        <w:ind w:left="720" w:right="720"/>
        <w:jc w:val="both"/>
      </w:pPr>
      <w:r>
        <w:rPr>
          <w:rFonts w:ascii="Times New Roman" w:cs="Simplified Arabic" w:eastAsia="Times New Roman" w:hAnsi="Times New Roman"/>
          <w:b w:val="false"/>
          <w:i w:val="false"/>
          <w:iCs w:val="false"/>
          <w:sz w:val="24"/>
          <w:szCs w:val="28"/>
          <w:rtl/>
          <w:lang w:val="en-US" w:bidi="ar-SA"/>
        </w:rPr>
        <w:t xml:space="preserve">الذي رأيته بالضبط هو أن مشاركة ندى تدرجت: أولاً مشاركة بالجسد بلا كلام، ثم كلام مع المجموعة الصغيرة، ثم كلام أمام الصف داخل اللعبة، ثم كلام أمام الصف خارج اللعبة. كل درجة كانت ممكنة لأن الدرجة التي قبلها نجحت.</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وتصف أمل حمزة، الذي لم تسمع صوته شهرين، بأن "اللعبة سمحت له بأن يشارك دون أن يتكلم، حتى صار الكلام سهلاً"، وتصف منال جنى بأن "المشاركة بدأت بالجسد قبل الكلام". أما عند الطلاب المصنفين "مشاغبين" في الصفوف العليا، فقد بدأ المسار من دور فيه سلطة ولا يبدو رياضياً: جعلت رحاب يزن مسؤولاً عن قياس الخط بشريط القياس، وجعلت وفاء نضال مسؤولاً عن وضع العلامات على الخط العشري، وجعلت نجوى مالك "حارس الدائرة". تفسر نجوى: "الحصة العادية كانت تعطيه خيارين: أن يجيب أو أن يُعاقب، واللعبة أعطته خياراً ثالثاً: أن يكون مفيداً بلا إجابة، ومن هناك بنى ثقته".</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ما يميز هذه الحالات أن المشاركة انتقلت بعد ذلك إلى الحصص العادية وأحياناً إلى مواد أخرى. رفعت ندى يدها في حصة اللغة العربية، وتغير يزن ونضال في حصص أخرى بحسب مربيتيهما، وقالت أم جنى إنها صارت تعلّم أختها الكبيرة لعبة القطار في البيت. ولا تقدم المعلمات هذا التغير على أنه انقلاب مفاجئ بل صعود درجة درجة، وتقول منال إن "دور المعلمة هو أن تبني الدرجات صغيرة بحيث لا تخيف أحداً".</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مؤشرات الدافعية الأربعة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وصفت المشاركات الفرق في الدافعية بين نوعي الحصص من خلال المؤشرات الأربعة التي طُرحت في السؤال، وقدمت أربع منهن أرقاماً من دفاترهن. عدد مرات قول "انتبهوا" في الحصة: ست أو سبع في الحصة العادية مقابل مرة أو مرتين في اللعبة عند غدير، وسبع مقابل واحدة أو اثنتين عند نجوى، وثماني مقابل اثنتين عند سهى ووفاء. عدد المبادرين: خمسة أو ستة ثابتون في الحصة العادية مقابل معظم الصف في اللعبة عند الجميع، والسبب كما تقول منال أن "المبادرة تعني أن تقف في الطابور وليس أن تجيب أمام الجميع".</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المؤشر الذي رأت فيه المشاركات الفرق الأكثر دلالة هو نوع الأسئلة. تقول منال:</w:t>
      </w:r>
    </w:p>
    <w:p>
      <w:pPr>
        <w:bidi/>
        <w:spacing w:after="160" w:before="0" w:line="480"/>
        <w:ind w:left="720" w:right="720"/>
        <w:jc w:val="both"/>
      </w:pPr>
      <w:r>
        <w:rPr>
          <w:rFonts w:ascii="Times New Roman" w:cs="Simplified Arabic" w:eastAsia="Times New Roman" w:hAnsi="Times New Roman"/>
          <w:b w:val="false"/>
          <w:i w:val="false"/>
          <w:iCs w:val="false"/>
          <w:sz w:val="24"/>
          <w:szCs w:val="28"/>
          <w:rtl/>
          <w:lang w:val="en-US" w:bidi="ar-SA"/>
        </w:rPr>
        <w:t xml:space="preserve">في الحصة العادية الأسئلة تكون "المعلمة، هل هذا صحيح؟"، أي طلب موافقة، وفي اللعبة تكون الأسئلة "ماذا لو قفزنا للخلف؟"، "ماذا يحدث إذا وصلنا للصفر؟"، أي أسئلة استكشاف، وهذه أسئلة رياضية حقيقية.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وأوردت المشاركات الأخريات أسئلة من النوع نفسه: "ماذا لو نزل الجميع من الحافلة؟" عند أمل، و"ماذا لو دخل مئة طالب إلى دائرة الآحاد؟" عند ميسون، و"لماذا ٠٫٠٩ أصغر من ٠٫١؟" عند وفاء. أما الاستمرار في المحاولة، فوصفته المعلمات بأن الطالب الذي يخطئ في الحصة العادية "يشطب ويتوقف وينتظر"، وفي اللعبة يعيد المحاولة وحده، ورأت منال طلاباً "يعيدون القفزة أربع مرات دون أن يطلب منهم أحد"، ورأت رحاب مجموعة "تقيس الخط أربع مرات حتى تتأكد".</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حدود الدافعية والتعامل مع الرافضين والخجولين والمبالغين</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لم تقدم المشاركات الدافعية على أنها مكسب مضمون. ذكرت ست منهن أن الدافعية في اللعبة قد تكون للفوز أو للحركة أو للخروج إلى الساحة لا للرياضيات. تقول ميسون إن "الطلاب يقبلون أي شيء في الساحة"، وتقول رحاب إنه "يحدث أن تغش مجموعة أو تتشاجر على النقاط". ولاحظت ثلاث معلمات أن كثرة الألعاب تفقدها أثرها، والتوازن الذي أوصت به سهى ونجوى هو "لعبة واحدة في كل ثلاث حصص". ولاحظت الجميع أن أثر اللعبة يمتد إلى الحصة التالية ثم يخفت، ووصفته رحاب بأنها تستخدم اللعبة "كوقود يُضاف كل أسبوع، وليس كمحرك دائم". وربطت ميسون الدافعية بمؤشر لا يظهر عند غيرها: سجل الحضور، إذ "الغياب يقل في الأيام التي يعرفون أن فيها لعبة".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في التعامل مع الطلاب الذين يرفضون أو يخجلون أو يبالغون، تطابقت ممارسات المشاركات الثماني إلى حد كبير. مع الرافضين: دور ثابت بلا حركة أمام الجميع وبلا إجابة، والانتظار من دون ضغط، وقد ذكرت أربع معلمات، كل على حدة، أنهن جربن مرة قول "الجميع ينتظرك" فبكى الطفل وانسحب لشهر. مع الخجولين، وهن غالباً بنات: ثنائي مع صديقة، وألعاب جماعية لا تُفرد أحداً، والبدء داخل الصف لا في الممر، وفي الصف السادس مجموعات بنات منفصلة، وتجنب التصفيق المبالغ فيه لأن "التصفيق ظهور، والطفلة الخجولة تريد أن تشارك بلا ظهور" كما تقول أمل. مع المبالغين، وهم غالباً أولاد نشيطون: قواعد قليلة مكتوبة قبل اللعبة، وإشارة توقف ثابتة، ودور فيه مسؤولية تمتص الطاقة، واتفاق فردي معهم قبل الحصة. وما لا ينجح، بإجماع المشاركات: الصراخ الذي "يرفع الضجيج ولا يخفضه"، والإخراج من اللعبة، والحرمان من اللعبة القادمة، لأن ذلك "يجعل اللعبة عقاباً".</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رابعاً: شروط التوظيف الناجح وتحدياته</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المعلمة كعامل حاسم</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حين سُئلت المشاركات في السؤال الختامي عما لم يُسأل عنه، أجابت ثلاث منهن، وهن اللواتي يرين معلمات أخريات في عملهن، بالجواب نفسه: المعلمة. تقول سهى: "أرى تسع معلمات يستخدمن اللعبة نفسها، وبعضهن ينجحن وبعضهن يفشلن، والفرق ليس في اللعبة بل في المعلمة". وتقول نجوى إن "اللعبة نفسها في يد معلمة واثقة تعلّم وفي يد معلمة متوترة تضيع الحصة". والعامل الذي تحددانه ليس الخبرة بل الهدوء والثقة: "المعلمة المتوترة تخلق طلاباً يبالغون، والمعلمة التي تخاف من الفوضى تخلق طلاباً يرفضون، لأنهم يشعرون بأنها لا تثق باللعبة" كما تقول سهى. وتضيف نجوى أنها تستطيع أن تتنبأ بنتيجة اللعبة من الدقيقة الأولى بعد الإعلان: إذا استُخدمت في شرح الهدف والقاعدة الواحدة نجحت اللعبة، وإذا أُضيعت في الصراخ "اهدأوا" فشلت.</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تؤكد المعلمات الأقل خبرة هذه الرؤية من الجانب الآخر. تصف وفاء سنتها الأولى، حين قال طالب "المعلمة، نحن لسنا في الروضة" وفقدت السيطرة على الصف وتوقفت فصلاً كاملاً، وتقول: "لو كان عندي مرشدة في سنتي الأولى، لما احتجت إلى كل هذه الأخطاء". وتصف غدير أنها كادت تتخلى عن الفكرة في سنتها الأولى لولا زميلة علمتها "أن اللعبة تحتاج إلى بنية". وتلاحظ نجوى أن "المعلمة التي فشلت في لعبتها الأولى قد تتخلى عن الطريقة كلها"، ولذلك ترى أن الإرشاد في اللعبة الأولى أهم من أي تدريب.</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الفرق بين الصفوف الدنيا والعليا</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كشفت المقارنة بين المعلمات الأربع في الصفوف الدنيا والأربع في الصفوف العليا عن فروق منهجية. في الصفوف الدنيا يكفي أن تكون اللعبة بسيطة ومعروفة، ويفضل الأطفال تكرار اللعبة نفسها، ومدة اللعبة لا تتجاوز عشر إلى خمس عشرة دقيقة، والمكان المفضل داخل الصف لأن الخروج يشتت الصغار. في الصفوف العليا يرفض الطلاب "اللعب" ويقبلون "التحدي"، ويحتاجون إلى منافسة أو مشكلة ليس لها جواب واضح، ويملون من اللعبة المكررة، ويفضل المعلمات الممر على الساحة لأن الساحة "تجعلهم يشعرون بأنها استراحة". تشرح وفاء الفرق بين صيغتين: "بدل أن أقول 'مثّلوا الكسر ثلاثة أرباع'، أقول 'أين يقف ثلاثة أرباع على هذا الخط؟ لديكم دقيقتان'، والفرق بين الجملتين هو الفرق بين لعبة يرفضونها وتحدٍ يقبلونه". وتضيف رحاب أن الطالب الضعيف في الصفوف العليا لا يدخل اللعبة فوراً كالصغير، بل "يقف جانباً ويسخر منها" في اللعبة الأولى ثم يراقب ويدخل.</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المكان والوقت والمنهاج والإدارة والأهل</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تكررت التحديات الخمسة عند المشاركات الثماني بترتيب متقارب. المكان: صفوف بأكثر من ثلاثين طالباً، وممر مشترك مع صفوف أخرى، وساحة لا تصلح في الحر ولا في المطر، ولا قاعة داخلية في أي من المدارس الثماني. الوقت: منهاج مزدحم وامتحانات مسح، وكل لعبة "تأخذ ضعف وقت الشرح" كما تقول رحاب، ولذلك تكتفي معلمات الصفوف العليا بلعبة أو اثنتين في الأسبوع. المنهاج والكتاب: لا يتضمنان أي نشاط حركي، وتبني كل معلمة كل شيء بنفسها في البيت، وتقول ميسون إن الكتاب "يقول 'استخدم مكعبات القيمة المكانية' وليس عندي مكعبات". الإدارة: تدعم من حيث المبدأ وتقلق من الضجيج، وعند زيارة المفتش تُنصح المعلمة بحصة "منظمة"، وهو ما تعلق عليه رحاب: "وكأن الحركة ليست تنظيماً". الأهل: بعضهم يظن أن اللعب ليس تعلماً، وتروي منال أن أماً قالت لها "ابني يقول إنكم تلعبون في الرياضيات، متى تدرسون؟"، وتجيب المعلمات جميعاً بالنتائج.</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أضافت ميسون، من مدرستها القروية، بعداً لا يظهر عند غيرها. فالجسد عندها هو "الوسيلة التعليمية الوحيدة التي عندي بلا حدود"، والألعاب الحركية في المدارس الفقيرة "أهم منها في المدارس الغنية، لأنها الوسيلة التعليمية الوحيدة المجانية والمتوفرة دائماً". وتراعي ما لا يفكر فيه من يعمل في مدرسة فيها قاعة: "الملابس والحذاء، فبعض الطلاب لا يستطيعون الزحف على التراب أو القفز بأحذية ممزقة". وتراعي أيضاً أن بعض الآباء لا يريدون أن تتحرك بناتهم في الساحة أمام الأولاد، فتلعب مع البنات في الممر الداخلي.</w:t>
      </w:r>
    </w:p>
    <w:p>
      <w:pPr>
        <w:pStyle w:val="Heading3"/>
        <w:keepNext/>
        <w:bidi/>
        <w:spacing w:after="120" w:before="160" w:line="480"/>
        <w:jc w:val="right"/>
      </w:pPr>
      <w:r>
        <w:rPr>
          <w:rFonts w:ascii="Times New Roman" w:cs="Simplified Arabic" w:eastAsia="Times New Roman" w:hAnsi="Times New Roman"/>
          <w:b/>
          <w:bCs/>
          <w:sz w:val="30"/>
          <w:szCs w:val="34"/>
          <w:rtl/>
          <w:lang w:val="en-US" w:bidi="ar-SA"/>
        </w:rPr>
        <w:t xml:space="preserve">ما تتمناه المعلمات</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تطابقت أمنيات المشاركات إلى حد أن الباحثة استطاعت ترتيبها في قائمة واحدة تكاد تكون مشتركة: دليل ألعاب حركية معتمد ومجرب لكل صف ولكل مفهوم، وتحديداً للصفوف العليا وللمدارس التي لا تملك أدوات؛ وتدريب عملي مستمر مع مرافقة في الصف بدل ورشة واحدة في السنة، ومرشدة في السنة الأولى؛ ومساحة داخلية مسقوفة في كل مدرسة؛ ومعايير لتقييم الحصة تعترف بالحركة طريقة تعليم؛ ومعلمة مساعدة في الصفوف الأولى؛ وبحث محلي "عندنا، في مدارسنا" كما تقول سهى ورحاب معاً.</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وأضافت المشاركات في السؤال الختامي أثرين لم يسأل عنهما البحث. الأول أثر الألعاب على العلاقة بين المعلمة وطلابها: تقول غدير إن "الطلاب الذين لعبوا معي يثقون بي أكثر"، وتقول وفاء إنها تحولت من "المعلمة التي تخرجنا" إلى "المعلمة التي عندها تحديات". والثاني أثرها على المعلمة نفسها: "أنا أخرج من حصة اللعبة متعبة جسدياً ومرتاحة نفسياً، وأخرج من الحصة العادية العكس" كما تقول منال. وأشارت أمل إلى أثر اجتماعي خاص بأطفال الدمج، إذ في اللعبة "هو طفل يتحرك مثل الجميع، وقد يكون السائق، وقد يفوز، وزملاؤه يرونه بعين أخرى".</w:t>
      </w:r>
    </w:p>
    <w:p>
      <w:r>
        <w:br w:type="page"/>
      </w:r>
    </w:p>
    <w:p>
      <w:pPr>
        <w:pStyle w:val="Heading1"/>
        <w:keepNext/>
        <w:bidi/>
        <w:spacing w:after="120" w:before="240" w:line="480"/>
        <w:jc w:val="center"/>
      </w:pPr>
      <w:r>
        <w:rPr>
          <w:rFonts w:ascii="Times New Roman" w:cs="Simplified Arabic" w:eastAsia="Times New Roman" w:hAnsi="Times New Roman"/>
          <w:b/>
          <w:bCs/>
          <w:sz w:val="36"/>
          <w:szCs w:val="40"/>
          <w:rtl/>
          <w:lang w:val="en-US" w:bidi="ar-SA"/>
        </w:rPr>
        <w:t xml:space="preserve">المناقشة والاستنتاجات</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يناقش هذا الفصل النتائج التي عرضها الفصل السابق في ضوء أسئلة البحث والإطار النظري والدراسات السابقة. نُظم الفصل في ثلاثة أقسام تقابل أسئلة البحث الثلاثة، يبدأ كل منها بعرض النتائج الرئيسة بلغة بسيطة، ثم يبين كيف تؤيد هذه النتائج الدراسات السابقة أو تخالفها أو تضيف إليها. ثم يعرض الفصل استنتاجات البحث، وتطبيقاته العملية، وإسهامه، ومحدداته.</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أولاً: توظيف الألعاب الحركية وتبسيط المفاهيم</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أظهرت النتائج أن المعلمات يوظفن الألعاب الحركية في نطاق محدد من المفاهيم، هي تلك التي فيها كمية أو اتجاه أو موقع أو علاقة، ويتجنبنها في الخوارزميات المكتوبة، وأن اللعبة الناجحة عندهن تقوم على أربعة أركان: فكرة رياضية واحدة تُصاغ بجملة، وحركة واحدة تجسدها لا ترمز إليها، وخطأ شائع تواجهه، وجسر كتابي إليها في الحصة نفسها.</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تؤيد هذه النتائج تأييداً كاملاً الافتراض الأساسي لنظرية المعرفة المجسدة كما صاغها أبراهامسون وليندغرين (2014)، إذ إن تمييز رحاب بين المفاهيم التي "يمكن تجسيدها" حيث "الجسد هو الفكرة نفسها" والمفاهيم التي "يمكن فقط تمثيلها بالحركة" هو الصياغة الميدانية لشرط شفافية التصميم الذي وضعه الباحثان. والمعلمات لم يقرأن هذا الشرط، بل وصلن إليه من الفشل: كل حالة فشل رويت في المقابلات كانت لعبة أُضيفت فيها حركة إلى مفهوم لا تمثله، كترتيب العمليات بمحطات في الساحة. كما تتسق النتائج مع تدرج برونر (1966) من التمثيل الفعلي إلى الرمزي، لكنها تضيف إليه ما يمكن تسميته البعد الزمني: المعلمات لا يكتفين بالبدء من الفعل، بل يشترطن أن يحدث الانتقال إلى الرمز في الحصة نفسها وبالأعداد نفسها، ويروين أن تأجيله إلى الحصة التالية يترك في ذاكرة الطالب "ذكرى جميلة بلا فائدة".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تتفق حدود التبسيط التي حددتها المعلمات مع ملاحظة حسين وآخرين (2022) أن الألعاب استُخدمت في الغالب للتدريب لا لتعلم محتوى جديد، لكنها تخالفها في اتجاه مهم: المعلمات هنا يستخدمن اللعبة تحديداً "للمفهوم عند ولادته" كما تقول نجوى، ويحذرن من استخدامها للتدريب على المهارة. التفسير المحتمل لهذا الاختلاف أن مراجعة حسين وآخرين تناولت الألعاب الرقمية، التي تناسب التدريب المتكرر، بينما الألعاب الحركية تناسب لحظة بناء المعنى الأولى. أما مبدأ "اللعبة التي تواجه خطأً محدداً"، فلم تجد الباحثة له نظيراً صريحاً في الأدبيات التي راجعتها، وهو أحد الإسهامات التي يقدمها البحث من داخل الممارسة.</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ثانياً: الأثر في التحصيل الدراسي</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أظهرت النتائج أن المعلمات يدركن أثراً إيجابياً في التحصيل تدعمه أرقام من دفاترهن، وأن هذا الأثر يظهر في أسئلة الفهم أكثر من أسئلة المهارة، ويتخذ شكل تحول في نوع الخطأ من خطأ مفهوم إلى خطأ حساب، ويأتي من الثلثين الأدنى والأوسط للصف فيقلص الفجوة، ويبقى مدة أطول، لكنه مشروط بالجسر إلى الورقة وقد ينقلب إلى خسارة حين تفشل اللعبة.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تتسق هذه النتائج مع الاتجاه العام في الدراسات التجريبية، ولا سيما دراسة هافه وآخرين (2018) ودراسة فازو وسكرايد (2017) ودراسة الحربي (2026)، وتتسق نتيجة بقاء أثر التعلم مع ما وجدته مافيليدي وآخرون (2018) في القياس المؤجل. لكن ما يميز نتائج هذا البحث هو أنها تفسر ما تقيسه تلك الدراسات. فالتحول من خطأ المفهوم إلى خطأ الحساب، الذي وصفته خمس معلمات بصياغات متطابقة تقريباً، يوضح لماذا ترتفع المتوسطات في أسئلة معينة دون غيرها، ولماذا يبدو الأثر معتدلاً في التحليلات البعدية كتحليل بيون وجونغ (2018) حين تُقاس المهارة والفهم معاً. وتقدم سهى النصيحة المنهجية التي تلخص ذلك: "أن ينظر الباحث إلى توزيع الأخطاء لا إلى المتوسط فقط، لأن المتوسط يخفي أين حدث التغيير".</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النتيجة الأكثر إثارة للاهتمام تتعلق بالفئة الأكثر استفادة. وجدت المعلمات أن التحسن جاء من الثلثين الأدنى والأوسط، وهذا يتفق مع جوابرة ونمر (2024) في أهمية الألعاب لمتدني التحصيل، ويبدو للوهلة الأولى مخالفاً لنتيجة بيك وآخرين (2016) التي ظهر فيها أثر الحركات الكبرى لدى الطلاب ذوي الأداء العادي دون منخفضي الأداء. لكن تمييز المعلمات بين نوعين من الطلاب الضعفاء يوفق بين النتيجتين: من "يجتهد بلا فهم" ويحتاج إلى صورة، وهذا يستفيد من الحركة استفادة كبيرة كسلمى ولمى، ومن "لا يجتهد" أو تراكمت فجواته سنوات، وهذا تفتح له اللعبة الباب ولا تسد فجوته إلا بعمل فردي بعدها. وربما كانت دراسة بيك وآخرين تقيس الفئة الثانية بعد تدخل لم يتضمن مرحلة الجسر الفردي، فبقي أثرها عندها محدوداً. كما أن تحذير سيفاويا وآخرين (2024) من تضرر الأطفال ذوي المهارات الحركية المنخفضة يجد صداه في حرص ميسون على ألا تختار لعبة "تحرج أحداً" بحذائه أو بقدرته على القفز، وفي إصرار المعلمات على أدوار بمستويات مختلفة من الحركة.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تضيف النتائج بعداً لم تتناوله الدراسات الكمية: أن اللعبة الفاشلة ليست حيادية. ثماني معلمات وصفن أن ورقة العمل بعد لعبة فاشلة كانت أسوأ مما قبلها، وأن الفشل كلف ثقة الطلاب باللعبة التالية. هذا يفسر جزءاً من التباين في الأدبيات: التدخلات التي تُنفذ في صفوف كثيرة بمعلمات لم يُدرّبن قد تتضمن نسبة من الألعاب الفاشلة تلغي أثر الناجحة في المتوسط، وهو ما قد يفسر غياب الأثر في دراسة سيفاويا وآخرين (2024) التي نفذها اثنان وعشرون معلماً متطوعاً في مدارس مختلفة.</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ثالثاً: الأثر في الدافعية والمشاركة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أظهرت النتائج أن الأثر الدافعي هو الأكثر وضوحاً وإجماعاً، ويتجلى في الانتباه والمبادرة ونوع الأسئلة والاستمرار في المحاولة، وفي مراجعة تلقائية للمفهوم قبل اللعبة، وفي مسار متدرج لمشاركة الطلاب الصامتين يبدأ بالجسد وينتهي بالكلام، وأن هذا الأثر محدود بأن الدافعية قد تكون للفوز أو للحركة لا للرياضيات، وبأنه يخفت مع كثرة الألعاب.</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يتفق الإجماع على الأثر الدافعي مع ما خلص إليه حسين وآخرون (2022) ودان وآخرون (2024) ووايت وماكوي (2019). ويمكن قراءة المؤشرات الأربعة التي وصفتها المعلمات في ضوء نظرية التحديد الذاتي (Deci &amp; Ryan, 2000): المبادرة التي "تعني أن تقف في الطابور وليس أن تجيب أمام الجميع" تشبع الحاجة إلى الكفاءة من دون تعريض الطالب لخطر الإخفاق العلني، والأدوار التي يتفاوض عليها الطلاب تشبع الحاجة إلى الاستقلالية، واللعب الجماعي يشبع الحاجة إلى الانتماء. لكن النتائج تضيف إلى هذا التفسير مؤشراً نوعياً لم تركز عليه الدراسات الكمية: التحول في نوع الأسئلة من "هل هذا صحيح؟" إلى "ماذا لو؟"، وهو تحول من طلب الموافقة إلى الاستكشاف، ومن الإجراء إلى المعنى. هذا المؤشر يربط الدافعية بالفهم مباشرة، ويقدم إجابة جزئية عن السؤال الذي تركته الأدبيات مفتوحاً حول ما إذا كانت الدافعية تترجم إلى تحصيل: تترجم حين تكون دافعية للمعنى، ولا تترجم حين تكون دافعية للفوز أو للخروج إلى الساحة.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أما سلّم المشاركة عند الطلاب الصامتين، فهو النتيجة التي لم تجد لها الباحثة نظيراً في الدراسات التي راجعتها، وقد تكرر بالتفاصيل نفسها عند المشاركات الثماني: مشاركة صامتة بالجسد، ثم كلام مع المجموعة، ثم كلام أمام الصف داخل اللعبة، ثم خارجها. ما تصفه المعلمات هو أن اللعبة الحركية تتيح شكلاً من المشاركة لا تتيحه الحصة العادية، وهو المشاركة بلا كلام، ومن هذا الشكل يبني الطفل الخجول ثقته درجة درجة. وتوفر النتائج أيضاً تفسيراً للفرق بين الصفوف الدنيا والعليا الذي أشارت إليه المعلمات: في الصفوف العليا تصبح الحاجة إلى الكفاءة أكثر حساسية، ولذلك يرفض الطالب "اللعب" الذي قد يُظهره طفلاً ويقبل "التحدي" الذي يعطيه دوراً فيه سلطة.</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استنتاجات البحث</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في ضوء النتائج، يخلص البحث إلى الاستنتاجات الآتية، وهي مستمدة حصراً من بيانات المقابلات:</w:t>
      </w:r>
    </w:p>
    <w:p>
      <w:pPr>
        <w:pStyle w:val="ListParagraph"/>
        <w:numPr>
          <w:ilvl w:val="0"/>
          <w:numId w:val="4"/>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توظف المعلمات الألعاب الحركية لتبسيط المفاهيم ذات البنية الكمية أو المكانية أو العلائقية عند بنائها الأول، ويتجنبنها في الخوارزميات المكتوبة، وتقوم اللعبة الناجحة عندهن على فكرة واحدة وحركة واحدة تجسدها وخطأ شائع تواجهه.</w:t>
      </w:r>
    </w:p>
    <w:p>
      <w:pPr>
        <w:pStyle w:val="ListParagraph"/>
        <w:numPr>
          <w:ilvl w:val="0"/>
          <w:numId w:val="4"/>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يدرك المشاركات أثراً إيجابياً في التحصيل يظهر في أسئلة الفهم وفي تحول نوع الخطأ من مفهوم إلى حساب، ويأتي من الثلثين الأدنى والأوسط للصف، ويبقى مدة أطول، ويشترط جسراً كتابياً في الحصة نفسها وعملاً فردياً بعدها مع الضعفاء.</w:t>
      </w:r>
    </w:p>
    <w:p>
      <w:pPr>
        <w:pStyle w:val="ListParagraph"/>
        <w:numPr>
          <w:ilvl w:val="0"/>
          <w:numId w:val="4"/>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الأثر الدافعي هو الأوضح، ويتجلى في تحول نوع الأسئلة من طلب الموافقة إلى الاستكشاف، وفي مسار متدرج لمشاركة الصامتين يبدأ بالجسد، ويمتد إلى الحصص العادية وإلى علاقة الطالب بالمعلمة، لكنه يخفت مع كثرة الألعاب وقد يتحول إلى دافعية للفوز.</w:t>
      </w:r>
    </w:p>
    <w:p>
      <w:pPr>
        <w:pStyle w:val="ListParagraph"/>
        <w:numPr>
          <w:ilvl w:val="0"/>
          <w:numId w:val="4"/>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اللعبة الفاشلة ليست وقتاً ضائعاً بل خسارة تخلط المفهوم وتكلف ثقة الطلاب، وأسبابها متكررة: عدد كبير، وحركتان في لعبة واحدة، ومفهوم جوهره ترتيب، وقواعد لم تُعلن.</w:t>
      </w:r>
    </w:p>
    <w:p>
      <w:pPr>
        <w:pStyle w:val="ListParagraph"/>
        <w:numPr>
          <w:ilvl w:val="0"/>
          <w:numId w:val="4"/>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أثر الألعاب الحركية يمر عبر المعلمة: هدوؤها وثقتها وطريقة إدارتها للدقيقة الأولى تحدد نتيجة اللعبة أكثر من اللعبة نفسها، والمعلمة الجديدة تحتاج إلى مرافقة في لعبتها الأولى.</w:t>
      </w:r>
    </w:p>
    <w:p>
      <w:pPr>
        <w:pStyle w:val="ListParagraph"/>
        <w:numPr>
          <w:ilvl w:val="0"/>
          <w:numId w:val="4"/>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تختلف الألعاب الحركية في الصفوف العليا اختلافاً جوهرياً عن الصفوف الدنيا في الاسم والبنية والمكان والمدة، وتكاد تغيب عن الأدلة المتوفرة.</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التطبيقات العملية</w:t>
      </w:r>
    </w:p>
    <w:p>
      <w:pPr>
        <w:pStyle w:val="ListParagraph"/>
        <w:numPr>
          <w:ilvl w:val="0"/>
          <w:numId w:val="2"/>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إعداد دليل ألعاب حركية معتمد لكل صف ولكل مفهوم في المنهاج، يُبنى على المبادئ التي استخلصها البحث: فكرة بجملة واحدة، وحركة واحدة تجسدها، والخطأ الشائع الذي تواجهه، والقواعد في ثلاث جمل، وسؤال منتصف اللعبة، وورقة الربط بالأعداد نفسها، والخطة البديلة. ويُخصص جزء منه للصفوف العليا بصيغة "التحدي"، وجزء للمدارس التي لا تملك أدوات.</w:t>
      </w:r>
    </w:p>
    <w:p>
      <w:pPr>
        <w:pStyle w:val="ListParagraph"/>
        <w:numPr>
          <w:ilvl w:val="0"/>
          <w:numId w:val="2"/>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اعتماد نموذج المرافقة في السنة الأولى بدل الورشة الواحدة: تحضر المرشدة اللعبة الأولى للمعلمة الجديدة وتجلس معها بعدها، وتبدأ المعلمة بمجموعة من ستة طلاب ثم عشرة ثم الصف.</w:t>
      </w:r>
    </w:p>
    <w:p>
      <w:pPr>
        <w:pStyle w:val="ListParagraph"/>
        <w:numPr>
          <w:ilvl w:val="0"/>
          <w:numId w:val="2"/>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تخصيص عشر دقائق بعد كل لعبة لمجموعة صغيرة من الطلاب الضعفاء، بالأعداد نفسها، على الورقة، وإدراج هذا الوقت في خطة الحصة لا خارجها.</w:t>
      </w:r>
    </w:p>
    <w:p>
      <w:pPr>
        <w:pStyle w:val="ListParagraph"/>
        <w:numPr>
          <w:ilvl w:val="0"/>
          <w:numId w:val="2"/>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إعادة كل لعبة بعد شهر في خمس دقائق ثم الانتقال فوراً إلى التمارين المكتوبة، بوصفها ممارسة منتظمة لتنشيط الذاكرة وربطها بالرمز.</w:t>
      </w:r>
    </w:p>
    <w:p>
      <w:pPr>
        <w:pStyle w:val="ListParagraph"/>
        <w:numPr>
          <w:ilvl w:val="0"/>
          <w:numId w:val="2"/>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تجريب كل لعبة جديدة مع مجموعة صغيرة في وقت الاستراحة قبل تطبيقها على الصف، ومراجعة خطة اللعبة مع زميلة قبل التنفيذ.</w:t>
      </w:r>
    </w:p>
    <w:p>
      <w:pPr>
        <w:pStyle w:val="ListParagraph"/>
        <w:numPr>
          <w:ilvl w:val="0"/>
          <w:numId w:val="2"/>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تضمين معايير تقييم الحصة في أثناء زيارات المفتشين بنداً يعترف بالحركة المنظمة طريقة تعليم، وتوعية إدارات المدارس بالفرق بين الضجيج المنتج والفوضى.</w:t>
      </w:r>
    </w:p>
    <w:p>
      <w:pPr>
        <w:pStyle w:val="ListParagraph"/>
        <w:numPr>
          <w:ilvl w:val="0"/>
          <w:numId w:val="2"/>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تخصيص مساحة داخلية مسقوفة في كل مدرسة للتعلم النشط، ولو غرفة فارغة، لأن غياب المكان كان التحدي الأول عند المشاركات الثماني.</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إسهام البحث</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يسهم البحث من أربع جهات. الأولى أنه يصف الألعاب الحركية في تدريس الرياضيات من داخل الصف ومن خلال من يمارسنها، في سياق مدارس قليلة الموارد في النقب لم يُبحث فيه هذا الموضوع من قبل. الثانية أنه يقدم تفسيراً من داخل الممارسة للتباين الذي رصدته الدراسات التجريبية في أثر الحركة على التحصيل، عبر ثلاثة مفاهيم: تحول نوع الخطأ، والتمييز بين نوعين من الطلاب الضعفاء، واللعبة الفاشلة كخسارة. الثالثة أنه يوثق مساراً متدرجاً لمشاركة الطلاب الصامتين لم تصفه الأدبيات التي راجعتها الباحثة. الرابعة أنه يفرد للصفوف العليا من المرحلة الابتدائية وصفاً مستقلاً يبين أن الألعاب الحركية فيها تحتاج إلى تصميم مختلف في الاسم والبنية.</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محددات البحث</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يتحدد البحث بعدد من المحددات. اقتصر على ثماني معلمات في مدارس ابتدائية في النقب، مما يحد من قابلية تعميم نتائجه، وإن كان التعميم ليس هدف البحث النوعي. واعتمد على تصورات المعلمات وإفاداتهن، وعلى أرقام من دفاتر علاماتهن لم تخضع لضبط تجريبي، فما ورد عن أثر الألعاب في التحصيل هو أثر مدرَك وموثق شخصياً لا أثر مقيس بأداة مستقلة، وقد نبهت المشاركات أنفسهن إلى عوامل أخرى كتراكم خبرتهن واختلاف الصفوف. واختيرت المشاركات من بين من يوظفن الألعاب الحركية فعلاً وينجحن فيها، وهو ما قد يكون قد أقصى وجهات نظر معلمات جربنها وتخلين عنها. وأخيراً، لم يُسمع في هذا البحث صوت الطلاب أنفسهم ولا الأهل إلا من خلال ما نقلته المعلمات، وتلك أصوات جديرة ببحث مستقل، إلى جانب الفرق بين البنات والأولاد في الاستفادة من الألعاب الحركية الذي أشارت إليه أكثر من مشاركة.</w:t>
      </w:r>
    </w:p>
    <w:p>
      <w:r>
        <w:br w:type="page"/>
      </w:r>
    </w:p>
    <w:p>
      <w:pPr>
        <w:pStyle w:val="Heading1"/>
        <w:keepNext/>
        <w:bidi/>
        <w:spacing w:after="120" w:before="240" w:line="480"/>
        <w:jc w:val="center"/>
      </w:pPr>
      <w:r>
        <w:rPr>
          <w:rFonts w:ascii="Times New Roman" w:cs="Simplified Arabic" w:eastAsia="Times New Roman" w:hAnsi="Times New Roman"/>
          <w:b/>
          <w:bCs/>
          <w:sz w:val="36"/>
          <w:szCs w:val="40"/>
          <w:rtl/>
          <w:lang w:val="en-US" w:bidi="ar-SA"/>
        </w:rPr>
        <w:t xml:space="preserve">قائمة المراجع</w:t>
      </w:r>
    </w:p>
    <w:p>
      <w:pPr>
        <w:bidi/>
        <w:spacing w:after="160" w:before="0" w:line="480"/>
        <w:ind w:left="720" w:hanging="720"/>
        <w:jc w:val="both"/>
      </w:pPr>
      <w:r>
        <w:rPr>
          <w:rFonts w:ascii="Times New Roman" w:cs="Simplified Arabic" w:eastAsia="Times New Roman" w:hAnsi="Times New Roman"/>
          <w:b w:val="false"/>
          <w:i w:val="false"/>
          <w:iCs w:val="false"/>
          <w:sz w:val="24"/>
          <w:szCs w:val="28"/>
          <w:rtl/>
          <w:lang w:val="en-US" w:bidi="ar-SA"/>
        </w:rPr>
        <w:t xml:space="preserve">جوابرة، ر' م'، ونمر، ن' ن' (2024). توظيف الألعاب التربوية في تعليم الرياضيات لدى طلبة الصف الثالث متدني التحصيل من وجهة نظر معلميهم في مدارس وكالة الغوث في رام الله. </w:t>
      </w:r>
      <w:r>
        <w:rPr>
          <w:rFonts w:ascii="Times New Roman" w:cs="Simplified Arabic" w:eastAsia="Times New Roman" w:hAnsi="Times New Roman"/>
          <w:b/>
          <w:bCs/>
          <w:i w:val="false"/>
          <w:iCs w:val="false"/>
          <w:sz w:val="24"/>
          <w:szCs w:val="28"/>
          <w:rtl/>
          <w:lang w:val="en-US" w:bidi="ar-SA"/>
        </w:rPr>
        <w:t xml:space="preserve">مجلة المناهج وطرق التدريس، 3</w:t>
      </w:r>
      <w:r>
        <w:rPr>
          <w:rFonts w:ascii="Times New Roman" w:cs="Simplified Arabic" w:eastAsia="Times New Roman" w:hAnsi="Times New Roman"/>
          <w:b w:val="false"/>
          <w:i w:val="false"/>
          <w:iCs w:val="false"/>
          <w:sz w:val="24"/>
          <w:szCs w:val="28"/>
          <w:rtl/>
          <w:lang w:val="en-US" w:bidi="ar-SA"/>
        </w:rPr>
        <w:t xml:space="preserve">(2)، 59-72. https://journals.ajsrp.com/index.php/jctm/article/view/7318</w:t>
      </w:r>
    </w:p>
    <w:p>
      <w:pPr>
        <w:bidi/>
        <w:spacing w:after="160" w:before="0" w:line="480"/>
        <w:ind w:left="720" w:hanging="720"/>
        <w:jc w:val="both"/>
      </w:pPr>
      <w:r>
        <w:rPr>
          <w:rFonts w:ascii="Times New Roman" w:cs="Simplified Arabic" w:eastAsia="Times New Roman" w:hAnsi="Times New Roman"/>
          <w:b w:val="false"/>
          <w:i w:val="false"/>
          <w:iCs w:val="false"/>
          <w:sz w:val="24"/>
          <w:szCs w:val="28"/>
          <w:rtl/>
          <w:lang w:val="en-US" w:bidi="ar-SA"/>
        </w:rPr>
        <w:t xml:space="preserve">الحربي، ع' ع' (2026). فاعلية توظيف الألعاب التعليمية في تحسين مستوى التحصيل العلمي في مادة الرياضيات لدى طلاب الصف الثالث الابتدائي. </w:t>
      </w:r>
      <w:r>
        <w:rPr>
          <w:rFonts w:ascii="Times New Roman" w:cs="Simplified Arabic" w:eastAsia="Times New Roman" w:hAnsi="Times New Roman"/>
          <w:b/>
          <w:bCs/>
          <w:i w:val="false"/>
          <w:iCs w:val="false"/>
          <w:sz w:val="24"/>
          <w:szCs w:val="28"/>
          <w:rtl/>
          <w:lang w:val="en-US" w:bidi="ar-SA"/>
        </w:rPr>
        <w:t xml:space="preserve">مجلة الآداب والعلوم الإنسانية والاجتماعية</w:t>
      </w:r>
      <w:r>
        <w:rPr>
          <w:rFonts w:ascii="Times New Roman" w:cs="Simplified Arabic" w:eastAsia="Times New Roman" w:hAnsi="Times New Roman"/>
          <w:b w:val="false"/>
          <w:i w:val="false"/>
          <w:iCs w:val="false"/>
          <w:sz w:val="24"/>
          <w:szCs w:val="28"/>
          <w:rtl/>
          <w:lang w:val="en-US" w:bidi="ar-SA"/>
        </w:rPr>
        <w:t xml:space="preserve">. https://www.jalhss.com/index.php/jalhss/article/view/1714</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Abrahamson, D., &amp; Lindgren, R. (2014). Embodiment and embodied design. In R. K. Sawyer (Ed.), </w:t>
      </w:r>
      <w:r>
        <w:rPr>
          <w:rFonts w:ascii="Times New Roman" w:cs="Simplified Arabic" w:eastAsia="Times New Roman" w:hAnsi="Times New Roman"/>
          <w:b w:val="false"/>
          <w:i/>
          <w:iCs/>
          <w:sz w:val="24"/>
          <w:szCs w:val="28"/>
          <w:rtl w:val="false"/>
          <w:lang w:val="en-US" w:bidi="ar-SA"/>
        </w:rPr>
        <w:t xml:space="preserve">The Cambridge handbook of the learning sciences</w:t>
      </w:r>
      <w:r>
        <w:rPr>
          <w:rFonts w:ascii="Times New Roman" w:cs="Simplified Arabic" w:eastAsia="Times New Roman" w:hAnsi="Times New Roman"/>
          <w:b w:val="false"/>
          <w:i w:val="false"/>
          <w:iCs w:val="false"/>
          <w:sz w:val="24"/>
          <w:szCs w:val="28"/>
          <w:rtl w:val="false"/>
          <w:lang w:val="en-US" w:bidi="ar-SA"/>
        </w:rPr>
        <w:t xml:space="preserve"> (2nd ed., pp. 358-376). Cambridge University Press.</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Beck, M. M., Lind, R. R., Geertsen, S. S., Ritz, C., Lundbye-Jensen, J., &amp; Wienecke, J. (2016). Motor-enriched learning activities can improve mathematical performance in preadolescent children. </w:t>
      </w:r>
      <w:r>
        <w:rPr>
          <w:rFonts w:ascii="Times New Roman" w:cs="Simplified Arabic" w:eastAsia="Times New Roman" w:hAnsi="Times New Roman"/>
          <w:b w:val="false"/>
          <w:i/>
          <w:iCs/>
          <w:sz w:val="24"/>
          <w:szCs w:val="28"/>
          <w:rtl w:val="false"/>
          <w:lang w:val="en-US" w:bidi="ar-SA"/>
        </w:rPr>
        <w:t xml:space="preserve">Frontiers in Human Neuroscience, 10</w:t>
      </w:r>
      <w:r>
        <w:rPr>
          <w:rFonts w:ascii="Times New Roman" w:cs="Simplified Arabic" w:eastAsia="Times New Roman" w:hAnsi="Times New Roman"/>
          <w:b w:val="false"/>
          <w:i w:val="false"/>
          <w:iCs w:val="false"/>
          <w:sz w:val="24"/>
          <w:szCs w:val="28"/>
          <w:rtl w:val="false"/>
          <w:lang w:val="en-US" w:bidi="ar-SA"/>
        </w:rPr>
        <w:t xml:space="preserve">, Article 645. https://doi.org/10.3389/fnhum.2016.00645</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Braun, V., &amp; Clarke, V. (2006). Using thematic analysis in psychology. </w:t>
      </w:r>
      <w:r>
        <w:rPr>
          <w:rFonts w:ascii="Times New Roman" w:cs="Simplified Arabic" w:eastAsia="Times New Roman" w:hAnsi="Times New Roman"/>
          <w:b w:val="false"/>
          <w:i/>
          <w:iCs/>
          <w:sz w:val="24"/>
          <w:szCs w:val="28"/>
          <w:rtl w:val="false"/>
          <w:lang w:val="en-US" w:bidi="ar-SA"/>
        </w:rPr>
        <w:t xml:space="preserve">Qualitative Research in Psychology, 3</w:t>
      </w:r>
      <w:r>
        <w:rPr>
          <w:rFonts w:ascii="Times New Roman" w:cs="Simplified Arabic" w:eastAsia="Times New Roman" w:hAnsi="Times New Roman"/>
          <w:b w:val="false"/>
          <w:i w:val="false"/>
          <w:iCs w:val="false"/>
          <w:sz w:val="24"/>
          <w:szCs w:val="28"/>
          <w:rtl w:val="false"/>
          <w:lang w:val="en-US" w:bidi="ar-SA"/>
        </w:rPr>
        <w:t xml:space="preserve">(2), 77-101. https://doi.org/10.1191/1478088706qp063oa</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Bruner, J. S. (1966). </w:t>
      </w:r>
      <w:r>
        <w:rPr>
          <w:rFonts w:ascii="Times New Roman" w:cs="Simplified Arabic" w:eastAsia="Times New Roman" w:hAnsi="Times New Roman"/>
          <w:b w:val="false"/>
          <w:i/>
          <w:iCs/>
          <w:sz w:val="24"/>
          <w:szCs w:val="28"/>
          <w:rtl w:val="false"/>
          <w:lang w:val="en-US" w:bidi="ar-SA"/>
        </w:rPr>
        <w:t xml:space="preserve">Toward a theory of instruction</w:t>
      </w:r>
      <w:r>
        <w:rPr>
          <w:rFonts w:ascii="Times New Roman" w:cs="Simplified Arabic" w:eastAsia="Times New Roman" w:hAnsi="Times New Roman"/>
          <w:b w:val="false"/>
          <w:i w:val="false"/>
          <w:iCs w:val="false"/>
          <w:sz w:val="24"/>
          <w:szCs w:val="28"/>
          <w:rtl w:val="false"/>
          <w:lang w:val="en-US" w:bidi="ar-SA"/>
        </w:rPr>
        <w:t xml:space="preserve">. Harvard University Press.</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Byun, J., &amp; Joung, E. (2018). Digital game-based learning for K-12 mathematics education: A meta-analysis. </w:t>
      </w:r>
      <w:r>
        <w:rPr>
          <w:rFonts w:ascii="Times New Roman" w:cs="Simplified Arabic" w:eastAsia="Times New Roman" w:hAnsi="Times New Roman"/>
          <w:b w:val="false"/>
          <w:i/>
          <w:iCs/>
          <w:sz w:val="24"/>
          <w:szCs w:val="28"/>
          <w:rtl w:val="false"/>
          <w:lang w:val="en-US" w:bidi="ar-SA"/>
        </w:rPr>
        <w:t xml:space="preserve">School Science and Mathematics, 118</w:t>
      </w:r>
      <w:r>
        <w:rPr>
          <w:rFonts w:ascii="Times New Roman" w:cs="Simplified Arabic" w:eastAsia="Times New Roman" w:hAnsi="Times New Roman"/>
          <w:b w:val="false"/>
          <w:i w:val="false"/>
          <w:iCs w:val="false"/>
          <w:sz w:val="24"/>
          <w:szCs w:val="28"/>
          <w:rtl w:val="false"/>
          <w:lang w:val="en-US" w:bidi="ar-SA"/>
        </w:rPr>
        <w:t xml:space="preserve">(3-4), 113-126. https://doi.org/10.1111/ssm.12271</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Creswell, J. W. (2013). </w:t>
      </w:r>
      <w:r>
        <w:rPr>
          <w:rFonts w:ascii="Times New Roman" w:cs="Simplified Arabic" w:eastAsia="Times New Roman" w:hAnsi="Times New Roman"/>
          <w:b w:val="false"/>
          <w:i/>
          <w:iCs/>
          <w:sz w:val="24"/>
          <w:szCs w:val="28"/>
          <w:rtl w:val="false"/>
          <w:lang w:val="en-US" w:bidi="ar-SA"/>
        </w:rPr>
        <w:t xml:space="preserve">Qualitative inquiry and research design: Choosing among five approaches</w:t>
      </w:r>
      <w:r>
        <w:rPr>
          <w:rFonts w:ascii="Times New Roman" w:cs="Simplified Arabic" w:eastAsia="Times New Roman" w:hAnsi="Times New Roman"/>
          <w:b w:val="false"/>
          <w:i w:val="false"/>
          <w:iCs w:val="false"/>
          <w:sz w:val="24"/>
          <w:szCs w:val="28"/>
          <w:rtl w:val="false"/>
          <w:lang w:val="en-US" w:bidi="ar-SA"/>
        </w:rPr>
        <w:t xml:space="preserve"> (3rd ed.). SAGE.</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Dan, N. N., Trung, L. T. B. T., Nga, N. T., &amp; Dung, T. M. (2024). Digital game-based learning in mathematics education at primary school level: A systematic literature review. Eurasia Journal of Mathematics, Science and Technology Education, 20(4), em2423. https://doi.org/10.29333/ejmste/14377</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Debrenti, E. (2024). Game-based learning experiences in primary mathematics education. </w:t>
      </w:r>
      <w:r>
        <w:rPr>
          <w:rFonts w:ascii="Times New Roman" w:cs="Simplified Arabic" w:eastAsia="Times New Roman" w:hAnsi="Times New Roman"/>
          <w:b w:val="false"/>
          <w:i/>
          <w:iCs/>
          <w:sz w:val="24"/>
          <w:szCs w:val="28"/>
          <w:rtl w:val="false"/>
          <w:lang w:val="en-US" w:bidi="ar-SA"/>
        </w:rPr>
        <w:t xml:space="preserve">Frontiers in Education, 9</w:t>
      </w:r>
      <w:r>
        <w:rPr>
          <w:rFonts w:ascii="Times New Roman" w:cs="Simplified Arabic" w:eastAsia="Times New Roman" w:hAnsi="Times New Roman"/>
          <w:b w:val="false"/>
          <w:i w:val="false"/>
          <w:iCs w:val="false"/>
          <w:sz w:val="24"/>
          <w:szCs w:val="28"/>
          <w:rtl w:val="false"/>
          <w:lang w:val="en-US" w:bidi="ar-SA"/>
        </w:rPr>
        <w:t xml:space="preserve">, Article 1331312. https://doi.org/10.3389/feduc.2024.1331312</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Deci, E. L., &amp; Ryan, R. M. (2000). The "what" and "why" of goal pursuits: Human needs and the self-determination of behavior. </w:t>
      </w:r>
      <w:r>
        <w:rPr>
          <w:rFonts w:ascii="Times New Roman" w:cs="Simplified Arabic" w:eastAsia="Times New Roman" w:hAnsi="Times New Roman"/>
          <w:b w:val="false"/>
          <w:i/>
          <w:iCs/>
          <w:sz w:val="24"/>
          <w:szCs w:val="28"/>
          <w:rtl w:val="false"/>
          <w:lang w:val="en-US" w:bidi="ar-SA"/>
        </w:rPr>
        <w:t xml:space="preserve">Psychological Inquiry, 11</w:t>
      </w:r>
      <w:r>
        <w:rPr>
          <w:rFonts w:ascii="Times New Roman" w:cs="Simplified Arabic" w:eastAsia="Times New Roman" w:hAnsi="Times New Roman"/>
          <w:b w:val="false"/>
          <w:i w:val="false"/>
          <w:iCs w:val="false"/>
          <w:sz w:val="24"/>
          <w:szCs w:val="28"/>
          <w:rtl w:val="false"/>
          <w:lang w:val="en-US" w:bidi="ar-SA"/>
        </w:rPr>
        <w:t xml:space="preserve">(4), 227-268. https://doi.org/10.1207/S15327965PLI1104_01</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Guest, G., Bunce, A., &amp; Johnson, L. (2006). How many interviews are enough? An experiment with data saturation and variability. </w:t>
      </w:r>
      <w:r>
        <w:rPr>
          <w:rFonts w:ascii="Times New Roman" w:cs="Simplified Arabic" w:eastAsia="Times New Roman" w:hAnsi="Times New Roman"/>
          <w:b w:val="false"/>
          <w:i/>
          <w:iCs/>
          <w:sz w:val="24"/>
          <w:szCs w:val="28"/>
          <w:rtl w:val="false"/>
          <w:lang w:val="en-US" w:bidi="ar-SA"/>
        </w:rPr>
        <w:t xml:space="preserve">Field Methods, 18</w:t>
      </w:r>
      <w:r>
        <w:rPr>
          <w:rFonts w:ascii="Times New Roman" w:cs="Simplified Arabic" w:eastAsia="Times New Roman" w:hAnsi="Times New Roman"/>
          <w:b w:val="false"/>
          <w:i w:val="false"/>
          <w:iCs w:val="false"/>
          <w:sz w:val="24"/>
          <w:szCs w:val="28"/>
          <w:rtl w:val="false"/>
          <w:lang w:val="en-US" w:bidi="ar-SA"/>
        </w:rPr>
        <w:t xml:space="preserve">(1), 59-82. https://doi.org/10.1177/1525822X05279903</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Have, M., Nielsen, J. H., Ernst, M. T., Gejl, A. K., Fredens, K., Grøntved, A., &amp; Kristensen, P. L. (2018). Classroom-based physical activity improves children's math achievement: A randomized controlled trial. </w:t>
      </w:r>
      <w:r>
        <w:rPr>
          <w:rFonts w:ascii="Times New Roman" w:cs="Simplified Arabic" w:eastAsia="Times New Roman" w:hAnsi="Times New Roman"/>
          <w:b w:val="false"/>
          <w:i/>
          <w:iCs/>
          <w:sz w:val="24"/>
          <w:szCs w:val="28"/>
          <w:rtl w:val="false"/>
          <w:lang w:val="en-US" w:bidi="ar-SA"/>
        </w:rPr>
        <w:t xml:space="preserve">PLoS ONE, 13</w:t>
      </w:r>
      <w:r>
        <w:rPr>
          <w:rFonts w:ascii="Times New Roman" w:cs="Simplified Arabic" w:eastAsia="Times New Roman" w:hAnsi="Times New Roman"/>
          <w:b w:val="false"/>
          <w:i w:val="false"/>
          <w:iCs w:val="false"/>
          <w:sz w:val="24"/>
          <w:szCs w:val="28"/>
          <w:rtl w:val="false"/>
          <w:lang w:val="en-US" w:bidi="ar-SA"/>
        </w:rPr>
        <w:t xml:space="preserve">(12), e0208787. https://doi.org/10.1371/journal.pone.0208787</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Hussein, M. H., Ow, S. H., Elaish, M. M., &amp; Jensen, E. O. (2022). Digital game-based learning in K-12 mathematics education: A systematic literature review. </w:t>
      </w:r>
      <w:r>
        <w:rPr>
          <w:rFonts w:ascii="Times New Roman" w:cs="Simplified Arabic" w:eastAsia="Times New Roman" w:hAnsi="Times New Roman"/>
          <w:b w:val="false"/>
          <w:i/>
          <w:iCs/>
          <w:sz w:val="24"/>
          <w:szCs w:val="28"/>
          <w:rtl w:val="false"/>
          <w:lang w:val="en-US" w:bidi="ar-SA"/>
        </w:rPr>
        <w:t xml:space="preserve">Education and Information Technologies, 27</w:t>
      </w:r>
      <w:r>
        <w:rPr>
          <w:rFonts w:ascii="Times New Roman" w:cs="Simplified Arabic" w:eastAsia="Times New Roman" w:hAnsi="Times New Roman"/>
          <w:b w:val="false"/>
          <w:i w:val="false"/>
          <w:iCs w:val="false"/>
          <w:sz w:val="24"/>
          <w:szCs w:val="28"/>
          <w:rtl w:val="false"/>
          <w:lang w:val="en-US" w:bidi="ar-SA"/>
        </w:rPr>
        <w:t xml:space="preserve">(2), 2859-2891. https://doi.org/10.1007/s10639-021-10721-x</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Lincoln, Y. S., &amp; Guba, E. G. (1985). </w:t>
      </w:r>
      <w:r>
        <w:rPr>
          <w:rFonts w:ascii="Times New Roman" w:cs="Simplified Arabic" w:eastAsia="Times New Roman" w:hAnsi="Times New Roman"/>
          <w:b w:val="false"/>
          <w:i/>
          <w:iCs/>
          <w:sz w:val="24"/>
          <w:szCs w:val="28"/>
          <w:rtl w:val="false"/>
          <w:lang w:val="en-US" w:bidi="ar-SA"/>
        </w:rPr>
        <w:t xml:space="preserve">Naturalistic inquiry</w:t>
      </w:r>
      <w:r>
        <w:rPr>
          <w:rFonts w:ascii="Times New Roman" w:cs="Simplified Arabic" w:eastAsia="Times New Roman" w:hAnsi="Times New Roman"/>
          <w:b w:val="false"/>
          <w:i w:val="false"/>
          <w:iCs w:val="false"/>
          <w:sz w:val="24"/>
          <w:szCs w:val="28"/>
          <w:rtl w:val="false"/>
          <w:lang w:val="en-US" w:bidi="ar-SA"/>
        </w:rPr>
        <w:t xml:space="preserve">. SAGE.</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Mavilidi, M. F., Okely, A., Chandler, P., Domazet, S. L., &amp; Paas, F. (2018). Immediate and delayed effects of integrating physical activity into preschool children's learning of numeracy skills. </w:t>
      </w:r>
      <w:r>
        <w:rPr>
          <w:rFonts w:ascii="Times New Roman" w:cs="Simplified Arabic" w:eastAsia="Times New Roman" w:hAnsi="Times New Roman"/>
          <w:b w:val="false"/>
          <w:i/>
          <w:iCs/>
          <w:sz w:val="24"/>
          <w:szCs w:val="28"/>
          <w:rtl w:val="false"/>
          <w:lang w:val="en-US" w:bidi="ar-SA"/>
        </w:rPr>
        <w:t xml:space="preserve">Journal of Experimental Child Psychology, 166</w:t>
      </w:r>
      <w:r>
        <w:rPr>
          <w:rFonts w:ascii="Times New Roman" w:cs="Simplified Arabic" w:eastAsia="Times New Roman" w:hAnsi="Times New Roman"/>
          <w:b w:val="false"/>
          <w:i w:val="false"/>
          <w:iCs w:val="false"/>
          <w:sz w:val="24"/>
          <w:szCs w:val="28"/>
          <w:rtl w:val="false"/>
          <w:lang w:val="en-US" w:bidi="ar-SA"/>
        </w:rPr>
        <w:t xml:space="preserve">, 502-519. https://doi.org/10.1016/j.jecp.2017.09.009</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Piaget, J. (1952). </w:t>
      </w:r>
      <w:r>
        <w:rPr>
          <w:rFonts w:ascii="Times New Roman" w:cs="Simplified Arabic" w:eastAsia="Times New Roman" w:hAnsi="Times New Roman"/>
          <w:b w:val="false"/>
          <w:i/>
          <w:iCs/>
          <w:sz w:val="24"/>
          <w:szCs w:val="28"/>
          <w:rtl w:val="false"/>
          <w:lang w:val="en-US" w:bidi="ar-SA"/>
        </w:rPr>
        <w:t xml:space="preserve">The origins of intelligence in children</w:t>
      </w:r>
      <w:r>
        <w:rPr>
          <w:rFonts w:ascii="Times New Roman" w:cs="Simplified Arabic" w:eastAsia="Times New Roman" w:hAnsi="Times New Roman"/>
          <w:b w:val="false"/>
          <w:i w:val="false"/>
          <w:iCs w:val="false"/>
          <w:sz w:val="24"/>
          <w:szCs w:val="28"/>
          <w:rtl w:val="false"/>
          <w:lang w:val="en-US" w:bidi="ar-SA"/>
        </w:rPr>
        <w:t xml:space="preserve"> (M. Cook, Trans.). International Universities Press.</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Syväoja, H. J., Sneck, S., Kukko, T., Asunta, P., Räsänen, P., Viholainen, H., Kulmala, J., Hakonen, H., &amp; Tammelin, T. H. (2024). Effects of physically active maths lessons on children's maths performance and maths-related affective factors: Multi-arm cluster randomized controlled trial. </w:t>
      </w:r>
      <w:r>
        <w:rPr>
          <w:rFonts w:ascii="Times New Roman" w:cs="Simplified Arabic" w:eastAsia="Times New Roman" w:hAnsi="Times New Roman"/>
          <w:b w:val="false"/>
          <w:i/>
          <w:iCs/>
          <w:sz w:val="24"/>
          <w:szCs w:val="28"/>
          <w:rtl w:val="false"/>
          <w:lang w:val="en-US" w:bidi="ar-SA"/>
        </w:rPr>
        <w:t xml:space="preserve">British Journal of Educational Psychology, 94</w:t>
      </w:r>
      <w:r>
        <w:rPr>
          <w:rFonts w:ascii="Times New Roman" w:cs="Simplified Arabic" w:eastAsia="Times New Roman" w:hAnsi="Times New Roman"/>
          <w:b w:val="false"/>
          <w:i w:val="false"/>
          <w:iCs w:val="false"/>
          <w:sz w:val="24"/>
          <w:szCs w:val="28"/>
          <w:rtl w:val="false"/>
          <w:lang w:val="en-US" w:bidi="ar-SA"/>
        </w:rPr>
        <w:t xml:space="preserve">(3), 839-861. https://doi.org/10.1111/bjep.12684</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Vazou, S., &amp; Skrade, M. A. B. (2017). Intervention integrating physical activity with math: Math performance, perceived competence, and need satisfaction. </w:t>
      </w:r>
      <w:r>
        <w:rPr>
          <w:rFonts w:ascii="Times New Roman" w:cs="Simplified Arabic" w:eastAsia="Times New Roman" w:hAnsi="Times New Roman"/>
          <w:b w:val="false"/>
          <w:i/>
          <w:iCs/>
          <w:sz w:val="24"/>
          <w:szCs w:val="28"/>
          <w:rtl w:val="false"/>
          <w:lang w:val="en-US" w:bidi="ar-SA"/>
        </w:rPr>
        <w:t xml:space="preserve">International Journal of Sport and Exercise Psychology, 15</w:t>
      </w:r>
      <w:r>
        <w:rPr>
          <w:rFonts w:ascii="Times New Roman" w:cs="Simplified Arabic" w:eastAsia="Times New Roman" w:hAnsi="Times New Roman"/>
          <w:b w:val="false"/>
          <w:i w:val="false"/>
          <w:iCs w:val="false"/>
          <w:sz w:val="24"/>
          <w:szCs w:val="28"/>
          <w:rtl w:val="false"/>
          <w:lang w:val="en-US" w:bidi="ar-SA"/>
        </w:rPr>
        <w:t xml:space="preserve">(5), 508-522. https://doi.org/10.1080/1612197X.2016.1164226</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White, K., &amp; McCoy, L. P. (2019). Effects of game-based learning on attitude and achievement in elementary mathematics. </w:t>
      </w:r>
      <w:r>
        <w:rPr>
          <w:rFonts w:ascii="Times New Roman" w:cs="Simplified Arabic" w:eastAsia="Times New Roman" w:hAnsi="Times New Roman"/>
          <w:b w:val="false"/>
          <w:i/>
          <w:iCs/>
          <w:sz w:val="24"/>
          <w:szCs w:val="28"/>
          <w:rtl w:val="false"/>
          <w:lang w:val="en-US" w:bidi="ar-SA"/>
        </w:rPr>
        <w:t xml:space="preserve">Networks: An Online Journal for Teacher Research, 21</w:t>
      </w:r>
      <w:r>
        <w:rPr>
          <w:rFonts w:ascii="Times New Roman" w:cs="Simplified Arabic" w:eastAsia="Times New Roman" w:hAnsi="Times New Roman"/>
          <w:b w:val="false"/>
          <w:i w:val="false"/>
          <w:iCs w:val="false"/>
          <w:sz w:val="24"/>
          <w:szCs w:val="28"/>
          <w:rtl w:val="false"/>
          <w:lang w:val="en-US" w:bidi="ar-SA"/>
        </w:rPr>
        <w:t xml:space="preserve">(1), Article 5. https://doi.org/10.4148/2470-6353.1259</w:t>
      </w:r>
    </w:p>
    <w:p>
      <w:pPr>
        <w:bidi w:val="false"/>
        <w:spacing w:after="160" w:before="0" w:line="480"/>
        <w:ind w:left="720" w:hanging="720"/>
        <w:jc w:val="left"/>
      </w:pPr>
      <w:r>
        <w:rPr>
          <w:rFonts w:ascii="Times New Roman" w:cs="Simplified Arabic" w:eastAsia="Times New Roman" w:hAnsi="Times New Roman"/>
          <w:b w:val="false"/>
          <w:i w:val="false"/>
          <w:iCs w:val="false"/>
          <w:sz w:val="24"/>
          <w:szCs w:val="28"/>
          <w:rtl w:val="false"/>
          <w:lang w:val="en-US" w:bidi="ar-SA"/>
        </w:rPr>
        <w:t xml:space="preserve">Wilson, M. (2002). Six views of embodied cognition. </w:t>
      </w:r>
      <w:r>
        <w:rPr>
          <w:rFonts w:ascii="Times New Roman" w:cs="Simplified Arabic" w:eastAsia="Times New Roman" w:hAnsi="Times New Roman"/>
          <w:b w:val="false"/>
          <w:i/>
          <w:iCs/>
          <w:sz w:val="24"/>
          <w:szCs w:val="28"/>
          <w:rtl w:val="false"/>
          <w:lang w:val="en-US" w:bidi="ar-SA"/>
        </w:rPr>
        <w:t xml:space="preserve">Psychonomic Bulletin &amp; Review, 9</w:t>
      </w:r>
      <w:r>
        <w:rPr>
          <w:rFonts w:ascii="Times New Roman" w:cs="Simplified Arabic" w:eastAsia="Times New Roman" w:hAnsi="Times New Roman"/>
          <w:b w:val="false"/>
          <w:i w:val="false"/>
          <w:iCs w:val="false"/>
          <w:sz w:val="24"/>
          <w:szCs w:val="28"/>
          <w:rtl w:val="false"/>
          <w:lang w:val="en-US" w:bidi="ar-SA"/>
        </w:rPr>
        <w:t xml:space="preserve">(4), 625-636. https://doi.org/10.3758/BF03196322</w:t>
      </w:r>
    </w:p>
    <w:p>
      <w:r>
        <w:br w:type="page"/>
      </w:r>
    </w:p>
    <w:p>
      <w:pPr>
        <w:pStyle w:val="Heading1"/>
        <w:keepNext/>
        <w:bidi/>
        <w:spacing w:after="120" w:before="240" w:line="480"/>
        <w:jc w:val="center"/>
      </w:pPr>
      <w:r>
        <w:rPr>
          <w:rFonts w:ascii="Times New Roman" w:cs="Simplified Arabic" w:eastAsia="Times New Roman" w:hAnsi="Times New Roman"/>
          <w:b/>
          <w:bCs/>
          <w:sz w:val="36"/>
          <w:szCs w:val="40"/>
          <w:rtl/>
          <w:lang w:val="en-US" w:bidi="ar-SA"/>
        </w:rPr>
        <w:t xml:space="preserve">الملاحق</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الملحق (أ): دليل المقابلة شبه المبنية</w:t>
      </w:r>
    </w:p>
    <w:p>
      <w:pPr>
        <w:bidi/>
        <w:spacing w:after="120" w:before="0" w:line="480"/>
        <w:jc w:val="both"/>
      </w:pPr>
      <w:r>
        <w:rPr>
          <w:rFonts w:ascii="Times New Roman" w:cs="Simplified Arabic" w:eastAsia="Times New Roman" w:hAnsi="Times New Roman"/>
          <w:b/>
          <w:bCs/>
          <w:i w:val="false"/>
          <w:iCs w:val="false"/>
          <w:sz w:val="24"/>
          <w:szCs w:val="28"/>
          <w:rtl/>
          <w:lang w:val="en-US" w:bidi="ar-SA"/>
        </w:rPr>
        <w:t xml:space="preserve">تمهيد يُقرأ للمشاركة:</w:t>
      </w:r>
      <w:r>
        <w:rPr>
          <w:rFonts w:ascii="Times New Roman" w:cs="Simplified Arabic" w:eastAsia="Times New Roman" w:hAnsi="Times New Roman"/>
          <w:b w:val="false"/>
          <w:i w:val="false"/>
          <w:iCs w:val="false"/>
          <w:sz w:val="24"/>
          <w:szCs w:val="28"/>
          <w:rtl/>
          <w:lang w:val="en-US" w:bidi="ar-SA"/>
        </w:rPr>
        <w:t xml:space="preserve"> شكراً لموافقتك على المشاركة في هذا البحث الذي يهدف إلى فهم أثر توظيف الألعاب الحركية في تدريس الرياضيات من وجهة نظر المعلمات. ستستغرق المقابلة نحو ساعة، وستُسجل صوتياً بإذنك، ولن يُذكر اسمك أو اسم مدرستك أو أسماء طلابك في أي موضع. يحق لك التوقف أو الانسحاب في أي وقت. هل لديك أي سؤال قبل أن نبدأ؟</w:t>
      </w:r>
    </w:p>
    <w:p>
      <w:pPr>
        <w:bidi/>
        <w:spacing w:after="120" w:before="0" w:line="480"/>
        <w:jc w:val="both"/>
      </w:pPr>
      <w:r>
        <w:rPr>
          <w:rFonts w:ascii="Times New Roman" w:cs="Simplified Arabic" w:eastAsia="Times New Roman" w:hAnsi="Times New Roman"/>
          <w:b/>
          <w:bCs/>
          <w:i w:val="false"/>
          <w:iCs w:val="false"/>
          <w:sz w:val="24"/>
          <w:szCs w:val="28"/>
          <w:rtl/>
          <w:lang w:val="en-US" w:bidi="ar-SA"/>
        </w:rPr>
        <w:t xml:space="preserve">البيانات العامة:</w:t>
      </w:r>
      <w:r>
        <w:rPr>
          <w:rFonts w:ascii="Times New Roman" w:cs="Simplified Arabic" w:eastAsia="Times New Roman" w:hAnsi="Times New Roman"/>
          <w:b w:val="false"/>
          <w:i w:val="false"/>
          <w:iCs w:val="false"/>
          <w:sz w:val="24"/>
          <w:szCs w:val="28"/>
          <w:rtl/>
          <w:lang w:val="en-US" w:bidi="ar-SA"/>
        </w:rPr>
        <w:t xml:space="preserve"> الصفوف التي تدرّسينها، سنوات الخبرة في تدريس الرياضيات، المؤهل العلمي، الأدوار الإضافية في المدرسة.</w:t>
      </w:r>
    </w:p>
    <w:p>
      <w:pPr>
        <w:bidi/>
        <w:spacing w:after="120" w:before="0" w:line="480"/>
        <w:jc w:val="both"/>
      </w:pPr>
      <w:r>
        <w:rPr>
          <w:rFonts w:ascii="Times New Roman" w:cs="Simplified Arabic" w:eastAsia="Times New Roman" w:hAnsi="Times New Roman"/>
          <w:b/>
          <w:bCs/>
          <w:i w:val="false"/>
          <w:iCs w:val="false"/>
          <w:sz w:val="24"/>
          <w:szCs w:val="28"/>
          <w:rtl/>
          <w:lang w:val="en-US" w:bidi="ar-SA"/>
        </w:rPr>
        <w:t xml:space="preserve">سؤال افتتاحي</w:t>
      </w:r>
    </w:p>
    <w:p>
      <w:pPr>
        <w:pStyle w:val="ListParagraph"/>
        <w:numPr>
          <w:ilvl w:val="0"/>
          <w:numId w:val="5"/>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حدثيني عن نفسك وعن مسيرتك في تدريس الرياضيات في المرحلة الابتدائية، وكيف بدأت علاقتك بالألعاب الحركية في التعليم.</w:t>
      </w:r>
    </w:p>
    <w:p>
      <w:pPr>
        <w:bidi/>
        <w:spacing w:after="120" w:before="0" w:line="480"/>
        <w:jc w:val="both"/>
      </w:pPr>
      <w:r>
        <w:rPr>
          <w:rFonts w:ascii="Times New Roman" w:cs="Simplified Arabic" w:eastAsia="Times New Roman" w:hAnsi="Times New Roman"/>
          <w:b/>
          <w:bCs/>
          <w:i w:val="false"/>
          <w:iCs w:val="false"/>
          <w:sz w:val="24"/>
          <w:szCs w:val="28"/>
          <w:rtl/>
          <w:lang w:val="en-US" w:bidi="ar-SA"/>
        </w:rPr>
        <w:t xml:space="preserve">المحور الأول: توظيف الألعاب الحركية في تعليم المفاهيم الرياضية وتبسيطها</w:t>
      </w:r>
    </w:p>
    <w:p>
      <w:pPr>
        <w:pStyle w:val="ListParagraph"/>
        <w:numPr>
          <w:ilvl w:val="0"/>
          <w:numId w:val="5"/>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صفي لي حصة رياضيات وظفتِ فيها لعبة حركية. ماذا كان المفهوم الرياضي، وكيف سارت الحصة من بدايتها إلى نهايتها؟</w:t>
      </w:r>
    </w:p>
    <w:p>
      <w:pPr>
        <w:pStyle w:val="ListParagraph"/>
        <w:numPr>
          <w:ilvl w:val="0"/>
          <w:numId w:val="5"/>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ما المفاهيم الرياضية التي تجدين أن الألعاب الحركية تناسبها أكثر من غيرها، مثل العد أو الجمع والطرح أو الأشكال الهندسية أو القياس؟ أعطيني مثالاً على كل مفهوم ذكرتِه.</w:t>
      </w:r>
    </w:p>
    <w:p>
      <w:pPr>
        <w:pStyle w:val="ListParagraph"/>
        <w:numPr>
          <w:ilvl w:val="0"/>
          <w:numId w:val="5"/>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حدثيني عن مفهوم رياضي كان صعباً على الطلاب بالطريقة التقليدية، وكيف تغير فهمهم له بعد استخدام لعبة حركية. ما الذي رأيتِه فعلاً عندهم؟</w:t>
      </w:r>
    </w:p>
    <w:p>
      <w:pPr>
        <w:pStyle w:val="ListParagraph"/>
        <w:numPr>
          <w:ilvl w:val="0"/>
          <w:numId w:val="5"/>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كيف تخططين للعبة الحركية قبل الحصة: من أين تأتين بالأفكار، وكيف تربطين اللعبة بأهداف الدرس، وما الذي تراعينه في المكان والوقت وعدد الطلاب؟</w:t>
      </w:r>
    </w:p>
    <w:p>
      <w:pPr>
        <w:pStyle w:val="ListParagraph"/>
        <w:numPr>
          <w:ilvl w:val="0"/>
          <w:numId w:val="5"/>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صفي لي كيف يتصرف الطلاب ذوو المستوى الضعيف في الرياضيات أثناء اللعبة الحركية مقارنة بالحصة العادية. ماذا يختلف عندهم؟</w:t>
      </w:r>
    </w:p>
    <w:p>
      <w:pPr>
        <w:bidi/>
        <w:spacing w:after="120" w:before="0" w:line="480"/>
        <w:jc w:val="both"/>
      </w:pPr>
      <w:r>
        <w:rPr>
          <w:rFonts w:ascii="Times New Roman" w:cs="Simplified Arabic" w:eastAsia="Times New Roman" w:hAnsi="Times New Roman"/>
          <w:b/>
          <w:bCs/>
          <w:i w:val="false"/>
          <w:iCs w:val="false"/>
          <w:sz w:val="24"/>
          <w:szCs w:val="28"/>
          <w:rtl/>
          <w:lang w:val="en-US" w:bidi="ar-SA"/>
        </w:rPr>
        <w:t xml:space="preserve">المحور الثاني: أثر الألعاب الحركية في التحصيل الدراسي</w:t>
      </w:r>
    </w:p>
    <w:p>
      <w:pPr>
        <w:pStyle w:val="ListParagraph"/>
        <w:numPr>
          <w:ilvl w:val="0"/>
          <w:numId w:val="5"/>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حدثيني عن التغيرات التي لاحظتِها في نتائج الطلاب في الامتحانات أو الواجبات بعد الوحدات التي درستِها بالألعاب الحركية. أعطيني مثالاً محدداً.</w:t>
      </w:r>
    </w:p>
    <w:p>
      <w:pPr>
        <w:pStyle w:val="ListParagraph"/>
        <w:numPr>
          <w:ilvl w:val="0"/>
          <w:numId w:val="5"/>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صفي لي طالباً أو طالبة تغير تحصيله في الرياضيات بعد تعلمه بالألعاب الحركية. ما الذي حدث معه، وكيف عرفتِ أن الألعاب هي السبب؟</w:t>
      </w:r>
    </w:p>
    <w:p>
      <w:pPr>
        <w:pStyle w:val="ListParagraph"/>
        <w:numPr>
          <w:ilvl w:val="0"/>
          <w:numId w:val="5"/>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كيف تقارنين بين ما يتذكره الطلاب من مفهوم تعلموه بلعبة حركية وما يتذكرونه من مفهوم تعلموه بالشرح والتمارين فقط، بعد أسابيع من الدرس؟</w:t>
      </w:r>
    </w:p>
    <w:p>
      <w:pPr>
        <w:pStyle w:val="ListParagraph"/>
        <w:numPr>
          <w:ilvl w:val="0"/>
          <w:numId w:val="5"/>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حدثيني عن حالة لم تحسن فيها اللعبة الحركية التحصيل، أو حتى شتّت الطلاب وأضاعت وقت الحصة. ما الذي حدث، وماذا تعلمتِ منها؟</w:t>
      </w:r>
    </w:p>
    <w:p>
      <w:pPr>
        <w:bidi/>
        <w:spacing w:after="120" w:before="0" w:line="480"/>
        <w:jc w:val="both"/>
      </w:pPr>
      <w:r>
        <w:rPr>
          <w:rFonts w:ascii="Times New Roman" w:cs="Simplified Arabic" w:eastAsia="Times New Roman" w:hAnsi="Times New Roman"/>
          <w:b/>
          <w:bCs/>
          <w:i w:val="false"/>
          <w:iCs w:val="false"/>
          <w:sz w:val="24"/>
          <w:szCs w:val="28"/>
          <w:rtl/>
          <w:lang w:val="en-US" w:bidi="ar-SA"/>
        </w:rPr>
        <w:t xml:space="preserve">المحور الثالث: أثر الألعاب الحركية في الدافعية والمشاركة داخل الصف</w:t>
      </w:r>
    </w:p>
    <w:p>
      <w:pPr>
        <w:pStyle w:val="ListParagraph"/>
        <w:numPr>
          <w:ilvl w:val="0"/>
          <w:numId w:val="5"/>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صفي لي جو الصف عندما تعلنين أن حصة الرياضيات ستكون بلعبة حركية. ماذا يقول الطلاب وماذا يفعلون؟</w:t>
      </w:r>
    </w:p>
    <w:p>
      <w:pPr>
        <w:pStyle w:val="ListParagraph"/>
        <w:numPr>
          <w:ilvl w:val="0"/>
          <w:numId w:val="5"/>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حدثيني عن طالب أو طالبة كان لا يشارك في حصص الرياضيات، وكيف تغيرت مشاركته أثناء الألعاب الحركية وبعدها. ما الذي رأيتِه بالضبط؟</w:t>
      </w:r>
    </w:p>
    <w:p>
      <w:pPr>
        <w:pStyle w:val="ListParagraph"/>
        <w:numPr>
          <w:ilvl w:val="0"/>
          <w:numId w:val="5"/>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كيف تلاحظين الفرق في دافعية الطلاب بين حصة الرياضيات التي تتضمن لعبة حركية والحصة التي لا تتضمنها، من حيث الانتباه والمبادرة وطرح الأسئلة والاستمرار في المحاولة؟</w:t>
      </w:r>
    </w:p>
    <w:p>
      <w:pPr>
        <w:pStyle w:val="ListParagraph"/>
        <w:numPr>
          <w:ilvl w:val="0"/>
          <w:numId w:val="5"/>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صفي لي كيف تتعاملين مع الطلاب الذين يرفضون المشاركة في الألعاب الحركية أو يخجلون منها أو يبالغون في الحركة والضجيج. ما الذي ينجح معهم وما الذي لا ينجح؟</w:t>
      </w:r>
    </w:p>
    <w:p>
      <w:pPr>
        <w:bidi/>
        <w:spacing w:after="120" w:before="0" w:line="480"/>
        <w:jc w:val="both"/>
      </w:pPr>
      <w:r>
        <w:rPr>
          <w:rFonts w:ascii="Times New Roman" w:cs="Simplified Arabic" w:eastAsia="Times New Roman" w:hAnsi="Times New Roman"/>
          <w:b/>
          <w:bCs/>
          <w:i w:val="false"/>
          <w:iCs w:val="false"/>
          <w:sz w:val="24"/>
          <w:szCs w:val="28"/>
          <w:rtl/>
          <w:lang w:val="en-US" w:bidi="ar-SA"/>
        </w:rPr>
        <w:t xml:space="preserve">سؤال ختامي</w:t>
      </w:r>
    </w:p>
    <w:p>
      <w:pPr>
        <w:pStyle w:val="ListParagraph"/>
        <w:numPr>
          <w:ilvl w:val="0"/>
          <w:numId w:val="5"/>
        </w:num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ما الصعوبات التي تواجهك في توظيف الألعاب الحركية في تدريس الرياضيات، من حيث المكان والوقت والمنهاج والإدارة والأهل؟ وما الذي تتمنين أن يتوفر لك لتوظفيها بشكل أفضل؟ وهل هناك شيء لم أسألك عنه وتعتقدين أنه مهم لهذا البحث؟</w:t>
      </w:r>
    </w:p>
    <w:p>
      <w:pPr>
        <w:bidi/>
        <w:spacing w:after="120" w:before="0" w:line="480"/>
        <w:jc w:val="both"/>
      </w:pPr>
      <w:r>
        <w:rPr>
          <w:rFonts w:ascii="Times New Roman" w:cs="Simplified Arabic" w:eastAsia="Times New Roman" w:hAnsi="Times New Roman"/>
          <w:b/>
          <w:bCs/>
          <w:i w:val="false"/>
          <w:iCs w:val="false"/>
          <w:sz w:val="24"/>
          <w:szCs w:val="28"/>
          <w:rtl/>
          <w:lang w:val="en-US" w:bidi="ar-SA"/>
        </w:rPr>
        <w:t xml:space="preserve">أسئلة متابعة تُستخدم حسب الحاجة:</w:t>
      </w:r>
      <w:r>
        <w:rPr>
          <w:rFonts w:ascii="Times New Roman" w:cs="Simplified Arabic" w:eastAsia="Times New Roman" w:hAnsi="Times New Roman"/>
          <w:b w:val="false"/>
          <w:i w:val="false"/>
          <w:iCs w:val="false"/>
          <w:sz w:val="24"/>
          <w:szCs w:val="28"/>
          <w:rtl/>
          <w:lang w:val="en-US" w:bidi="ar-SA"/>
        </w:rPr>
        <w:t xml:space="preserve"> "أعطيني مثالاً"؛ "ماذا قلتِ أو فعلتِ بالضبط؟"؛ "ماذا حدث بعد ذلك؟"؛ "كيف عرفتِ ذلك؟"؛ "ماذا كان سيحدث لو لم تستخدمي اللعبة؟"؛ "هل تكرر ذلك مع طلاب آخرين؟"؛ "ماذا تقصدين بـ...؟".</w:t>
      </w:r>
    </w:p>
    <w:p>
      <w:pPr>
        <w:pStyle w:val="Heading2"/>
        <w:keepNext/>
        <w:bidi/>
        <w:spacing w:after="120" w:before="200" w:line="480"/>
        <w:jc w:val="right"/>
      </w:pPr>
      <w:r>
        <w:rPr>
          <w:rFonts w:ascii="Times New Roman" w:cs="Simplified Arabic" w:eastAsia="Times New Roman" w:hAnsi="Times New Roman"/>
          <w:b/>
          <w:bCs/>
          <w:sz w:val="32"/>
          <w:szCs w:val="36"/>
          <w:rtl/>
          <w:lang w:val="en-US" w:bidi="ar-SA"/>
        </w:rPr>
        <w:t xml:space="preserve">الملحق (ب): نموذج الموافقة المستنيرة</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أنا الموقعة أدناه، أقر بأنني اطلعت على أهداف البحث الموسوم بـ"أثر توظيف الألعاب الحركية في تدريس الرياضيات على الفهم والتحصيل والدافعية لدى طلاب المرحلة الابتدائية من وجهة نظر المعلمات"، وعلى طبيعة مشاركتي فيه، وأنني أوافق طوعاً على إجراء مقابلة مسجلة صوتياً، مع علمي بأن بياناتي ستُعامل بسرية تامة، وأن اسمي واسم مدرستي وأسماء طلابي لن تُذكر في أي موضع، وأنه يحق لي الانسحاب من البحث في أي وقت دون أي تبعات.</w:t>
      </w:r>
    </w:p>
    <w:p>
      <w:pPr>
        <w:bidi/>
        <w:spacing w:after="120" w:before="0" w:line="480"/>
        <w:jc w:val="both"/>
      </w:pPr>
      <w:r>
        <w:rPr>
          <w:rFonts w:ascii="Times New Roman" w:cs="Simplified Arabic" w:eastAsia="Times New Roman" w:hAnsi="Times New Roman"/>
          <w:b w:val="false"/>
          <w:i w:val="false"/>
          <w:iCs w:val="false"/>
          <w:sz w:val="24"/>
          <w:szCs w:val="28"/>
          <w:rtl/>
          <w:lang w:val="en-US" w:bidi="ar-SA"/>
        </w:rPr>
        <w:t xml:space="preserve">التوقيع: ____________________        التاريخ: ____________________</w:t>
      </w:r>
    </w:p>
    <w:sectPr>
      <w:footerReference w:type="default" r:id="rId7"/>
      <w:pgSz w:w="11906" w:h="16838" w:orient="portrait"/>
      <w:pgMar w:top="1418" w:right="1418" w:bottom="1418" w:left="141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Simplified Arabic" w:eastAsia="Times New Roman" w:hAnsi="Times New Roman"/>
        <w:sz w:val="24"/>
        <w:szCs w:val="24"/>
        <w:lang w:val="en-US" w:bidi="ar-S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abstractNum w:abstractNumId="4" w15:restartNumberingAfterBreak="0">
    <w:multiLevelType w:val="hybridMultilevel"/>
    <w:lvl w:ilvl="0" w15:tentative="1">
      <w:start w:val="1"/>
      <w:numFmt w:val="decimal"/>
      <w:lvlText w:val="%1."/>
      <w:lvlJc w:val="right"/>
      <w:pPr>
        <w:ind w:left="720" w:hanging="360"/>
      </w:pPr>
    </w:lvl>
  </w:abstractNum>
  <w:abstractNum w:abstractNumId="5"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Simplified Arabic" w:eastAsia="Times New Roman" w:hAnsi="Times New Roman"/>
        <w:sz w:val="24"/>
        <w:szCs w:val="28"/>
        <w:rtl/>
        <w:lang w:val="en-US" w:bidi="ar-SA"/>
      </w:rPr>
    </w:rPrDefault>
    <w:pPrDefault>
      <w:pPr>
        <w:spacing w:after="12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Simplified Arabic" w:eastAsia="Times New Roman" w:hAnsi="Times New Roman"/>
      <w:b/>
      <w:bCs/>
      <w:color w:val="000000"/>
      <w:sz w:val="36"/>
      <w:szCs w:val="36"/>
      <w:lang w:val="en-US" w:bidi="ar-SA"/>
    </w:rPr>
  </w:style>
  <w:style w:type="paragraph" w:styleId="Heading2">
    <w:name w:val="Heading 2"/>
    <w:basedOn w:val="Normal"/>
    <w:next w:val="Normal"/>
    <w:qFormat/>
    <w:pPr>
      <w:spacing w:after="120" w:before="200"/>
      <w:outlineLvl w:val="1"/>
    </w:pPr>
    <w:rPr>
      <w:rFonts w:ascii="Times New Roman" w:cs="Simplified Arabic" w:eastAsia="Times New Roman" w:hAnsi="Times New Roman"/>
      <w:b/>
      <w:bCs/>
      <w:color w:val="000000"/>
      <w:sz w:val="32"/>
      <w:szCs w:val="32"/>
      <w:lang w:val="en-US" w:bidi="ar-SA"/>
    </w:rPr>
  </w:style>
  <w:style w:type="paragraph" w:styleId="Heading3">
    <w:name w:val="Heading 3"/>
    <w:basedOn w:val="Normal"/>
    <w:next w:val="Normal"/>
    <w:qFormat/>
    <w:pPr>
      <w:spacing w:after="120" w:before="160"/>
      <w:outlineLvl w:val="2"/>
    </w:pPr>
    <w:rPr>
      <w:rFonts w:ascii="Times New Roman" w:cs="Simplified Arabic" w:eastAsia="Times New Roman" w:hAnsi="Times New Roman"/>
      <w:b/>
      <w:bCs/>
      <w:color w:val="000000"/>
      <w:sz w:val="30"/>
      <w:szCs w:val="30"/>
      <w:lang w:val="en-US" w:bidi="ar-S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רשימת מקורות שפיטים: הוראה מודעת טראומה בישראל (2021–2026)</dc:title>
  <dc:creator>Student</dc:creator>
  <cp:lastModifiedBy>Un-named</cp:lastModifiedBy>
  <cp:revision>1</cp:revision>
  <dcterms:created xsi:type="dcterms:W3CDTF">2026-09-13T17:46:06.857Z</dcterms:created>
  <dcterms:modified xsi:type="dcterms:W3CDTF">2026-09-13T17:46:06.857Z</dcterms:modified>
</cp:coreProperties>
</file>

<file path=docProps/custom.xml><?xml version="1.0" encoding="utf-8"?>
<Properties xmlns="http://schemas.openxmlformats.org/officeDocument/2006/custom-properties" xmlns:vt="http://schemas.openxmlformats.org/officeDocument/2006/docPropsVTypes"/>
</file>