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bidi/>
        <w:spacing w:after="120" w:before="240" w:line="480"/>
        <w:jc w:val="center"/>
      </w:pPr>
      <w:r>
        <w:rPr>
          <w:rFonts w:ascii="Times New Roman" w:cs="David" w:eastAsia="Times New Roman" w:hAnsi="Times New Roman"/>
          <w:b/>
          <w:bCs/>
          <w:sz w:val="36"/>
          <w:szCs w:val="40"/>
          <w:rtl/>
          <w:lang w:val="en-US" w:bidi="he-IL"/>
        </w:rPr>
        <w:t xml:space="preserve">נספח א': מתווה הריאיון החצי-מובנה</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כלי המחקר הוא ריאיון חצי-מובנה, ובאמצעותו נאספו הנתונים משמונה אנשי חינוך: מחנכות ומחנכי כיתה ויועצות חינוכיות בבתי ספר יסודיים ועל-יסודיים בישראל, שעבדו עם תלמידים במהלך שנת הלימודים שאחרי 7 באוקטובר 2023. המתווה נבנה בעקבות המסגרת של הוראה מודעת טראומה, ובה זיהוי תגובות דחק בכיתה, ויסות ושגרה, יחסי מורה ותלמיד, וטראומה משנית של אנשי החינוך (2025). שלושת צירי הריאיון מקבילים לשלוש שאלות המחקר.</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המתווה כולל שאלת פתיחה, ארבע עשרה שאלות ממוקדות בשלושה צירים, ושאלות המשך שהמראיינת משתמשת בהן לפי הצורך. סדר השאלות גמיש. כאשר מרואיין מקדים ועונה על שאלה מאוחרת, המראיינת אינה חוזרת עליה אלא מעמיקה בה. משך ריאיון משוער: 45 עד 60 דקות. הראיונות מוקלטים באישור המרואיינים ומתומללים בתוך 48 שעות. שמות המרואיינים, בתי הספר והתלמידים המוזכרים בדבריהם מוחלפים בכינויים בשלב התמלול.</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הנחיות למראיינת</w:t>
      </w:r>
    </w:p>
    <w:p>
      <w:pPr>
        <w:pStyle w:val="ListParagraph"/>
        <w:numPr>
          <w:ilvl w:val="0"/>
          <w:numId w:val="2"/>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לפתוח בשיחה קצרה ולא בשאלון. הפתיח נקרא בקול, והמרואיין מאשר בעל פה שהוא מבין ומסכים.</w:t>
      </w:r>
    </w:p>
    <w:p>
      <w:pPr>
        <w:pStyle w:val="ListParagraph"/>
        <w:numPr>
          <w:ilvl w:val="0"/>
          <w:numId w:val="2"/>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לשאול שאלה אחת בכל פעם. אם המרואיין שותק, להמתין. שתיקה של כמה שניות מובילה לרוב לפירוט.</w:t>
      </w:r>
    </w:p>
    <w:p>
      <w:pPr>
        <w:pStyle w:val="ListParagraph"/>
        <w:numPr>
          <w:ilvl w:val="0"/>
          <w:numId w:val="2"/>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לבקש דוגמה קונקרטית לכל אמירה כללית: "מתי זה קרה לאחרונה?", "מה בדיוק אמרת?".</w:t>
      </w:r>
    </w:p>
    <w:p>
      <w:pPr>
        <w:pStyle w:val="ListParagraph"/>
        <w:numPr>
          <w:ilvl w:val="0"/>
          <w:numId w:val="2"/>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לא להציע פרשנות ולא להעריך את התשובה. לא "זה נשמע כמו טראומה" אלא "ספר לי עוד על הרגע הזה".</w:t>
      </w:r>
    </w:p>
    <w:p>
      <w:pPr>
        <w:pStyle w:val="ListParagraph"/>
        <w:numPr>
          <w:ilvl w:val="0"/>
          <w:numId w:val="2"/>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אם המרואיין מתקשה רגשית, לעצור, להציע הפסקה, ולהזכיר שאפשר לדלג על שאלה.</w:t>
      </w:r>
    </w:p>
    <w:p>
      <w:pPr>
        <w:pStyle w:val="ListParagraph"/>
        <w:numPr>
          <w:ilvl w:val="0"/>
          <w:numId w:val="2"/>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לרשום ביומן המחקר, מיד אחרי הריאיון, את ההתרשמות מן האווירה ומן הרגעים שבהם השיחה השתנתה.</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פתיח הנקרא למרואיין</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שלום ותודה שהסכמת להשתתף. המחקר עוסק בעבודה של אנשי חינוך עם תלמידים בתקופה של מצב חירום מתמשך, ובמה שעוזר או מקשה עליהם בעבודה הזאת. אין תשובות נכונות או שגויות; מה שמעניין אותי הוא הניסיון שלך והדרך שבה את או אתה רואים את הדברים. הריאיון יימשך כשעה ויוקלט, כדי שאוכל להקשיב ולא לרשום. ההקלטה תתומלל ותימחק בסיום המחקר. שמך, שם בית הספר ושמות תלמידים לא יופיעו בשום מקום. אפשר לעצור, לדלג על שאלה או להפסיק בכל שלב, ללא צורך בהסבר. יש לך שאלה לפני שנתחיל?</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פרטי רקע (נרשמים ללא פרטים מזהים)</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תפקיד (מחנך/ת כיתה או יועץ/ת), שלב חינוך (יסודי או על-יסודי), ותק בהוראה בשנים, מספר שנות עבודה בבית הספר הנוכחי, האם בית הספר או חלק מתלמידיו חוו פינוי, אזעקות תכופות או אובדן במהלך השנה.</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שאלות הריאיון</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שאלת פתיחה</w:t>
      </w:r>
    </w:p>
    <w:p>
      <w:pPr>
        <w:pStyle w:val="ListParagraph"/>
        <w:numPr>
          <w:ilvl w:val="0"/>
          <w:numId w:val="3"/>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ספרי לי על הדרך שלך בחינוך, ואיך נראתה בשבילך שנת הלימודים האחרונה בהשוואה לשנים שקדמו לה.</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ציר א': זיהוי תגובות דחק וטראומה בכיתה</w:t>
      </w:r>
    </w:p>
    <w:p>
      <w:pPr>
        <w:pStyle w:val="ListParagraph"/>
        <w:numPr>
          <w:ilvl w:val="0"/>
          <w:numId w:val="3"/>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חשבי על תלמיד או תלמידה שההתנהגות שלהם השתנתה מאז תחילת המלחמה. מה ראית בפועל? תארי מקרה אחד מהתחלה ועד סוף.</w:t>
      </w:r>
    </w:p>
    <w:p>
      <w:pPr>
        <w:pStyle w:val="ListParagraph"/>
        <w:numPr>
          <w:ilvl w:val="0"/>
          <w:numId w:val="3"/>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איך את מבחינה בין התנהגות שנובעת ממצוקה לבין מה שנקרא "בעיית משמעת"? מה עוזר לך להבחין, ובאילו מקרים זה נשאר לא ברור?</w:t>
      </w:r>
    </w:p>
    <w:p>
      <w:pPr>
        <w:pStyle w:val="ListParagraph"/>
        <w:numPr>
          <w:ilvl w:val="0"/>
          <w:numId w:val="3"/>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אילו תלמידים קל לפספס בכיתה בתקופה כזאת, למשל שקטים, מצטיינים או מי שנעדר הרבה? מה גורם לך לשים לב אליהם בכל זאת?</w:t>
      </w:r>
    </w:p>
    <w:p>
      <w:pPr>
        <w:pStyle w:val="ListParagraph"/>
        <w:numPr>
          <w:ilvl w:val="0"/>
          <w:numId w:val="3"/>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ברגע שתלמיד מתפרץ, יוצא מהכיתה או "נסגר" מולך, מה קורה לך, בגוף ובמחשבה, בשניות הראשונות?</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ציר ב': תגובה, ויסות, שגרה ויחסים</w:t>
      </w:r>
    </w:p>
    <w:p>
      <w:pPr>
        <w:pStyle w:val="ListParagraph"/>
        <w:numPr>
          <w:ilvl w:val="0"/>
          <w:numId w:val="3"/>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ספרי על פעם שהצלחת להרגיע תלמיד או להחזיר אותו ללמידה. מה עשית, צעד אחר צעד? ומה קרה בפעם שזה לא הצליח?</w:t>
      </w:r>
    </w:p>
    <w:p>
      <w:pPr>
        <w:pStyle w:val="ListParagraph"/>
        <w:numPr>
          <w:ilvl w:val="0"/>
          <w:numId w:val="3"/>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אילו שגרות, הרגלים או כללים קבועים בנית בכיתה השנה, ואיך התלמידים הגיבו אליהם כשהשגרה נשברה, למשל אחרי אזעקה או הודעה קשה?</w:t>
      </w:r>
    </w:p>
    <w:p>
      <w:pPr>
        <w:pStyle w:val="ListParagraph"/>
        <w:numPr>
          <w:ilvl w:val="0"/>
          <w:numId w:val="3"/>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איך את מתמודדת עם המתח בין דרישות ההספק, המשמעת וההנהלה לבין הצורך של תלמיד מסוים בהכלה באותו רגע?</w:t>
      </w:r>
    </w:p>
    <w:p>
      <w:pPr>
        <w:pStyle w:val="ListParagraph"/>
        <w:numPr>
          <w:ilvl w:val="0"/>
          <w:numId w:val="3"/>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איך נראה הקשר שלך עם תלמיד שחווה דבר קשה השנה? מה מקרב ביניכם ומה מרחיק? האם יש משהו שאת עושה אחרת מאשר עם שאר התלמידים?</w:t>
      </w:r>
    </w:p>
    <w:p>
      <w:pPr>
        <w:pStyle w:val="ListParagraph"/>
        <w:numPr>
          <w:ilvl w:val="0"/>
          <w:numId w:val="3"/>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עם מי בבית הספר את עובדת יחד כשמדובר בתלמיד במצוקה, למשל יועצת, פסיכולוגית, מנהלת, הורים? תארי מקרה שבו שיתוף הפעולה הזה עבד, ומקרה שבו לא.</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ציר ג': ההשפעה על איש החינוך ודרכי ההתמודדות</w:t>
      </w:r>
    </w:p>
    <w:p>
      <w:pPr>
        <w:pStyle w:val="ListParagraph"/>
        <w:numPr>
          <w:ilvl w:val="0"/>
          <w:numId w:val="3"/>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איך העבודה עם תלמידים שחוו דברים קשים משפיעה עלייך? מה את לוקחת הביתה בסוף היום?</w:t>
      </w:r>
    </w:p>
    <w:p>
      <w:pPr>
        <w:pStyle w:val="ListParagraph"/>
        <w:numPr>
          <w:ilvl w:val="0"/>
          <w:numId w:val="3"/>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האם היו השנה רגעים שבהם הרגשת שנגמר לך הכוח, שאת עובדת "על אוטומט", או שאת מגיבה לתלמיד בדרך שלא רצית? מה קרה אז, ומה עזר לך לצאת מזה?</w:t>
      </w:r>
    </w:p>
    <w:p>
      <w:pPr>
        <w:pStyle w:val="ListParagraph"/>
        <w:numPr>
          <w:ilvl w:val="0"/>
          <w:numId w:val="3"/>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מה מחזיק אותך: בעצמך, בבית, בין חברים, בחדר המורים? ומה מזה נעלם השנה?</w:t>
      </w:r>
    </w:p>
    <w:p>
      <w:pPr>
        <w:pStyle w:val="ListParagraph"/>
        <w:numPr>
          <w:ilvl w:val="0"/>
          <w:numId w:val="3"/>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אילו הכשרה, ידע או ליווי קיבלת בנושא טראומה ומצבי חירום, מתי, וממי? מה היה חסר לך בפועל בכיתה?</w:t>
      </w:r>
    </w:p>
    <w:p>
      <w:pPr>
        <w:pStyle w:val="Heading3"/>
        <w:keepNext/>
        <w:bidi/>
        <w:spacing w:after="120" w:before="160" w:line="480"/>
        <w:jc w:val="right"/>
      </w:pPr>
      <w:r>
        <w:rPr>
          <w:rFonts w:ascii="Times New Roman" w:cs="David" w:eastAsia="Times New Roman" w:hAnsi="Times New Roman"/>
          <w:b/>
          <w:bCs/>
          <w:sz w:val="30"/>
          <w:szCs w:val="34"/>
          <w:rtl/>
          <w:lang w:val="en-US" w:bidi="he-IL"/>
        </w:rPr>
        <w:t xml:space="preserve">שאלת סיום</w:t>
      </w:r>
    </w:p>
    <w:p>
      <w:pPr>
        <w:pStyle w:val="ListParagraph"/>
        <w:numPr>
          <w:ilvl w:val="0"/>
          <w:numId w:val="3"/>
        </w:num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אם היית יכולה לומר משפט אחד למי שמכשיר היום מורים ויועצות, מה היית אומרת? ויש משהו שלא שאלתי וחשוב לך שיהיה במחקר?</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שאלות המשך לשימוש לפי הצורך</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"אפשר דוגמה?"; "מה בדיוק אמרת או עשית?"; "מה קרה אחר כך?"; "איך הרגשת באותו רגע?"; "מה היה קורה אילו לא היית מגיבה?"; "האם זה חזר על עצמו?"; "מה הכוונה ב...?".</w:t>
      </w: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מטרת כל שאלה והקשר לשאלות המחקר</w:t>
      </w:r>
    </w:p>
    <w:p>
      <w:pPr>
        <w:keepNext/>
        <w:bidi/>
        <w:spacing w:after="80" w:before="120" w:line="480"/>
        <w:jc w:val="center"/>
      </w:pPr>
      <w:r>
        <w:rPr>
          <w:rFonts w:ascii="Times New Roman" w:cs="David" w:eastAsia="Times New Roman" w:hAnsi="Times New Roman"/>
          <w:b/>
          <w:bCs/>
          <w:i w:val="false"/>
          <w:iCs w:val="false"/>
          <w:sz w:val="24"/>
          <w:szCs w:val="24"/>
          <w:rtl/>
          <w:lang w:val="en-US" w:bidi="he-IL"/>
        </w:rPr>
        <w:t xml:space="preserve">טבלה א'1: מטרת שאלות הריאיון וזיקתן לשאלות המחקר ולספרות</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6"/>
      </w:tblGrid>
      <w:tr>
        <w:trPr>
          <w:cantSplit/>
          <w:tblHeader/>
        </w:trPr>
        <w:tc>
          <w:tcPr>
            <w:tcW w:type="dxa" w:w="2268"/>
            <w:shd w:fill="D9E2F3" w:color="auto" w:val="clear"/>
            <w:tcMar>
              <w:top w:type="dxa" w:w="60"/>
              <w:left w:type="dxa" w:w="80"/>
              <w:bottom w:type="dxa" w:w="60"/>
              <w:right w:type="dxa" w:w="80"/>
            </w:tcMar>
            <w:vAlign w:val="center"/>
          </w:tcPr>
          <w:p>
            <w:pPr>
              <w:bidi/>
              <w:spacing w:after="0" w:line="276"/>
              <w:jc w:val="center"/>
            </w:pPr>
            <w:r>
              <w:rPr>
                <w:rFonts w:ascii="Times New Roman" w:cs="David" w:eastAsia="Times New Roman" w:hAnsi="Times New Roman"/>
                <w:b/>
                <w:bCs/>
                <w:sz w:val="22"/>
                <w:szCs w:val="24"/>
                <w:rtl/>
                <w:lang w:val="en-US" w:bidi="he-IL"/>
              </w:rPr>
              <w:t xml:space="preserve">מס'</w:t>
            </w:r>
          </w:p>
        </w:tc>
        <w:tc>
          <w:tcPr>
            <w:tcW w:type="dxa" w:w="2268"/>
            <w:shd w:fill="D9E2F3" w:color="auto" w:val="clear"/>
            <w:tcMar>
              <w:top w:type="dxa" w:w="60"/>
              <w:left w:type="dxa" w:w="80"/>
              <w:bottom w:type="dxa" w:w="60"/>
              <w:right w:type="dxa" w:w="80"/>
            </w:tcMar>
            <w:vAlign w:val="center"/>
          </w:tcPr>
          <w:p>
            <w:pPr>
              <w:bidi/>
              <w:spacing w:after="0" w:line="276"/>
              <w:jc w:val="center"/>
            </w:pPr>
            <w:r>
              <w:rPr>
                <w:rFonts w:ascii="Times New Roman" w:cs="David" w:eastAsia="Times New Roman" w:hAnsi="Times New Roman"/>
                <w:b/>
                <w:bCs/>
                <w:sz w:val="22"/>
                <w:szCs w:val="24"/>
                <w:rtl/>
                <w:lang w:val="en-US" w:bidi="he-IL"/>
              </w:rPr>
              <w:t xml:space="preserve">מטרת השאלה</w:t>
            </w:r>
          </w:p>
        </w:tc>
        <w:tc>
          <w:tcPr>
            <w:tcW w:type="dxa" w:w="2268"/>
            <w:shd w:fill="D9E2F3" w:color="auto" w:val="clear"/>
            <w:tcMar>
              <w:top w:type="dxa" w:w="60"/>
              <w:left w:type="dxa" w:w="80"/>
              <w:bottom w:type="dxa" w:w="60"/>
              <w:right w:type="dxa" w:w="80"/>
            </w:tcMar>
            <w:vAlign w:val="center"/>
          </w:tcPr>
          <w:p>
            <w:pPr>
              <w:bidi/>
              <w:spacing w:after="0" w:line="276"/>
              <w:jc w:val="center"/>
            </w:pPr>
            <w:r>
              <w:rPr>
                <w:rFonts w:ascii="Times New Roman" w:cs="David" w:eastAsia="Times New Roman" w:hAnsi="Times New Roman"/>
                <w:b/>
                <w:bCs/>
                <w:sz w:val="22"/>
                <w:szCs w:val="24"/>
                <w:rtl/>
                <w:lang w:val="en-US" w:bidi="he-IL"/>
              </w:rPr>
              <w:t xml:space="preserve">שאלת מחקר</w:t>
            </w:r>
          </w:p>
        </w:tc>
        <w:tc>
          <w:tcPr>
            <w:tcW w:type="dxa" w:w="2266"/>
            <w:shd w:fill="D9E2F3" w:color="auto" w:val="clear"/>
            <w:tcMar>
              <w:top w:type="dxa" w:w="60"/>
              <w:left w:type="dxa" w:w="80"/>
              <w:bottom w:type="dxa" w:w="60"/>
              <w:right w:type="dxa" w:w="80"/>
            </w:tcMar>
            <w:vAlign w:val="center"/>
          </w:tcPr>
          <w:p>
            <w:pPr>
              <w:bidi/>
              <w:spacing w:after="0" w:line="276"/>
              <w:jc w:val="center"/>
            </w:pPr>
            <w:r>
              <w:rPr>
                <w:rFonts w:ascii="Times New Roman" w:cs="David" w:eastAsia="Times New Roman" w:hAnsi="Times New Roman"/>
                <w:b/>
                <w:bCs/>
                <w:sz w:val="22"/>
                <w:szCs w:val="24"/>
                <w:rtl/>
                <w:lang w:val="en-US" w:bidi="he-IL"/>
              </w:rPr>
              <w:t xml:space="preserve">בסיס בספרות</w:t>
            </w:r>
          </w:p>
        </w:tc>
      </w:tr>
      <w:tr>
        <w:trPr>
          <w:cantSplit/>
          <w:tblHeader w:val="false"/>
        </w:trPr>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בניית אמון וקבלת סיפור רקע מקצועי; זיהוי נקודת המוצא של המרואיין לפני השנה הנחקרת</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כללי</w:t>
            </w:r>
          </w:p>
        </w:tc>
        <w:tc>
          <w:tcPr>
            <w:tcW w:type="dxa" w:w="2266"/>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Lane et al. (2025)</w:t>
            </w:r>
          </w:p>
        </w:tc>
      </w:tr>
      <w:tr>
        <w:trPr>
          <w:cantSplit/>
          <w:tblHeader w:val="false"/>
        </w:trPr>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2</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קבלת תיאור התנהגותי קונקרטי של תלמיד, לא הכללה</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w:t>
            </w:r>
          </w:p>
        </w:tc>
        <w:tc>
          <w:tcPr>
            <w:tcW w:type="dxa" w:w="2266"/>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Lane et al. (2025); Segal et al. (2026)</w:t>
            </w:r>
          </w:p>
        </w:tc>
      </w:tr>
      <w:tr>
        <w:trPr>
          <w:cantSplit/>
          <w:tblHeader w:val="false"/>
        </w:trPr>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3</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בחינת האופן שבו המרואיין מפרש התנהגות: כבחירה או כמנגנון הישרדות</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w:t>
            </w:r>
          </w:p>
        </w:tc>
        <w:tc>
          <w:tcPr>
            <w:tcW w:type="dxa" w:w="2266"/>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Lane et al. (2025)</w:t>
            </w:r>
          </w:p>
        </w:tc>
      </w:tr>
      <w:tr>
        <w:trPr>
          <w:cantSplit/>
          <w:tblHeader w:val="false"/>
        </w:trPr>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4</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חשיפת תגובות מופנמות, שקל להחמיץ בכיתה</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w:t>
            </w:r>
          </w:p>
        </w:tc>
        <w:tc>
          <w:tcPr>
            <w:tcW w:type="dxa" w:w="2266"/>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לבקוביץ ואמיתי (2023); Olinover &amp; Hamama (2025)</w:t>
            </w:r>
          </w:p>
        </w:tc>
      </w:tr>
      <w:tr>
        <w:trPr>
          <w:cantSplit/>
          <w:tblHeader w:val="false"/>
        </w:trPr>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5</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זיהוי התגובה האוטומטית של המורה עצמו במפגש עם דיסרגולציה</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 ו-3</w:t>
            </w:r>
          </w:p>
        </w:tc>
        <w:tc>
          <w:tcPr>
            <w:tcW w:type="dxa" w:w="2266"/>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Lane et al. (2025); Keleynikov et al. (2022)</w:t>
            </w:r>
          </w:p>
        </w:tc>
      </w:tr>
      <w:tr>
        <w:trPr>
          <w:cantSplit/>
          <w:tblHeader w:val="false"/>
        </w:trPr>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6</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תיאור פרקטיקות ויסות והחזרה ללמידה, כולל כישלון</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2</w:t>
            </w:r>
          </w:p>
        </w:tc>
        <w:tc>
          <w:tcPr>
            <w:tcW w:type="dxa" w:w="2266"/>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Lane et al. (2025); רוזנברג ואלקובי (2026)</w:t>
            </w:r>
          </w:p>
        </w:tc>
      </w:tr>
      <w:tr>
        <w:trPr>
          <w:cantSplit/>
          <w:tblHeader w:val="false"/>
        </w:trPr>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7</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בחינת תפקיד השגרה והעקביות כמקור ביטחון, ומה קורה כשהיא נשברת</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2</w:t>
            </w:r>
          </w:p>
        </w:tc>
        <w:tc>
          <w:tcPr>
            <w:tcW w:type="dxa" w:w="2266"/>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קפלן ואחרים (2025); רייכל ועובד (2024)</w:t>
            </w:r>
          </w:p>
        </w:tc>
      </w:tr>
      <w:tr>
        <w:trPr>
          <w:cantSplit/>
          <w:tblHeader w:val="false"/>
        </w:trPr>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8</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חשיפת המתח בין דרישות מערכתיות לבין הכלה, ודרכי ההכרעה</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2</w:t>
            </w:r>
          </w:p>
        </w:tc>
        <w:tc>
          <w:tcPr>
            <w:tcW w:type="dxa" w:w="2266"/>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Halfon &amp; Romi (2026)</w:t>
            </w:r>
          </w:p>
        </w:tc>
      </w:tr>
      <w:tr>
        <w:trPr>
          <w:cantSplit/>
          <w:tblHeader w:val="false"/>
        </w:trPr>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9</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בחינת יחסי מורה ותלמיד כבסיס בטוח</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2</w:t>
            </w:r>
          </w:p>
        </w:tc>
        <w:tc>
          <w:tcPr>
            <w:tcW w:type="dxa" w:w="2266"/>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יוקל ורומי (2024); Shur-Kraspin et al. (2025)</w:t>
            </w:r>
          </w:p>
        </w:tc>
      </w:tr>
      <w:tr>
        <w:trPr>
          <w:cantSplit/>
          <w:tblHeader w:val="false"/>
        </w:trPr>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10</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מיפוי שיתוף הפעולה המערכתי סביב תלמיד במצוקה</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2</w:t>
            </w:r>
          </w:p>
        </w:tc>
        <w:tc>
          <w:tcPr>
            <w:tcW w:type="dxa" w:w="2266"/>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אלון ואחרים (2025); פינטו וטטר (2023)</w:t>
            </w:r>
          </w:p>
        </w:tc>
      </w:tr>
      <w:tr>
        <w:trPr>
          <w:cantSplit/>
          <w:tblHeader w:val="false"/>
        </w:trPr>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11</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בחינת סימני טראומה משנית ותשישות חמלה</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3</w:t>
            </w:r>
          </w:p>
        </w:tc>
        <w:tc>
          <w:tcPr>
            <w:tcW w:type="dxa" w:w="2266"/>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Lassri (2023); Kaplan et al. (2025)</w:t>
            </w:r>
          </w:p>
        </w:tc>
      </w:tr>
      <w:tr>
        <w:trPr>
          <w:cantSplit/>
          <w:tblHeader w:val="false"/>
        </w:trPr>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12</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זיהוי רגעי שחיקה ואובדן ויסות של המורה, ומה מסייע לחזור</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3</w:t>
            </w:r>
          </w:p>
        </w:tc>
        <w:tc>
          <w:tcPr>
            <w:tcW w:type="dxa" w:w="2266"/>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Lane et al. (2025); Avissar et al. (2026)</w:t>
            </w:r>
          </w:p>
        </w:tc>
      </w:tr>
      <w:tr>
        <w:trPr>
          <w:cantSplit/>
          <w:tblHeader w:val="false"/>
        </w:trPr>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13</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מיפוי משאבי טיפול עצמי בארבעה מעגלים: פרטי, אישי, חברתי ומקצועי</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3</w:t>
            </w:r>
          </w:p>
        </w:tc>
        <w:tc>
          <w:tcPr>
            <w:tcW w:type="dxa" w:w="2266"/>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Lane et al. (2025); Shinan-Altman &amp; Levkovich (2022)</w:t>
            </w:r>
          </w:p>
        </w:tc>
      </w:tr>
      <w:tr>
        <w:trPr>
          <w:cantSplit/>
          <w:tblHeader w:val="false"/>
        </w:trPr>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14</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בחינת ההכשרה והליווי בנושא טראומה ופערים בהם</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3</w:t>
            </w:r>
          </w:p>
        </w:tc>
        <w:tc>
          <w:tcPr>
            <w:tcW w:type="dxa" w:w="2266"/>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Avissar et al. (2026); נסים (2025)</w:t>
            </w:r>
          </w:p>
        </w:tc>
      </w:tr>
      <w:tr>
        <w:trPr>
          <w:cantSplit/>
          <w:tblHeader w:val="false"/>
        </w:trPr>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15</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סגירה, מתן מקום להמלצה יישומית ולנושאים שלא נשאלו</w:t>
            </w:r>
          </w:p>
        </w:tc>
        <w:tc>
          <w:tcPr>
            <w:tcW w:type="dxa" w:w="2268"/>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כללי</w:t>
            </w:r>
          </w:p>
        </w:tc>
        <w:tc>
          <w:tcPr>
            <w:tcW w:type="dxa" w:w="2266"/>
            <w:tcMar>
              <w:top w:type="dxa" w:w="60"/>
              <w:left w:type="dxa" w:w="80"/>
              <w:bottom w:type="dxa" w:w="60"/>
              <w:right w:type="dxa" w:w="80"/>
            </w:tcMar>
            <w:vAlign w:val="center"/>
          </w:tcPr>
          <w:p>
            <w:pPr>
              <w:bidi/>
              <w:spacing w:after="0" w:line="276"/>
              <w:jc w:val="right"/>
            </w:pPr>
            <w:r>
              <w:rPr>
                <w:rFonts w:ascii="Times New Roman" w:cs="David" w:eastAsia="Times New Roman" w:hAnsi="Times New Roman"/>
                <w:b w:val="false"/>
                <w:sz w:val="22"/>
                <w:szCs w:val="24"/>
                <w:rtl/>
                <w:lang w:val="en-US" w:bidi="he-IL"/>
              </w:rPr>
              <w:t xml:space="preserve">Lane et al. (2025)</w:t>
            </w:r>
          </w:p>
        </w:tc>
      </w:tr>
    </w:tbl>
    <w:p>
      <w:pPr>
        <w:bidi/>
        <w:spacing w:after="120" w:before="0" w:line="480"/>
        <w:jc w:val="both"/>
      </w:pPr>
    </w:p>
    <w:p>
      <w:pPr>
        <w:pStyle w:val="Heading2"/>
        <w:keepNext/>
        <w:bidi/>
        <w:spacing w:after="120" w:before="200" w:line="480"/>
        <w:jc w:val="right"/>
      </w:pPr>
      <w:r>
        <w:rPr>
          <w:rFonts w:ascii="Times New Roman" w:cs="David" w:eastAsia="Times New Roman" w:hAnsi="Times New Roman"/>
          <w:b/>
          <w:bCs/>
          <w:sz w:val="32"/>
          <w:szCs w:val="36"/>
          <w:rtl/>
          <w:lang w:val="en-US" w:bidi="he-IL"/>
        </w:rPr>
        <w:t xml:space="preserve">התאמת המתווה למערך של שמונה ראיונות</w:t>
      </w:r>
    </w:p>
    <w:p>
      <w:pPr>
        <w:bidi/>
        <w:spacing w:after="120" w:before="0" w:line="480"/>
        <w:jc w:val="both"/>
      </w:pPr>
      <w:r>
        <w:rPr>
          <w:rFonts w:ascii="Times New Roman" w:cs="David" w:eastAsia="Times New Roman" w:hAnsi="Times New Roman"/>
          <w:b w:val="false"/>
          <w:i w:val="false"/>
          <w:iCs w:val="false"/>
          <w:sz w:val="24"/>
          <w:szCs w:val="24"/>
          <w:rtl/>
          <w:lang w:val="en-US" w:bidi="he-IL"/>
        </w:rPr>
        <w:t xml:space="preserve">שמונה ראיונות הם מדגם מקובל במחקר איכותני פנומנולוגי, ובלבד שהמשתתפים נבחרים בכוונה כך שייצגו שוני בתפקיד, בשלב החינוך ובמידת החשיפה של בית הספר לאירועי המלחמה. במחקר זה נבחרו חמישה מחנכי כיתה ושלוש יועצות חינוכיות, מארבעה בתי ספר, מהם שניים שקלטו תלמידים מפונים. הריאיון הראשון שימש גם ריאיון פיילוט, ובעקבותיו קוצרה שאלה 4 ונוספה שאלה 8. לאחר הריאיון השישי לא עלו תמות חדשות, ושני הראיונות האחרונים שימשו לבדיקת רוויה.</w:t>
      </w:r>
    </w:p>
    <w:p>
      <w:r>
        <w:br w:type="page"/>
      </w:r>
    </w:p>
    <w:p>
      <w:pPr>
        <w:pStyle w:val="Heading1"/>
        <w:keepNext/>
        <w:bidi/>
        <w:spacing w:after="120" w:before="240" w:line="480"/>
        <w:jc w:val="center"/>
      </w:pPr>
      <w:r>
        <w:rPr>
          <w:rFonts w:ascii="Times New Roman" w:cs="David" w:eastAsia="Times New Roman" w:hAnsi="Times New Roman"/>
          <w:b/>
          <w:bCs/>
          <w:sz w:val="36"/>
          <w:szCs w:val="40"/>
          <w:rtl/>
          <w:lang w:val="en-US" w:bidi="he-IL"/>
        </w:rPr>
        <w:t xml:space="preserve">מקורות שאוזכרו בנספח</w:t>
      </w:r>
    </w:p>
    <w:p>
      <w:pPr>
        <w:bidi/>
        <w:spacing w:after="160" w:before="0" w:line="480"/>
        <w:ind w:left="720" w:hanging="720"/>
        <w:jc w:val="both"/>
      </w:pPr>
      <w:r>
        <w:rPr>
          <w:rFonts w:ascii="Times New Roman" w:cs="David" w:eastAsia="Times New Roman" w:hAnsi="Times New Roman"/>
          <w:b w:val="false"/>
          <w:i w:val="false"/>
          <w:iCs w:val="false"/>
          <w:sz w:val="24"/>
          <w:szCs w:val="24"/>
          <w:rtl/>
          <w:lang w:val="en-US" w:bidi="he-IL"/>
        </w:rPr>
        <w:t xml:space="preserve">אלון, ר', רוזנטל, ר', רובין, א', חן-גמליאל, ר' וטרכטינגוט, י' (2025). דחק של יועצים חינוכיים בימי מלחמה: תרומתם של מסוגלות עצמית תעסוקתית, הון פסיכולוגי ותמיכה חברתית. </w:t>
      </w:r>
      <w:r>
        <w:rPr>
          <w:rFonts w:ascii="Times New Roman" w:cs="David" w:eastAsia="Times New Roman" w:hAnsi="Times New Roman"/>
          <w:b/>
          <w:bCs/>
          <w:i w:val="false"/>
          <w:iCs w:val="false"/>
          <w:sz w:val="24"/>
          <w:szCs w:val="24"/>
          <w:rtl/>
          <w:lang w:val="en-US" w:bidi="he-IL"/>
        </w:rPr>
        <w:t xml:space="preserve">זמן חינוך, 10</w:t>
      </w:r>
      <w:r>
        <w:rPr>
          <w:rFonts w:ascii="Times New Roman" w:cs="David" w:eastAsia="Times New Roman" w:hAnsi="Times New Roman"/>
          <w:b w:val="false"/>
          <w:i w:val="false"/>
          <w:iCs w:val="false"/>
          <w:sz w:val="24"/>
          <w:szCs w:val="24"/>
          <w:rtl/>
          <w:lang w:val="en-US" w:bidi="he-IL"/>
        </w:rPr>
        <w:t xml:space="preserve">, 145 ואילך.</w:t>
      </w:r>
    </w:p>
    <w:p>
      <w:pPr>
        <w:bidi/>
        <w:spacing w:after="160" w:before="0" w:line="480"/>
        <w:ind w:left="720" w:hanging="720"/>
        <w:jc w:val="both"/>
      </w:pPr>
      <w:r>
        <w:rPr>
          <w:rFonts w:ascii="Times New Roman" w:cs="David" w:eastAsia="Times New Roman" w:hAnsi="Times New Roman"/>
          <w:b w:val="false"/>
          <w:i w:val="false"/>
          <w:iCs w:val="false"/>
          <w:sz w:val="24"/>
          <w:szCs w:val="24"/>
          <w:rtl/>
          <w:lang w:val="en-US" w:bidi="he-IL"/>
        </w:rPr>
        <w:t xml:space="preserve">יוקל, כ' ורומי, ש' (2024). ניתוח משווה של איכות היחסים בין מורים ותלמידים במצבי סיכון ובין מורים ותלמידים שאינם במצבי סיכון. </w:t>
      </w:r>
      <w:r>
        <w:rPr>
          <w:rFonts w:ascii="Times New Roman" w:cs="David" w:eastAsia="Times New Roman" w:hAnsi="Times New Roman"/>
          <w:b/>
          <w:bCs/>
          <w:i w:val="false"/>
          <w:iCs w:val="false"/>
          <w:sz w:val="24"/>
          <w:szCs w:val="24"/>
          <w:rtl/>
          <w:lang w:val="en-US" w:bidi="he-IL"/>
        </w:rPr>
        <w:t xml:space="preserve">מפגש לעבודה חינוכית-סוציאלית, לב</w:t>
      </w:r>
      <w:r>
        <w:rPr>
          <w:rFonts w:ascii="Times New Roman" w:cs="David" w:eastAsia="Times New Roman" w:hAnsi="Times New Roman"/>
          <w:b w:val="false"/>
          <w:i w:val="false"/>
          <w:iCs w:val="false"/>
          <w:sz w:val="24"/>
          <w:szCs w:val="24"/>
          <w:rtl/>
          <w:lang w:val="en-US" w:bidi="he-IL"/>
        </w:rPr>
        <w:t xml:space="preserve">(57).</w:t>
      </w:r>
    </w:p>
    <w:p>
      <w:pPr>
        <w:bidi/>
        <w:spacing w:after="160" w:before="0" w:line="480"/>
        <w:ind w:left="720" w:hanging="720"/>
        <w:jc w:val="both"/>
      </w:pPr>
      <w:r>
        <w:rPr>
          <w:rFonts w:ascii="Times New Roman" w:cs="David" w:eastAsia="Times New Roman" w:hAnsi="Times New Roman"/>
          <w:b w:val="false"/>
          <w:i w:val="false"/>
          <w:iCs w:val="false"/>
          <w:sz w:val="24"/>
          <w:szCs w:val="24"/>
          <w:rtl/>
          <w:lang w:val="en-US" w:bidi="he-IL"/>
        </w:rPr>
        <w:t xml:space="preserve">לבקוביץ, ע' ואמיתי, ק' (2023). "לכאוב כדי לחיות": חוויות של יועצים חינוכיים עם מתבגרים שהתנסו בפגיעה עצמית. </w:t>
      </w:r>
      <w:r>
        <w:rPr>
          <w:rFonts w:ascii="Times New Roman" w:cs="David" w:eastAsia="Times New Roman" w:hAnsi="Times New Roman"/>
          <w:b/>
          <w:bCs/>
          <w:i w:val="false"/>
          <w:iCs w:val="false"/>
          <w:sz w:val="24"/>
          <w:szCs w:val="24"/>
          <w:rtl/>
          <w:lang w:val="en-US" w:bidi="he-IL"/>
        </w:rPr>
        <w:t xml:space="preserve">הייעוץ החינוכי, כד</w:t>
      </w:r>
      <w:r>
        <w:rPr>
          <w:rFonts w:ascii="Times New Roman" w:cs="David" w:eastAsia="Times New Roman" w:hAnsi="Times New Roman"/>
          <w:b w:val="false"/>
          <w:i w:val="false"/>
          <w:iCs w:val="false"/>
          <w:sz w:val="24"/>
          <w:szCs w:val="24"/>
          <w:rtl/>
          <w:lang w:val="en-US" w:bidi="he-IL"/>
        </w:rPr>
        <w:t xml:space="preserve">.</w:t>
      </w:r>
    </w:p>
    <w:p>
      <w:pPr>
        <w:bidi/>
        <w:spacing w:after="160" w:before="0" w:line="480"/>
        <w:ind w:left="720" w:hanging="720"/>
        <w:jc w:val="both"/>
      </w:pPr>
      <w:r>
        <w:rPr>
          <w:rFonts w:ascii="Times New Roman" w:cs="David" w:eastAsia="Times New Roman" w:hAnsi="Times New Roman"/>
          <w:b w:val="false"/>
          <w:i w:val="false"/>
          <w:iCs w:val="false"/>
          <w:sz w:val="24"/>
          <w:szCs w:val="24"/>
          <w:rtl/>
          <w:lang w:val="en-US" w:bidi="he-IL"/>
        </w:rPr>
        <w:t xml:space="preserve">נסים, מ' (2025). חינוך מיוחד בזמן המלחמה בישראל: תפיסות מחנכות בחינוך המיוחד בנוגע להשפעות המלחמה ולצורכי התמיכה. </w:t>
      </w:r>
      <w:r>
        <w:rPr>
          <w:rFonts w:ascii="Times New Roman" w:cs="David" w:eastAsia="Times New Roman" w:hAnsi="Times New Roman"/>
          <w:b/>
          <w:bCs/>
          <w:i w:val="false"/>
          <w:iCs w:val="false"/>
          <w:sz w:val="24"/>
          <w:szCs w:val="24"/>
          <w:rtl/>
          <w:lang w:val="en-US" w:bidi="he-IL"/>
        </w:rPr>
        <w:t xml:space="preserve">במעגלי חינוך: מחקר, עיון ויצירה, 14</w:t>
      </w:r>
      <w:r>
        <w:rPr>
          <w:rFonts w:ascii="Times New Roman" w:cs="David" w:eastAsia="Times New Roman" w:hAnsi="Times New Roman"/>
          <w:b w:val="false"/>
          <w:i w:val="false"/>
          <w:iCs w:val="false"/>
          <w:sz w:val="24"/>
          <w:szCs w:val="24"/>
          <w:rtl/>
          <w:lang w:val="en-US" w:bidi="he-IL"/>
        </w:rPr>
        <w:t xml:space="preserve">.</w:t>
      </w:r>
    </w:p>
    <w:p>
      <w:pPr>
        <w:bidi/>
        <w:spacing w:after="160" w:before="0" w:line="480"/>
        <w:ind w:left="720" w:hanging="720"/>
        <w:jc w:val="both"/>
      </w:pPr>
      <w:r>
        <w:rPr>
          <w:rFonts w:ascii="Times New Roman" w:cs="David" w:eastAsia="Times New Roman" w:hAnsi="Times New Roman"/>
          <w:b w:val="false"/>
          <w:i w:val="false"/>
          <w:iCs w:val="false"/>
          <w:sz w:val="24"/>
          <w:szCs w:val="24"/>
          <w:rtl/>
          <w:lang w:val="en-US" w:bidi="he-IL"/>
        </w:rPr>
        <w:t xml:space="preserve">פינטו, ה' וטטר, מ' (2023). תפיסותיהן של יועצות חינוכיות את הייעוץ החינוכי בימי קורונה: מפגשים בין העמימות המקצועית ובין עמימות המציאות. </w:t>
      </w:r>
      <w:r>
        <w:rPr>
          <w:rFonts w:ascii="Times New Roman" w:cs="David" w:eastAsia="Times New Roman" w:hAnsi="Times New Roman"/>
          <w:b/>
          <w:bCs/>
          <w:i w:val="false"/>
          <w:iCs w:val="false"/>
          <w:sz w:val="24"/>
          <w:szCs w:val="24"/>
          <w:rtl/>
          <w:lang w:val="en-US" w:bidi="he-IL"/>
        </w:rPr>
        <w:t xml:space="preserve">הייעוץ החינוכי, כד</w:t>
      </w:r>
      <w:r>
        <w:rPr>
          <w:rFonts w:ascii="Times New Roman" w:cs="David" w:eastAsia="Times New Roman" w:hAnsi="Times New Roman"/>
          <w:b w:val="false"/>
          <w:i w:val="false"/>
          <w:iCs w:val="false"/>
          <w:sz w:val="24"/>
          <w:szCs w:val="24"/>
          <w:rtl/>
          <w:lang w:val="en-US" w:bidi="he-IL"/>
        </w:rPr>
        <w:t xml:space="preserve">.</w:t>
      </w:r>
    </w:p>
    <w:p>
      <w:pPr>
        <w:bidi/>
        <w:spacing w:after="160" w:before="0" w:line="480"/>
        <w:ind w:left="720" w:hanging="720"/>
        <w:jc w:val="both"/>
      </w:pPr>
      <w:r>
        <w:rPr>
          <w:rFonts w:ascii="Times New Roman" w:cs="David" w:eastAsia="Times New Roman" w:hAnsi="Times New Roman"/>
          <w:b w:val="false"/>
          <w:i w:val="false"/>
          <w:iCs w:val="false"/>
          <w:sz w:val="24"/>
          <w:szCs w:val="24"/>
          <w:rtl/>
          <w:lang w:val="en-US" w:bidi="he-IL"/>
        </w:rPr>
        <w:t xml:space="preserve">קפלן, ח', כהן, ה', כלפון, ע', יערי, ג' וגלעד, ל' (2025). "לייצר משהו חדש בזמן שאת בעצמך חדשה": מנהלות חדשות בתקופת מלחמה. </w:t>
      </w:r>
      <w:r>
        <w:rPr>
          <w:rFonts w:ascii="Times New Roman" w:cs="David" w:eastAsia="Times New Roman" w:hAnsi="Times New Roman"/>
          <w:b/>
          <w:bCs/>
          <w:i w:val="false"/>
          <w:iCs w:val="false"/>
          <w:sz w:val="24"/>
          <w:szCs w:val="24"/>
          <w:rtl/>
          <w:lang w:val="en-US" w:bidi="he-IL"/>
        </w:rPr>
        <w:t xml:space="preserve">דפים, 82</w:t>
      </w:r>
      <w:r>
        <w:rPr>
          <w:rFonts w:ascii="Times New Roman" w:cs="David" w:eastAsia="Times New Roman" w:hAnsi="Times New Roman"/>
          <w:b w:val="false"/>
          <w:i w:val="false"/>
          <w:iCs w:val="false"/>
          <w:sz w:val="24"/>
          <w:szCs w:val="24"/>
          <w:rtl/>
          <w:lang w:val="en-US" w:bidi="he-IL"/>
        </w:rPr>
        <w:t xml:space="preserve">.</w:t>
      </w:r>
    </w:p>
    <w:p>
      <w:pPr>
        <w:bidi/>
        <w:spacing w:after="160" w:before="0" w:line="480"/>
        <w:ind w:left="720" w:hanging="720"/>
        <w:jc w:val="both"/>
      </w:pPr>
      <w:r>
        <w:rPr>
          <w:rFonts w:ascii="Times New Roman" w:cs="David" w:eastAsia="Times New Roman" w:hAnsi="Times New Roman"/>
          <w:b w:val="false"/>
          <w:i w:val="false"/>
          <w:iCs w:val="false"/>
          <w:sz w:val="24"/>
          <w:szCs w:val="24"/>
          <w:rtl/>
          <w:lang w:val="en-US" w:bidi="he-IL"/>
        </w:rPr>
        <w:t xml:space="preserve">רוזנברג, ש' ואלקובי, א' (2026). מהכשרה ליישום: דרכי התמודדות של צוותי החינוך בשדרות באמצעות מיומנויות חברתיות-רגשיות עם פרוץ מלחמת חרבות ברזל. </w:t>
      </w:r>
      <w:r>
        <w:rPr>
          <w:rFonts w:ascii="Times New Roman" w:cs="David" w:eastAsia="Times New Roman" w:hAnsi="Times New Roman"/>
          <w:b/>
          <w:bCs/>
          <w:i w:val="false"/>
          <w:iCs w:val="false"/>
          <w:sz w:val="24"/>
          <w:szCs w:val="24"/>
          <w:rtl/>
          <w:lang w:val="en-US" w:bidi="he-IL"/>
        </w:rPr>
        <w:t xml:space="preserve">חמדעת: כתב עת רב-תחומי, יט</w:t>
      </w:r>
      <w:r>
        <w:rPr>
          <w:rFonts w:ascii="Times New Roman" w:cs="David" w:eastAsia="Times New Roman" w:hAnsi="Times New Roman"/>
          <w:b w:val="false"/>
          <w:i w:val="false"/>
          <w:iCs w:val="false"/>
          <w:sz w:val="24"/>
          <w:szCs w:val="24"/>
          <w:rtl/>
          <w:lang w:val="en-US" w:bidi="he-IL"/>
        </w:rPr>
        <w:t xml:space="preserve">.</w:t>
      </w:r>
    </w:p>
    <w:p>
      <w:pPr>
        <w:bidi/>
        <w:spacing w:after="160" w:before="0" w:line="480"/>
        <w:ind w:left="720" w:hanging="720"/>
        <w:jc w:val="both"/>
      </w:pPr>
      <w:r>
        <w:rPr>
          <w:rFonts w:ascii="Times New Roman" w:cs="David" w:eastAsia="Times New Roman" w:hAnsi="Times New Roman"/>
          <w:b w:val="false"/>
          <w:i w:val="false"/>
          <w:iCs w:val="false"/>
          <w:sz w:val="24"/>
          <w:szCs w:val="24"/>
          <w:rtl/>
          <w:lang w:val="en-US" w:bidi="he-IL"/>
        </w:rPr>
        <w:t xml:space="preserve">רייכל, נ' ועובד, א' (2024). משבר הקורונה: אתגרים, דרכי התמודדות והשלכות על תפיסת החינוך במשקפיים של מנהלות חטיבות ביניים. </w:t>
      </w:r>
      <w:r>
        <w:rPr>
          <w:rFonts w:ascii="Times New Roman" w:cs="David" w:eastAsia="Times New Roman" w:hAnsi="Times New Roman"/>
          <w:b/>
          <w:bCs/>
          <w:i w:val="false"/>
          <w:iCs w:val="false"/>
          <w:sz w:val="24"/>
          <w:szCs w:val="24"/>
          <w:rtl/>
          <w:lang w:val="en-US" w:bidi="he-IL"/>
        </w:rPr>
        <w:t xml:space="preserve">עיונים בחינוך, 24</w:t>
      </w:r>
      <w:r>
        <w:rPr>
          <w:rFonts w:ascii="Times New Roman" w:cs="David" w:eastAsia="Times New Roman" w:hAnsi="Times New Roman"/>
          <w:b w:val="false"/>
          <w:i w:val="false"/>
          <w:iCs w:val="false"/>
          <w:sz w:val="24"/>
          <w:szCs w:val="24"/>
          <w:rtl/>
          <w:lang w:val="en-US" w:bidi="he-IL"/>
        </w:rPr>
        <w:t xml:space="preserve">, 461-476.</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Avissar, N., Ben-Amar Shechtman, D., &amp; Levi-Keren, M. (2026). Teaching through trauma: Israeli teacher education in crisis. </w:t>
      </w:r>
      <w:r>
        <w:rPr>
          <w:rFonts w:ascii="Times New Roman" w:cs="David" w:eastAsia="Times New Roman" w:hAnsi="Times New Roman"/>
          <w:b w:val="false"/>
          <w:i/>
          <w:iCs/>
          <w:sz w:val="24"/>
          <w:szCs w:val="24"/>
          <w:rtl w:val="false"/>
          <w:lang w:val="en-US" w:bidi="he-IL"/>
        </w:rPr>
        <w:t xml:space="preserve">Frontiers in Education, 11</w:t>
      </w:r>
      <w:r>
        <w:rPr>
          <w:rFonts w:ascii="Times New Roman" w:cs="David" w:eastAsia="Times New Roman" w:hAnsi="Times New Roman"/>
          <w:b w:val="false"/>
          <w:i w:val="false"/>
          <w:iCs w:val="false"/>
          <w:sz w:val="24"/>
          <w:szCs w:val="24"/>
          <w:rtl w:val="false"/>
          <w:lang w:val="en-US" w:bidi="he-IL"/>
        </w:rPr>
        <w:t xml:space="preserve">, 1879346. https://doi.org/10.3389/feduc.2026.1879346</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Halfon, E., &amp; Romi, S. (2026). Digital anchors: The homeroom teacher's role in active conflict zones. </w:t>
      </w:r>
      <w:r>
        <w:rPr>
          <w:rFonts w:ascii="Times New Roman" w:cs="David" w:eastAsia="Times New Roman" w:hAnsi="Times New Roman"/>
          <w:b w:val="false"/>
          <w:i/>
          <w:iCs/>
          <w:sz w:val="24"/>
          <w:szCs w:val="24"/>
          <w:rtl w:val="false"/>
          <w:lang w:val="en-US" w:bidi="he-IL"/>
        </w:rPr>
        <w:t xml:space="preserve">Frontiers in Education, 11</w:t>
      </w:r>
      <w:r>
        <w:rPr>
          <w:rFonts w:ascii="Times New Roman" w:cs="David" w:eastAsia="Times New Roman" w:hAnsi="Times New Roman"/>
          <w:b w:val="false"/>
          <w:i w:val="false"/>
          <w:iCs w:val="false"/>
          <w:sz w:val="24"/>
          <w:szCs w:val="24"/>
          <w:rtl w:val="false"/>
          <w:lang w:val="en-US" w:bidi="he-IL"/>
        </w:rPr>
        <w:t xml:space="preserve">, 1890046. https://doi.org/10.3389/feduc.2026.1890046</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Kaplan, N., Zerach, G., &amp; Levi-Belz, Y. (2025). The contribution of moral injury to Israeli teachers' mental health difficulties: The mediating role of shame and guilt. </w:t>
      </w:r>
      <w:r>
        <w:rPr>
          <w:rFonts w:ascii="Times New Roman" w:cs="David" w:eastAsia="Times New Roman" w:hAnsi="Times New Roman"/>
          <w:b w:val="false"/>
          <w:i/>
          <w:iCs/>
          <w:sz w:val="24"/>
          <w:szCs w:val="24"/>
          <w:rtl w:val="false"/>
          <w:lang w:val="en-US" w:bidi="he-IL"/>
        </w:rPr>
        <w:t xml:space="preserve">Frontiers in Psychiatry, 16</w:t>
      </w:r>
      <w:r>
        <w:rPr>
          <w:rFonts w:ascii="Times New Roman" w:cs="David" w:eastAsia="Times New Roman" w:hAnsi="Times New Roman"/>
          <w:b w:val="false"/>
          <w:i w:val="false"/>
          <w:iCs w:val="false"/>
          <w:sz w:val="24"/>
          <w:szCs w:val="24"/>
          <w:rtl w:val="false"/>
          <w:lang w:val="en-US" w:bidi="he-IL"/>
        </w:rPr>
        <w:t xml:space="preserve">, 1634795. https://doi.org/10.3389/fpsyt.2025.1634795</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Keleynikov, M., Benatov, J., &amp; Berger, R. (2022). Preschool teachers' psychological distress and work engagement during COVID-19 outbreak: The protective role of mindfulness and emotion regulation. </w:t>
      </w:r>
      <w:r>
        <w:rPr>
          <w:rFonts w:ascii="Times New Roman" w:cs="David" w:eastAsia="Times New Roman" w:hAnsi="Times New Roman"/>
          <w:b w:val="false"/>
          <w:i/>
          <w:iCs/>
          <w:sz w:val="24"/>
          <w:szCs w:val="24"/>
          <w:rtl w:val="false"/>
          <w:lang w:val="en-US" w:bidi="he-IL"/>
        </w:rPr>
        <w:t xml:space="preserve">International Journal of Environmental Research and Public Health, 19</w:t>
      </w:r>
      <w:r>
        <w:rPr>
          <w:rFonts w:ascii="Times New Roman" w:cs="David" w:eastAsia="Times New Roman" w:hAnsi="Times New Roman"/>
          <w:b w:val="false"/>
          <w:i w:val="false"/>
          <w:iCs w:val="false"/>
          <w:sz w:val="24"/>
          <w:szCs w:val="24"/>
          <w:rtl w:val="false"/>
          <w:lang w:val="en-US" w:bidi="he-IL"/>
        </w:rPr>
        <w:t xml:space="preserve">(5), 2645. https://doi.org/10.3390/ijerph19052645</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Lane, J., Chow, R., Hambrick, E., &amp; Earl, R. (2025). </w:t>
      </w:r>
      <w:r>
        <w:rPr>
          <w:rFonts w:ascii="Times New Roman" w:cs="David" w:eastAsia="Times New Roman" w:hAnsi="Times New Roman"/>
          <w:b w:val="false"/>
          <w:i/>
          <w:iCs/>
          <w:sz w:val="24"/>
          <w:szCs w:val="24"/>
          <w:rtl w:val="false"/>
          <w:lang w:val="en-US" w:bidi="he-IL"/>
        </w:rPr>
        <w:t xml:space="preserve">Becoming trauma responsive</w:t>
      </w:r>
      <w:r>
        <w:rPr>
          <w:rFonts w:ascii="Times New Roman" w:cs="David" w:eastAsia="Times New Roman" w:hAnsi="Times New Roman"/>
          <w:b w:val="false"/>
          <w:i w:val="false"/>
          <w:iCs w:val="false"/>
          <w:sz w:val="24"/>
          <w:szCs w:val="24"/>
          <w:rtl w:val="false"/>
          <w:lang w:val="en-US" w:bidi="he-IL"/>
        </w:rPr>
        <w:t xml:space="preserve">. New Prairie Press. https://newprairiepress.org/ebooks/56/</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Lassri, D. (2023). Psychological distress among teaching staff during the COVID-19 pandemic: A transdiagnostic perspective on profiles of risk and resilience. </w:t>
      </w:r>
      <w:r>
        <w:rPr>
          <w:rFonts w:ascii="Times New Roman" w:cs="David" w:eastAsia="Times New Roman" w:hAnsi="Times New Roman"/>
          <w:b w:val="false"/>
          <w:i/>
          <w:iCs/>
          <w:sz w:val="24"/>
          <w:szCs w:val="24"/>
          <w:rtl w:val="false"/>
          <w:lang w:val="en-US" w:bidi="he-IL"/>
        </w:rPr>
        <w:t xml:space="preserve">Teaching and Teacher Education, 128</w:t>
      </w:r>
      <w:r>
        <w:rPr>
          <w:rFonts w:ascii="Times New Roman" w:cs="David" w:eastAsia="Times New Roman" w:hAnsi="Times New Roman"/>
          <w:b w:val="false"/>
          <w:i w:val="false"/>
          <w:iCs w:val="false"/>
          <w:sz w:val="24"/>
          <w:szCs w:val="24"/>
          <w:rtl w:val="false"/>
          <w:lang w:val="en-US" w:bidi="he-IL"/>
        </w:rPr>
        <w:t xml:space="preserve">, 104143. https://doi.org/10.1016/j.tate.2023.104143</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Olinover, M., &amp; Hamama, L. (2025). Adolescents during wartime: Vulnerability-based profiles. </w:t>
      </w:r>
      <w:r>
        <w:rPr>
          <w:rFonts w:ascii="Times New Roman" w:cs="David" w:eastAsia="Times New Roman" w:hAnsi="Times New Roman"/>
          <w:b w:val="false"/>
          <w:i/>
          <w:iCs/>
          <w:sz w:val="24"/>
          <w:szCs w:val="24"/>
          <w:rtl w:val="false"/>
          <w:lang w:val="en-US" w:bidi="he-IL"/>
        </w:rPr>
        <w:t xml:space="preserve">Journal of Research on Adolescence, 35</w:t>
      </w:r>
      <w:r>
        <w:rPr>
          <w:rFonts w:ascii="Times New Roman" w:cs="David" w:eastAsia="Times New Roman" w:hAnsi="Times New Roman"/>
          <w:b w:val="false"/>
          <w:i w:val="false"/>
          <w:iCs w:val="false"/>
          <w:sz w:val="24"/>
          <w:szCs w:val="24"/>
          <w:rtl w:val="false"/>
          <w:lang w:val="en-US" w:bidi="he-IL"/>
        </w:rPr>
        <w:t xml:space="preserve">, e70041. https://doi.org/10.1111/jora.70041</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Segal, O., Hevron, H., &amp; Weinbach, N. (2026). Same war, different homes: Mental health outcomes of displaced versus non-displaced adolescents during war. </w:t>
      </w:r>
      <w:r>
        <w:rPr>
          <w:rFonts w:ascii="Times New Roman" w:cs="David" w:eastAsia="Times New Roman" w:hAnsi="Times New Roman"/>
          <w:b w:val="false"/>
          <w:i/>
          <w:iCs/>
          <w:sz w:val="24"/>
          <w:szCs w:val="24"/>
          <w:rtl w:val="false"/>
          <w:lang w:val="en-US" w:bidi="he-IL"/>
        </w:rPr>
        <w:t xml:space="preserve">European Journal of Psychotraumatology, 17</w:t>
      </w:r>
      <w:r>
        <w:rPr>
          <w:rFonts w:ascii="Times New Roman" w:cs="David" w:eastAsia="Times New Roman" w:hAnsi="Times New Roman"/>
          <w:b w:val="false"/>
          <w:i w:val="false"/>
          <w:iCs w:val="false"/>
          <w:sz w:val="24"/>
          <w:szCs w:val="24"/>
          <w:rtl w:val="false"/>
          <w:lang w:val="en-US" w:bidi="he-IL"/>
        </w:rPr>
        <w:t xml:space="preserve">(1), 2685370. https://doi.org/10.1080/20008066.2026.2685370</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Shinan-Altman, S., &amp; Levkovich, I. (2022). Are personal resources and perceived stress associated with psychological outcomes among Israeli teachers during the third COVID-19 lockdown? International Journal of Environmental Research and Public Health, 19(9), 5634. https://doi.org/10.3390/ijerph19095634</w:t>
      </w:r>
    </w:p>
    <w:p>
      <w:pPr>
        <w:bidi w:val="false"/>
        <w:spacing w:after="160" w:before="0" w:line="480"/>
        <w:ind w:left="720" w:hanging="720"/>
        <w:jc w:val="left"/>
      </w:pPr>
      <w:r>
        <w:rPr>
          <w:rFonts w:ascii="Times New Roman" w:cs="David" w:eastAsia="Times New Roman" w:hAnsi="Times New Roman"/>
          <w:b w:val="false"/>
          <w:i w:val="false"/>
          <w:iCs w:val="false"/>
          <w:sz w:val="24"/>
          <w:szCs w:val="24"/>
          <w:rtl w:val="false"/>
          <w:lang w:val="en-US" w:bidi="he-IL"/>
        </w:rPr>
        <w:t xml:space="preserve">Shur-Kraspin, L., Slone, M., &amp; Kanat-Maymon, Y. (2025). Youth exposed to armed conflict: The homeroom teacher as a protective agent promoting student resilience. </w:t>
      </w:r>
      <w:r>
        <w:rPr>
          <w:rFonts w:ascii="Times New Roman" w:cs="David" w:eastAsia="Times New Roman" w:hAnsi="Times New Roman"/>
          <w:b w:val="false"/>
          <w:i/>
          <w:iCs/>
          <w:sz w:val="24"/>
          <w:szCs w:val="24"/>
          <w:rtl w:val="false"/>
          <w:lang w:val="en-US" w:bidi="he-IL"/>
        </w:rPr>
        <w:t xml:space="preserve">International Journal of Environmental Research and Public Health, 22</w:t>
      </w:r>
      <w:r>
        <w:rPr>
          <w:rFonts w:ascii="Times New Roman" w:cs="David" w:eastAsia="Times New Roman" w:hAnsi="Times New Roman"/>
          <w:b w:val="false"/>
          <w:i w:val="false"/>
          <w:iCs w:val="false"/>
          <w:sz w:val="24"/>
          <w:szCs w:val="24"/>
          <w:rtl w:val="false"/>
          <w:lang w:val="en-US" w:bidi="he-IL"/>
        </w:rPr>
        <w:t xml:space="preserve">(8), 1233. https://doi.org/10.3390/ijerph22081233</w:t>
      </w:r>
    </w:p>
    <w:sectPr>
      <w:footerReference w:type="default" r:id="rId7"/>
      <w:pgSz w:w="11906" w:h="16838" w:orient="portrait"/>
      <w:pgMar w:top="1418" w:right="1418" w:bottom="1418" w:left="1418"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David" w:eastAsia="Times New Roman" w:hAnsi="Times New Roman"/>
        <w:sz w:val="24"/>
        <w:szCs w:val="24"/>
        <w:lang w:val="en-US" w:bidi="he-I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abstractNum>
  <w:abstractNum w:abstractNumId="3" w15:restartNumberingAfterBreak="0">
    <w:multiLevelType w:val="hybridMultilevel"/>
    <w:lvl w:ilvl="0" w15:tentative="1">
      <w:start w:val="1"/>
      <w:numFmt w:val="decimal"/>
      <w:lvlText w:val="%1."/>
      <w:lvlJc w:val="righ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Times New Roman" w:hAnsi="Times New Roman"/>
        <w:sz w:val="24"/>
        <w:szCs w:val="24"/>
        <w:rtl/>
        <w:lang w:val="en-US" w:bidi="he-IL"/>
      </w:rPr>
    </w:rPrDefault>
    <w:pPrDefault>
      <w:pPr>
        <w:spacing w:after="12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David" w:eastAsia="Times New Roman" w:hAnsi="Times New Roman"/>
      <w:b/>
      <w:bCs/>
      <w:color w:val="000000"/>
      <w:sz w:val="36"/>
      <w:szCs w:val="36"/>
      <w:lang w:val="en-US" w:bidi="he-IL"/>
    </w:rPr>
  </w:style>
  <w:style w:type="paragraph" w:styleId="Heading2">
    <w:name w:val="Heading 2"/>
    <w:basedOn w:val="Normal"/>
    <w:next w:val="Normal"/>
    <w:qFormat/>
    <w:pPr>
      <w:spacing w:after="120" w:before="200"/>
      <w:outlineLvl w:val="1"/>
    </w:pPr>
    <w:rPr>
      <w:rFonts w:ascii="Times New Roman" w:cs="David" w:eastAsia="Times New Roman" w:hAnsi="Times New Roman"/>
      <w:b/>
      <w:bCs/>
      <w:color w:val="000000"/>
      <w:sz w:val="32"/>
      <w:szCs w:val="32"/>
      <w:lang w:val="en-US" w:bidi="he-IL"/>
    </w:rPr>
  </w:style>
  <w:style w:type="paragraph" w:styleId="Heading3">
    <w:name w:val="Heading 3"/>
    <w:basedOn w:val="Normal"/>
    <w:next w:val="Normal"/>
    <w:qFormat/>
    <w:pPr>
      <w:spacing w:after="120" w:before="160"/>
      <w:outlineLvl w:val="2"/>
    </w:pPr>
    <w:rPr>
      <w:rFonts w:ascii="Times New Roman" w:cs="David" w:eastAsia="Times New Roman" w:hAnsi="Times New Roman"/>
      <w:b/>
      <w:bCs/>
      <w:color w:val="000000"/>
      <w:sz w:val="30"/>
      <w:szCs w:val="30"/>
      <w:lang w:val="en-US" w:bidi="he-I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רשימת מקורות שפיטים: הוראה מודעת טראומה בישראל (2021–2026)</dc:title>
  <dc:creator>Student</dc:creator>
  <cp:lastModifiedBy>Un-named</cp:lastModifiedBy>
  <cp:revision>1</cp:revision>
  <dcterms:created xsi:type="dcterms:W3CDTF">2026-09-13T17:46:08.775Z</dcterms:created>
  <dcterms:modified xsi:type="dcterms:W3CDTF">2026-09-13T17:46:08.775Z</dcterms:modified>
</cp:coreProperties>
</file>

<file path=docProps/custom.xml><?xml version="1.0" encoding="utf-8"?>
<Properties xmlns="http://schemas.openxmlformats.org/officeDocument/2006/custom-properties" xmlns:vt="http://schemas.openxmlformats.org/officeDocument/2006/docPropsVTypes"/>
</file>