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sz w:val="30"/>
          <w:szCs w:val="30"/>
          <w:rtl/>
        </w:rPr>
        <w:t xml:space="preserve">הפקולטה למשפטים</w:t>
      </w:r>
    </w:p>
    <w:p>
      <w:pPr>
        <w:bidi/>
        <w:spacing w:after="120"/>
        <w:jc w:val="center"/>
      </w:pPr>
      <w:r>
        <w:rPr>
          <w:rFonts w:ascii="David" w:cs="David" w:eastAsia="David" w:hAnsi="David"/>
          <w:sz w:val="26"/>
          <w:szCs w:val="26"/>
          <w:rtl/>
        </w:rPr>
        <w:t xml:space="preserve">תואר שני במשפטים (</w:t>
      </w:r>
      <w:r>
        <w:rPr>
          <w:rFonts w:ascii="David" w:cs="David" w:eastAsia="David" w:hAnsi="David"/>
          <w:sz w:val="26"/>
          <w:szCs w:val="26"/>
          <w:rtl w:val="false"/>
        </w:rPr>
        <w:t xml:space="preserve">LL.M.‎</w:t>
      </w:r>
      <w:r>
        <w:rPr>
          <w:rFonts w:ascii="David" w:cs="David" w:eastAsia="David" w:hAnsi="David"/>
          <w:sz w:val="26"/>
          <w:szCs w:val="26"/>
          <w:rtl/>
        </w:rPr>
        <w:t xml:space="preserve">)</w:t>
      </w:r>
    </w:p>
    <w:p>
      <w:pPr>
        <w:bidi/>
        <w:spacing w:after="1800"/>
        <w:jc w:val="center"/>
      </w:pPr>
      <w:r>
        <w:rPr>
          <w:rFonts w:ascii="David" w:cs="David" w:eastAsia="David" w:hAnsi="David"/>
          <w:sz w:val="26"/>
          <w:szCs w:val="26"/>
          <w:rtl/>
        </w:rPr>
        <w:t xml:space="preserve">סמינר מתקדם במשפט הפלילי</w:t>
      </w:r>
    </w:p>
    <w:p>
      <w:pPr>
        <w:bidi/>
        <w:spacing w:after="60"/>
        <w:jc w:val="center"/>
      </w:pPr>
      <w:r>
        <w:rPr>
          <w:rFonts w:ascii="David" w:cs="David" w:eastAsia="David" w:hAnsi="David"/>
          <w:b/>
          <w:bCs/>
          <w:sz w:val="38"/>
          <w:szCs w:val="38"/>
          <w:rtl/>
        </w:rPr>
        <w:t xml:space="preserve">רפורמת אמו"ן במשטרת ישראל:</w:t>
      </w:r>
    </w:p>
    <w:p>
      <w:pPr>
        <w:bidi/>
        <w:spacing w:after="240"/>
        <w:jc w:val="center"/>
      </w:pPr>
      <w:r>
        <w:rPr>
          <w:rFonts w:ascii="David" w:cs="David" w:eastAsia="David" w:hAnsi="David"/>
          <w:b/>
          <w:bCs/>
          <w:sz w:val="38"/>
          <w:szCs w:val="38"/>
          <w:rtl/>
        </w:rPr>
        <w:t xml:space="preserve">בין אפקטיביות עקרונית ליישום בפועל</w:t>
      </w:r>
    </w:p>
    <w:p>
      <w:pPr>
        <w:bidi/>
        <w:spacing w:after="2000"/>
        <w:jc w:val="center"/>
      </w:pPr>
      <w:r>
        <w:rPr>
          <w:rFonts w:ascii="David" w:cs="David" w:eastAsia="David" w:hAnsi="David"/>
          <w:sz w:val="28"/>
          <w:szCs w:val="28"/>
          <w:rtl/>
        </w:rPr>
        <w:t xml:space="preserve">הפחתת עבריינות, אכיפה ולגיטימציה בקרב צעירים ערבים בני 18 עד 24</w:t>
      </w:r>
    </w:p>
    <w:p>
      <w:pPr>
        <w:bidi/>
        <w:spacing w:after="120"/>
        <w:jc w:val="center"/>
      </w:pPr>
      <w:r>
        <w:rPr>
          <w:rFonts w:ascii="David" w:cs="David" w:eastAsia="David" w:hAnsi="David"/>
          <w:sz w:val="26"/>
          <w:szCs w:val="26"/>
          <w:rtl/>
        </w:rPr>
        <w:t xml:space="preserve">מוגש ל: פרופ' יואב ספיר</w:t>
      </w:r>
    </w:p>
    <w:p>
      <w:pPr>
        <w:bidi/>
        <w:spacing w:after="120"/>
        <w:jc w:val="center"/>
      </w:pPr>
      <w:r>
        <w:rPr>
          <w:rFonts w:ascii="David" w:cs="David" w:eastAsia="David" w:hAnsi="David"/>
          <w:sz w:val="26"/>
          <w:szCs w:val="26"/>
          <w:rtl/>
        </w:rPr>
        <w:t xml:space="preserve">מגיש: יזיד גריפאת</w:t>
      </w:r>
    </w:p>
    <w:p>
      <w:pPr>
        <w:bidi/>
        <w:spacing w:after="120"/>
        <w:jc w:val="center"/>
      </w:pPr>
      <w:r>
        <w:rPr>
          <w:rFonts w:ascii="David" w:cs="David" w:eastAsia="David" w:hAnsi="David"/>
          <w:sz w:val="26"/>
          <w:szCs w:val="26"/>
          <w:rtl/>
        </w:rPr>
        <w:t xml:space="preserve">תאריך הגשה: </w:t>
      </w:r>
      <w:r>
        <w:rPr>
          <w:rFonts w:ascii="David" w:cs="David" w:eastAsia="David" w:hAnsi="David"/>
          <w:sz w:val="26"/>
          <w:szCs w:val="26"/>
          <w:shd w:fill="FFF200" w:color="auto" w:val="clear"/>
          <w:rtl/>
        </w:rPr>
        <w:t xml:space="preserve">[תאריך]</w:t>
      </w:r>
    </w:p>
    <w:p>
      <w:r>
        <w:br w:type="page"/>
      </w: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sz w:val="32"/>
          <w:szCs w:val="32"/>
          <w:rtl/>
        </w:rPr>
        <w:t xml:space="preserve">1. מבוא</w:t>
      </w:r>
    </w:p>
    <w:p>
      <w:pPr>
        <w:bidi/>
        <w:spacing w:after="120" w:line="360"/>
        <w:ind w:firstLine="0"/>
        <w:jc w:val="both"/>
      </w:pPr>
      <w:r>
        <w:rPr>
          <w:rFonts w:ascii="David" w:cs="David" w:eastAsia="David" w:hAnsi="David"/>
          <w:sz w:val="24"/>
          <w:szCs w:val="24"/>
          <w:rt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sz w:val="24"/>
          <w:szCs w:val="24"/>
          <w:rt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sz w:val="24"/>
          <w:szCs w:val="24"/>
          <w:rt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sz w:val="24"/>
          <w:szCs w:val="24"/>
          <w:rt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sz w:val="24"/>
          <w:szCs w:val="24"/>
          <w:rtl/>
        </w:rPr>
        <w:t xml:space="preserve"> ספיר מזהיר כי הרחבת סמכויות והחמרת ענישה, בלי טיפול בגורמי העומק ובלי שיתוף הציבור הערבי, עלולות להוביל לתוצאות בלתי צודקות מבלי להפחית את הפשיעה.</w:t>
      </w:r>
      <w:r>
        <w:rPr>
          <w:rStyle w:val="FootnoteReference"/>
        </w:rPr>
        <w:footnoteReference w:id="4"/>
      </w:r>
      <w:r>
        <w:rPr>
          <w:rFonts w:ascii="David" w:cs="David" w:eastAsia="David" w:hAnsi="David"/>
          <w:sz w:val="24"/>
          <w:szCs w:val="24"/>
          <w:rt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sz w:val="24"/>
          <w:szCs w:val="24"/>
          <w:rt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sz w:val="24"/>
          <w:szCs w:val="24"/>
          <w:rt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sz w:val="24"/>
          <w:szCs w:val="24"/>
          <w:rtl/>
        </w:rPr>
        <w:t xml:space="preserve"> לכן אמו"ן היא מקרה מבחן חשוב.</w:t>
      </w:r>
    </w:p>
    <w:p>
      <w:pPr>
        <w:bidi/>
        <w:spacing w:after="120" w:line="360"/>
        <w:ind w:firstLine="0"/>
        <w:jc w:val="both"/>
      </w:pPr>
      <w:r>
        <w:rPr>
          <w:rFonts w:ascii="David" w:cs="David" w:eastAsia="David" w:hAnsi="David"/>
          <w:sz w:val="24"/>
          <w:szCs w:val="24"/>
          <w:rt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sz w:val="24"/>
          <w:szCs w:val="24"/>
          <w:rt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sz w:val="24"/>
          <w:szCs w:val="24"/>
          <w:rt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sz w:val="24"/>
          <w:szCs w:val="24"/>
          <w:rt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sz w:val="24"/>
          <w:szCs w:val="24"/>
          <w:rt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w:t>
      </w:r>
    </w:p>
    <w:p>
      <w:pPr>
        <w:pStyle w:val="Heading1"/>
        <w:bidi/>
        <w:spacing w:after="160" w:before="240"/>
        <w:jc w:val="center"/>
      </w:pPr>
      <w:r>
        <w:rPr>
          <w:rFonts w:ascii="David" w:cs="David" w:eastAsia="David" w:hAnsi="David"/>
          <w:b/>
          <w:bCs/>
          <w:sz w:val="32"/>
          <w:szCs w:val="32"/>
          <w:rtl/>
        </w:rPr>
        <w:t xml:space="preserve">2. אפקטיביות בשיטור: מסגרת מושגית ומשפטית</w:t>
      </w:r>
    </w:p>
    <w:p>
      <w:pPr>
        <w:pStyle w:val="Heading2"/>
        <w:bidi/>
        <w:spacing w:after="160" w:before="240"/>
        <w:jc w:val="right"/>
      </w:pPr>
      <w:r>
        <w:rPr>
          <w:rFonts w:ascii="David" w:cs="David" w:eastAsia="David" w:hAnsi="David"/>
          <w:b/>
          <w:bCs/>
          <w:sz w:val="28"/>
          <w:szCs w:val="28"/>
          <w:rtl/>
        </w:rPr>
        <w:t xml:space="preserve">2.1 ארבעה ממדים של אפקטיביות</w:t>
      </w:r>
    </w:p>
    <w:p>
      <w:pPr>
        <w:bidi/>
        <w:spacing w:after="120" w:line="360"/>
        <w:ind w:firstLine="0"/>
        <w:jc w:val="both"/>
      </w:pPr>
      <w:r>
        <w:rPr>
          <w:rFonts w:ascii="David" w:cs="David" w:eastAsia="David" w:hAnsi="David"/>
          <w:sz w:val="24"/>
          <w:szCs w:val="24"/>
          <w:rt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sz w:val="24"/>
          <w:szCs w:val="24"/>
          <w:rt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sz w:val="24"/>
          <w:szCs w:val="24"/>
          <w:rt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sz w:val="24"/>
          <w:szCs w:val="24"/>
          <w:rt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sz w:val="24"/>
          <w:szCs w:val="24"/>
          <w:rtl/>
        </w:rPr>
        <w:t xml:space="preserve"> ובעניין </w:t>
      </w:r>
      <w:r>
        <w:rPr>
          <w:rFonts w:ascii="David" w:cs="David" w:eastAsia="David" w:hAnsi="David"/>
          <w:b/>
          <w:bCs/>
          <w:sz w:val="24"/>
          <w:szCs w:val="24"/>
          <w:rtl/>
        </w:rPr>
        <w:t xml:space="preserve">סויסא</w:t>
      </w:r>
      <w:r>
        <w:rPr>
          <w:rFonts w:ascii="David" w:cs="David" w:eastAsia="David" w:hAnsi="David"/>
          <w:sz w:val="24"/>
          <w:szCs w:val="24"/>
          <w:rt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sz w:val="24"/>
          <w:szCs w:val="24"/>
          <w:rtl/>
        </w:rPr>
        <w:t xml:space="preserve"> בעניין </w:t>
      </w:r>
      <w:r>
        <w:rPr>
          <w:rFonts w:ascii="David" w:cs="David" w:eastAsia="David" w:hAnsi="David"/>
          <w:b/>
          <w:bCs/>
          <w:sz w:val="24"/>
          <w:szCs w:val="24"/>
          <w:rtl/>
        </w:rPr>
        <w:t xml:space="preserve">אלחננוב</w:t>
      </w:r>
      <w:r>
        <w:rPr>
          <w:rFonts w:ascii="David" w:cs="David" w:eastAsia="David" w:hAnsi="David"/>
          <w:sz w:val="24"/>
          <w:szCs w:val="24"/>
          <w:rtl/>
        </w:rPr>
        <w:t xml:space="preserve"> הודגש שאמון הציבור במשטרה מותנה "לא רק ביעילותה המקצועית, אלא בראש וראשונה באמינותה".</w:t>
      </w:r>
      <w:r>
        <w:rPr>
          <w:rStyle w:val="FootnoteReference"/>
        </w:rPr>
        <w:footnoteReference w:id="13"/>
      </w:r>
      <w:r>
        <w:rPr>
          <w:rFonts w:ascii="David" w:cs="David" w:eastAsia="David" w:hAnsi="David"/>
          <w:sz w:val="24"/>
          <w:szCs w:val="24"/>
          <w:rtl/>
        </w:rPr>
        <w:t xml:space="preserve"> הממד הרביעי הוא שוויון, ובעניין </w:t>
      </w:r>
      <w:r>
        <w:rPr>
          <w:rFonts w:ascii="David" w:cs="David" w:eastAsia="David" w:hAnsi="David"/>
          <w:b/>
          <w:bCs/>
          <w:sz w:val="24"/>
          <w:szCs w:val="24"/>
          <w:rtl/>
        </w:rPr>
        <w:t xml:space="preserve">טבקה</w:t>
      </w:r>
      <w:r>
        <w:rPr>
          <w:rFonts w:ascii="David" w:cs="David" w:eastAsia="David" w:hAnsi="David"/>
          <w:sz w:val="24"/>
          <w:szCs w:val="24"/>
          <w:rtl/>
        </w:rPr>
        <w:t xml:space="preserve"> עמד בית המשפט על הקשר בין היעדר אמות מידה ברורות להפעלת סמכות לבין הפליה של מיעוטים.</w:t>
      </w:r>
      <w:r>
        <w:rPr>
          <w:rStyle w:val="FootnoteReference"/>
        </w:rPr>
        <w:footnoteReference w:id="14"/>
      </w:r>
    </w:p>
    <w:p>
      <w:pPr>
        <w:bidi/>
        <w:spacing w:after="120" w:line="360"/>
        <w:ind w:firstLine="0"/>
        <w:jc w:val="both"/>
      </w:pPr>
      <w:r>
        <w:rPr>
          <w:rFonts w:ascii="David" w:cs="David" w:eastAsia="David" w:hAnsi="David"/>
          <w:sz w:val="24"/>
          <w:szCs w:val="24"/>
          <w:rt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5"/>
      </w:r>
      <w:r>
        <w:rPr>
          <w:rFonts w:ascii="David" w:cs="David" w:eastAsia="David" w:hAnsi="David"/>
          <w:sz w:val="24"/>
          <w:szCs w:val="24"/>
          <w:rt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6"/>
      </w:r>
      <w:r>
        <w:rPr>
          <w:rFonts w:ascii="David" w:cs="David" w:eastAsia="David" w:hAnsi="David"/>
          <w:sz w:val="24"/>
          <w:szCs w:val="24"/>
          <w:rtl/>
        </w:rPr>
        <w:t xml:space="preserve"> לכן טענה להצלחה צריכה לציין באיזה ממד מדובר ומה קרה בממדים האחרים.</w:t>
      </w:r>
    </w:p>
    <w:p>
      <w:pPr>
        <w:bidi/>
        <w:spacing w:after="120" w:line="360"/>
        <w:ind w:firstLine="0"/>
        <w:jc w:val="both"/>
      </w:pPr>
      <w:r>
        <w:rPr>
          <w:rFonts w:ascii="David" w:cs="David" w:eastAsia="David" w:hAnsi="David"/>
          <w:sz w:val="24"/>
          <w:szCs w:val="24"/>
          <w:rtl/>
        </w:rPr>
        <w:t xml:space="preserve">יש להבחין גם בין מדדים ארגוניים לבין חוויית הציבור. טיילר, גוף ומקון מתארים מעבר בסדר היום של השיטור האמריקאי, מהתמקדות במקצועיות ובמאבק בפשיעה אל היחסים עם הקהילות,</w:t>
      </w:r>
      <w:r>
        <w:rPr>
          <w:rStyle w:val="FootnoteReference"/>
        </w:rPr>
        <w:footnoteReference w:id="17"/>
      </w:r>
      <w:r>
        <w:rPr>
          <w:rFonts w:ascii="David" w:cs="David" w:eastAsia="David" w:hAnsi="David"/>
          <w:sz w:val="24"/>
          <w:szCs w:val="24"/>
          <w:rtl/>
        </w:rPr>
        <w:t xml:space="preserve"> והצוות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8"/>
      </w:r>
      <w:r>
        <w:rPr>
          <w:rFonts w:ascii="David" w:cs="David" w:eastAsia="David" w:hAnsi="David"/>
          <w:sz w:val="24"/>
          <w:szCs w:val="24"/>
          <w:rtl/>
        </w:rPr>
        <w:t xml:space="preserve"> ההמלצה מרחיבה את מושג ההצלחה כך שיכלול גם את הדרך שבה המשטרה פועלת. ארגון שמודד רק את עצמו רואה תמונה חלקית, ולעיתים מחמיאה מדי. פורום המרצות והמרצים למשפטים מוסיף שאחריותיות של המשטרה אינה יכולה להיות אחריותיות כלפי הרוב בלבד, ושהטיפול בקהילות מוחלשות, שפוגשות במשטרה יותר מאחרות, צריך לקבל עדיפות על פני הרצון להיענות להעדפות הרוב.</w:t>
      </w:r>
      <w:r>
        <w:rPr>
          <w:rStyle w:val="FootnoteReference"/>
        </w:rPr>
        <w:footnoteReference w:id="19"/>
      </w:r>
      <w:r>
        <w:rPr>
          <w:rFonts w:ascii="David" w:cs="David" w:eastAsia="David" w:hAnsi="David"/>
          <w:sz w:val="24"/>
          <w:szCs w:val="24"/>
          <w:rtl/>
        </w:rPr>
        <w:t xml:space="preserve"> יש לזכור גם שנתוני פשיעה משקפים במידה רבה את היקף הפעילות המשטרתית, ולכן עלייה בתיקים אחרי מבצע אכיפה אינה מוכיחה עלייה בעבריינות.</w:t>
      </w:r>
      <w:r>
        <w:rPr>
          <w:rStyle w:val="FootnoteReference"/>
        </w:rPr>
        <w:footnoteReference w:id="20"/>
      </w:r>
    </w:p>
    <w:p>
      <w:pPr>
        <w:pStyle w:val="Heading2"/>
        <w:bidi/>
        <w:spacing w:after="160" w:before="240"/>
        <w:jc w:val="right"/>
      </w:pPr>
      <w:r>
        <w:rPr>
          <w:rFonts w:ascii="David" w:cs="David" w:eastAsia="David" w:hAnsi="David"/>
          <w:b/>
          <w:bCs/>
          <w:sz w:val="28"/>
          <w:szCs w:val="28"/>
          <w:rtl/>
        </w:rPr>
        <w:t xml:space="preserve">2.2 שיטור מוכוון בעיות ומשפחת השיטור היזום</w:t>
      </w:r>
    </w:p>
    <w:p>
      <w:pPr>
        <w:bidi/>
        <w:spacing w:after="120" w:line="360"/>
        <w:ind w:firstLine="0"/>
        <w:jc w:val="both"/>
      </w:pPr>
      <w:r>
        <w:rPr>
          <w:rFonts w:ascii="David" w:cs="David" w:eastAsia="David" w:hAnsi="David"/>
          <w:sz w:val="24"/>
          <w:szCs w:val="24"/>
          <w:rtl/>
        </w:rPr>
        <w:t xml:space="preserve">וייסבורד ואק מראים שיש מעט ראיות לכך שמודל השיטור הסטנדרטי, המבוסס על סיור, מענה לקריאות וחקירה בדיעבד, מפחית פשיעה, אי-סדר או פחד מפשיעה.</w:t>
      </w:r>
      <w:r>
        <w:rPr>
          <w:rStyle w:val="FootnoteReference"/>
        </w:rPr>
        <w:footnoteReference w:id="21"/>
      </w:r>
      <w:r>
        <w:rPr>
          <w:rFonts w:ascii="David" w:cs="David" w:eastAsia="David" w:hAnsi="David"/>
          <w:sz w:val="24"/>
          <w:szCs w:val="24"/>
          <w:rtl/>
        </w:rPr>
        <w:t xml:space="preserve"> 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22"/>
      </w:r>
      <w:r>
        <w:rPr>
          <w:rFonts w:ascii="David" w:cs="David" w:eastAsia="David" w:hAnsi="David"/>
          <w:sz w:val="24"/>
          <w:szCs w:val="24"/>
          <w:rtl/>
        </w:rPr>
        <w:t xml:space="preserve"> אק וספלמן תרגמו זאת לארבעה שלבים: סריקה, ניתוח, תגובה והערכה (</w:t>
      </w:r>
      <w:r>
        <w:rPr>
          <w:rFonts w:ascii="David" w:cs="David" w:eastAsia="David" w:hAnsi="David"/>
          <w:sz w:val="24"/>
          <w:szCs w:val="24"/>
          <w:rtl w:val="false"/>
        </w:rPr>
        <w:t xml:space="preserve">SARA).‎</w:t>
      </w:r>
      <w:r>
        <w:rPr>
          <w:rStyle w:val="FootnoteReference"/>
        </w:rPr>
        <w:footnoteReference w:id="23"/>
      </w:r>
      <w:r>
        <w:rPr>
          <w:rFonts w:ascii="David" w:cs="David" w:eastAsia="David" w:hAnsi="David"/>
          <w:sz w:val="24"/>
          <w:szCs w:val="24"/>
          <w:rtl/>
        </w:rPr>
        <w:t xml:space="preserve"> מטא-אנליזה של 34 מחקרים מצאה ירידה מובהקת של כ-34% בפשיעה ובאי-סדר, ונטייה לפיזור התועלת לאזורים סמוכים יותר מאשר להתקת הפשיעה.</w:t>
      </w:r>
      <w:r>
        <w:rPr>
          <w:rStyle w:val="FootnoteReference"/>
        </w:rPr>
        <w:footnoteReference w:id="24"/>
      </w:r>
    </w:p>
    <w:p>
      <w:pPr>
        <w:bidi/>
        <w:spacing w:after="120" w:line="360"/>
        <w:ind w:firstLine="0"/>
        <w:jc w:val="both"/>
      </w:pPr>
      <w:r>
        <w:rPr>
          <w:rFonts w:ascii="David" w:cs="David" w:eastAsia="David" w:hAnsi="David"/>
          <w:sz w:val="24"/>
          <w:szCs w:val="24"/>
          <w:rtl/>
        </w:rPr>
        <w:t xml:space="preserve">שיטור מוכוון בעיות הוא אחת מארבע גישות של "שיטור יזום", לצד גישות ממוקדות מקום, ממוקדות אנשים וקהילתיות.</w:t>
      </w:r>
      <w:r>
        <w:rPr>
          <w:rStyle w:val="FootnoteReference"/>
        </w:rPr>
        <w:footnoteReference w:id="25"/>
      </w:r>
      <w:r>
        <w:rPr>
          <w:rFonts w:ascii="David" w:cs="David" w:eastAsia="David" w:hAnsi="David"/>
          <w:sz w:val="24"/>
          <w:szCs w:val="24"/>
          <w:rtl/>
        </w:rPr>
        <w:t xml:space="preserve"> שיטור נקודות חמות נמצא מפחית פשיעה באזורי היעד.</w:t>
      </w:r>
      <w:r>
        <w:rPr>
          <w:rStyle w:val="FootnoteReference"/>
        </w:rPr>
        <w:footnoteReference w:id="26"/>
      </w:r>
      <w:r>
        <w:rPr>
          <w:rFonts w:ascii="David" w:cs="David" w:eastAsia="David" w:hAnsi="David"/>
          <w:sz w:val="24"/>
          <w:szCs w:val="24"/>
          <w:rt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7"/>
      </w:r>
      <w:r>
        <w:rPr>
          <w:rFonts w:ascii="David" w:cs="David" w:eastAsia="David" w:hAnsi="David"/>
          <w:sz w:val="24"/>
          <w:szCs w:val="24"/>
          <w:rtl/>
        </w:rPr>
        <w:t xml:space="preserve"> המדריך המקצועי מתאר שישה שלבים, ובהם מפגש התרעה ואכיפה לצד שירותים,</w:t>
      </w:r>
      <w:r>
        <w:rPr>
          <w:rStyle w:val="FootnoteReference"/>
        </w:rPr>
        <w:footnoteReference w:id="28"/>
      </w:r>
      <w:r>
        <w:rPr>
          <w:rFonts w:ascii="David" w:cs="David" w:eastAsia="David" w:hAnsi="David"/>
          <w:sz w:val="24"/>
          <w:szCs w:val="24"/>
          <w:rt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sz w:val="24"/>
          <w:szCs w:val="24"/>
          <w:rt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9"/>
      </w:r>
      <w:r>
        <w:rPr>
          <w:rFonts w:ascii="David" w:cs="David" w:eastAsia="David" w:hAnsi="David"/>
          <w:sz w:val="24"/>
          <w:szCs w:val="24"/>
          <w:rt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30"/>
      </w:r>
      <w:r>
        <w:rPr>
          <w:rFonts w:ascii="David" w:cs="David" w:eastAsia="David" w:hAnsi="David"/>
          <w:sz w:val="24"/>
          <w:szCs w:val="24"/>
          <w:rtl/>
        </w:rPr>
        <w:t xml:space="preserve"> ולכן הסיכון נקבע לפי הפעולות שבתוכנית, ולא לפי שמה.</w:t>
      </w:r>
    </w:p>
    <w:p>
      <w:pPr>
        <w:bidi/>
        <w:spacing w:after="120" w:line="360"/>
        <w:ind w:firstLine="0"/>
        <w:jc w:val="both"/>
      </w:pPr>
      <w:r>
        <w:rPr>
          <w:rFonts w:ascii="David" w:cs="David" w:eastAsia="David" w:hAnsi="David"/>
          <w:sz w:val="24"/>
          <w:szCs w:val="24"/>
          <w:rt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בקרב מי שנחשפו לעיכובים, לתשאול ולחיפושים יזומים נמצא קשר שלילי בולט בין החשיפה לבין עמדותיהם כלפי המשטרה.</w:t>
      </w:r>
      <w:r>
        <w:rPr>
          <w:rStyle w:val="FootnoteReference"/>
        </w:rPr>
        <w:footnoteReference w:id="31"/>
      </w:r>
      <w:r>
        <w:rPr>
          <w:rFonts w:ascii="David" w:cs="David" w:eastAsia="David" w:hAnsi="David"/>
          <w:sz w:val="24"/>
          <w:szCs w:val="24"/>
          <w:rtl/>
        </w:rPr>
        <w:t xml:space="preserve"> תמהיל הכלים שתחנה בוחרת קובע אפוא לא רק את סיכויי ההצלחה, אלא גם את הסיכון לאמון.</w:t>
      </w:r>
    </w:p>
    <w:p>
      <w:pPr>
        <w:pStyle w:val="Heading2"/>
        <w:bidi/>
        <w:spacing w:after="160" w:before="240"/>
        <w:jc w:val="right"/>
      </w:pPr>
      <w:r>
        <w:rPr>
          <w:rFonts w:ascii="David" w:cs="David" w:eastAsia="David" w:hAnsi="David"/>
          <w:b/>
          <w:bCs/>
          <w:sz w:val="28"/>
          <w:szCs w:val="28"/>
          <w:rtl/>
        </w:rPr>
        <w:t xml:space="preserve">2.3 שיטור יתר, שיטור חסר והוגנות ההליכים</w:t>
      </w:r>
    </w:p>
    <w:p>
      <w:pPr>
        <w:bidi/>
        <w:spacing w:after="120" w:line="360"/>
        <w:ind w:firstLine="0"/>
        <w:jc w:val="both"/>
      </w:pPr>
      <w:r>
        <w:rPr>
          <w:rFonts w:ascii="David" w:cs="David" w:eastAsia="David" w:hAnsi="David"/>
          <w:sz w:val="24"/>
          <w:szCs w:val="24"/>
          <w:rt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32"/>
      </w:r>
      <w:r>
        <w:rPr>
          <w:rFonts w:ascii="David" w:cs="David" w:eastAsia="David" w:hAnsi="David"/>
          <w:sz w:val="24"/>
          <w:szCs w:val="24"/>
          <w:rt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33"/>
      </w:r>
      <w:r>
        <w:rPr>
          <w:rFonts w:ascii="David" w:cs="David" w:eastAsia="David" w:hAnsi="David"/>
          <w:sz w:val="24"/>
          <w:szCs w:val="24"/>
          <w:rtl/>
        </w:rPr>
        <w:t xml:space="preserve"> במקום שבו הסדר החוקי נחלש מתחזקים מנגנונים מסורתיים ודרכים לעשיית סדר מחוץ לחוק.</w:t>
      </w:r>
      <w:r>
        <w:rPr>
          <w:rStyle w:val="FootnoteReference"/>
        </w:rPr>
        <w:footnoteReference w:id="34"/>
      </w:r>
      <w:r>
        <w:rPr>
          <w:rFonts w:ascii="David" w:cs="David" w:eastAsia="David" w:hAnsi="David"/>
          <w:sz w:val="24"/>
          <w:szCs w:val="24"/>
          <w:rtl/>
        </w:rPr>
        <w:t xml:space="preserve"> הרדוף מתאר את הצד המשפטי של שיטור החסר: כוח אדם מוגבל וריבוי עבירות מביאים לכך שחלקים מדיני העונשין נאכפים באופן חלקי בלבד, ובחירת המקומות שבהם יוצבו ניידות והתופעות שבהן תתמקד האכיפה מנתבת את ההליך הפלילי לאוכלוסיות ולאזורים מסוימים, בלי הסמכה ברורה.</w:t>
      </w:r>
      <w:r>
        <w:rPr>
          <w:rStyle w:val="FootnoteReference"/>
        </w:rPr>
        <w:footnoteReference w:id="35"/>
      </w:r>
    </w:p>
    <w:p>
      <w:pPr>
        <w:bidi/>
        <w:spacing w:after="120" w:line="360"/>
        <w:ind w:firstLine="0"/>
        <w:jc w:val="both"/>
      </w:pPr>
      <w:r>
        <w:rPr>
          <w:rFonts w:ascii="David" w:cs="David" w:eastAsia="David" w:hAnsi="David"/>
          <w:sz w:val="24"/>
          <w:szCs w:val="24"/>
          <w:rt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36"/>
      </w:r>
      <w:r>
        <w:rPr>
          <w:rFonts w:ascii="David" w:cs="David" w:eastAsia="David" w:hAnsi="David"/>
          <w:sz w:val="24"/>
          <w:szCs w:val="24"/>
          <w:rtl/>
        </w:rPr>
        <w:t xml:space="preserve"> ההבחנה מעשית: אם הבעיה היא לגיטימיות, הפתרון הוא שיפור המפגש; אם הבעיה היא ניכור, נדרש שינוי בהיקף ההגנה ובפיקוח. ההבחנה חשובה לאמו"ן: רפורמה שמשפרת את המפגש אך אינה משנה את היקף ההגנה שהקהילה מקבלת עלולה לטפל בסימפטום ולא במבנה. השאלה תחזור בפרק 7.</w:t>
      </w:r>
    </w:p>
    <w:p>
      <w:pPr>
        <w:bidi/>
        <w:spacing w:after="120" w:line="360"/>
        <w:ind w:firstLine="0"/>
        <w:jc w:val="both"/>
      </w:pPr>
      <w:r>
        <w:rPr>
          <w:rFonts w:ascii="David" w:cs="David" w:eastAsia="David" w:hAnsi="David"/>
          <w:sz w:val="24"/>
          <w:szCs w:val="24"/>
          <w:rt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7"/>
      </w:r>
      <w:r>
        <w:rPr>
          <w:rFonts w:ascii="David" w:cs="David" w:eastAsia="David" w:hAnsi="David"/>
          <w:sz w:val="24"/>
          <w:szCs w:val="24"/>
          <w:rtl/>
        </w:rPr>
        <w:t xml:space="preserve"> וטיילר, גוף ומקון הראו שהירידה בפשיעה בארצות הברית לא הביאה לעלייה מקבילה בלגיטימיות המשטרה.</w:t>
      </w:r>
      <w:r>
        <w:rPr>
          <w:rStyle w:val="FootnoteReference"/>
        </w:rPr>
        <w:footnoteReference w:id="38"/>
      </w:r>
      <w:r>
        <w:rPr>
          <w:rFonts w:ascii="David" w:cs="David" w:eastAsia="David" w:hAnsi="David"/>
          <w:sz w:val="24"/>
          <w:szCs w:val="24"/>
          <w:rtl/>
        </w:rPr>
        <w:t xml:space="preserve"> הפורום מוסיף שגוף שיטור שחסרה לו לגיטימציה, במיוחד בקהילות חלשות, לא יזכה לסיוע ואולי אף ייתקל בהתנגדות, וההתנגדות עלולה להוביל לשימוש בכוח רב עוד יותר.</w:t>
      </w:r>
      <w:r>
        <w:rPr>
          <w:rStyle w:val="FootnoteReference"/>
        </w:rPr>
        <w:footnoteReference w:id="39"/>
      </w:r>
      <w:r>
        <w:rPr>
          <w:rFonts w:ascii="David" w:cs="David" w:eastAsia="David" w:hAnsi="David"/>
          <w:sz w:val="24"/>
          <w:szCs w:val="24"/>
          <w:rtl/>
        </w:rPr>
        <w:t xml:space="preserve"> סקוגן מצא שמפגש שלילי משפיע על העמדות הרבה יותר ממפגש חיובי,</w:t>
      </w:r>
      <w:r>
        <w:rPr>
          <w:rStyle w:val="FootnoteReference"/>
        </w:rPr>
        <w:footnoteReference w:id="40"/>
      </w:r>
      <w:r>
        <w:rPr>
          <w:rFonts w:ascii="David" w:cs="David" w:eastAsia="David" w:hAnsi="David"/>
          <w:sz w:val="24"/>
          <w:szCs w:val="24"/>
          <w:rtl/>
        </w:rPr>
        <w:t xml:space="preserve"> ובמילווקי, לאחר פרסום מקרה של אלימות שוטרים, נאמד הפער בקריאות למוקד בכ-22,200 קריאות.</w:t>
      </w:r>
      <w:r>
        <w:rPr>
          <w:rStyle w:val="FootnoteReference"/>
        </w:rPr>
        <w:footnoteReference w:id="41"/>
      </w:r>
      <w:r>
        <w:rPr>
          <w:rFonts w:ascii="David" w:cs="David" w:eastAsia="David" w:hAnsi="David"/>
          <w:sz w:val="24"/>
          <w:szCs w:val="24"/>
          <w:rt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sz w:val="28"/>
          <w:szCs w:val="28"/>
          <w:rtl/>
        </w:rPr>
        <w:t xml:space="preserve">2.4 סמכות, שיקול דעת, שוויון ומידתיות באכיפה</w:t>
      </w:r>
    </w:p>
    <w:p>
      <w:pPr>
        <w:bidi/>
        <w:spacing w:after="120" w:line="360"/>
        <w:ind w:firstLine="0"/>
        <w:jc w:val="both"/>
      </w:pPr>
      <w:r>
        <w:rPr>
          <w:rFonts w:ascii="David" w:cs="David" w:eastAsia="David" w:hAnsi="David"/>
          <w:sz w:val="24"/>
          <w:szCs w:val="24"/>
          <w:rtl/>
        </w:rPr>
        <w:t xml:space="preserve">בעניין </w:t>
      </w:r>
      <w:r>
        <w:rPr>
          <w:rFonts w:ascii="David" w:cs="David" w:eastAsia="David" w:hAnsi="David"/>
          <w:b/>
          <w:bCs/>
          <w:sz w:val="24"/>
          <w:szCs w:val="24"/>
          <w:rtl/>
        </w:rPr>
        <w:t xml:space="preserve">מוסא</w:t>
      </w:r>
      <w:r>
        <w:rPr>
          <w:rFonts w:ascii="David" w:cs="David" w:eastAsia="David" w:hAnsi="David"/>
          <w:sz w:val="24"/>
          <w:szCs w:val="24"/>
          <w:rtl/>
        </w:rPr>
        <w:t xml:space="preserve"> נקבע ש"אין למשטרה כוחות, אלא עד כמה שאלה הוענקו לה בחוק".</w:t>
      </w:r>
      <w:r>
        <w:rPr>
          <w:rStyle w:val="FootnoteReference"/>
        </w:rPr>
        <w:footnoteReference w:id="42"/>
      </w:r>
      <w:r>
        <w:rPr>
          <w:rFonts w:ascii="David" w:cs="David" w:eastAsia="David" w:hAnsi="David"/>
          <w:sz w:val="24"/>
          <w:szCs w:val="24"/>
          <w:rtl/>
        </w:rPr>
        <w:t xml:space="preserve"> בעניין </w:t>
      </w:r>
      <w:r>
        <w:rPr>
          <w:rFonts w:ascii="David" w:cs="David" w:eastAsia="David" w:hAnsi="David"/>
          <w:b/>
          <w:bCs/>
          <w:sz w:val="24"/>
          <w:szCs w:val="24"/>
          <w:rtl/>
        </w:rPr>
        <w:t xml:space="preserve">המרכז האקדמי</w:t>
      </w:r>
      <w:r>
        <w:rPr>
          <w:rFonts w:ascii="David" w:cs="David" w:eastAsia="David" w:hAnsi="David"/>
          <w:sz w:val="24"/>
          <w:szCs w:val="24"/>
          <w:rtl/>
        </w:rPr>
        <w:t xml:space="preserve"> תואר כוח האכיפה ככוח "המתוחם להשגת תכלית האכיפה ולא מעבר לה", והגבלתו נועדה להגן גם על מעמדו של המיעוט ביחס לרוב.</w:t>
      </w:r>
      <w:r>
        <w:rPr>
          <w:rStyle w:val="FootnoteReference"/>
        </w:rPr>
        <w:footnoteReference w:id="43"/>
      </w:r>
      <w:r>
        <w:rPr>
          <w:rFonts w:ascii="David" w:cs="David" w:eastAsia="David" w:hAnsi="David"/>
          <w:sz w:val="24"/>
          <w:szCs w:val="24"/>
          <w:rtl/>
        </w:rPr>
        <w:t xml:space="preserve"> בעניין </w:t>
      </w:r>
      <w:r>
        <w:rPr>
          <w:rFonts w:ascii="David" w:cs="David" w:eastAsia="David" w:hAnsi="David"/>
          <w:b/>
          <w:bCs/>
          <w:sz w:val="24"/>
          <w:szCs w:val="24"/>
          <w:rtl/>
        </w:rPr>
        <w:t xml:space="preserve">טבקה</w:t>
      </w:r>
      <w:r>
        <w:rPr>
          <w:rFonts w:ascii="David" w:cs="David" w:eastAsia="David" w:hAnsi="David"/>
          <w:sz w:val="24"/>
          <w:szCs w:val="24"/>
          <w:rt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44"/>
      </w:r>
      <w:r>
        <w:rPr>
          <w:rFonts w:ascii="David" w:cs="David" w:eastAsia="David" w:hAnsi="David"/>
          <w:sz w:val="24"/>
          <w:szCs w:val="24"/>
          <w:rt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45"/>
      </w:r>
    </w:p>
    <w:p>
      <w:pPr>
        <w:bidi/>
        <w:spacing w:after="120" w:line="360"/>
        <w:ind w:firstLine="0"/>
        <w:jc w:val="both"/>
      </w:pPr>
      <w:r>
        <w:rPr>
          <w:rFonts w:ascii="David" w:cs="David" w:eastAsia="David" w:hAnsi="David"/>
          <w:sz w:val="24"/>
          <w:szCs w:val="24"/>
          <w:rtl/>
        </w:rPr>
        <w:t xml:space="preserve">פקודת המשטרה מגדירה את תפקידי המשטרה,</w:t>
      </w:r>
      <w:r>
        <w:rPr>
          <w:rStyle w:val="FootnoteReference"/>
        </w:rPr>
        <w:footnoteReference w:id="46"/>
      </w:r>
      <w:r>
        <w:rPr>
          <w:rFonts w:ascii="David" w:cs="David" w:eastAsia="David" w:hAnsi="David"/>
          <w:sz w:val="24"/>
          <w:szCs w:val="24"/>
          <w:rtl/>
        </w:rPr>
        <w:t xml:space="preserve"> תפקידה כולל גם הגנה על זכויות יסוד, ולא רק שמירה על הסדר.</w:t>
      </w:r>
      <w:r>
        <w:rPr>
          <w:rStyle w:val="FootnoteReference"/>
        </w:rPr>
        <w:footnoteReference w:id="47"/>
      </w:r>
      <w:r>
        <w:rPr>
          <w:rFonts w:ascii="David" w:cs="David" w:eastAsia="David" w:hAnsi="David"/>
          <w:sz w:val="24"/>
          <w:szCs w:val="24"/>
          <w:rtl/>
        </w:rPr>
        <w:t xml:space="preserve"> אך תיאור תפקידים אינו מקור סמכות לפגיעה בזכויות, ותועלת מבצעית אינה מחליפה הסמכה מפורשת בחוק.</w:t>
      </w:r>
      <w:r>
        <w:rPr>
          <w:rStyle w:val="FootnoteReference"/>
        </w:rPr>
        <w:footnoteReference w:id="48"/>
      </w:r>
      <w:r>
        <w:rPr>
          <w:rFonts w:ascii="David" w:cs="David" w:eastAsia="David" w:hAnsi="David"/>
          <w:sz w:val="24"/>
          <w:szCs w:val="24"/>
          <w:rtl/>
        </w:rPr>
        <w:t xml:space="preserve"> השופט שטיין ניסח זאת כך: "עולמן של סמכויות השררה הוא עולם של מילים מפורשות".</w:t>
      </w:r>
      <w:r>
        <w:rPr>
          <w:rStyle w:val="FootnoteReference"/>
        </w:rPr>
        <w:footnoteReference w:id="49"/>
      </w:r>
      <w:r>
        <w:rPr>
          <w:rFonts w:ascii="David" w:cs="David" w:eastAsia="David" w:hAnsi="David"/>
          <w:sz w:val="24"/>
          <w:szCs w:val="24"/>
          <w:rt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50"/>
      </w:r>
      <w:r>
        <w:rPr>
          <w:rFonts w:ascii="David" w:cs="David" w:eastAsia="David" w:hAnsi="David"/>
          <w:sz w:val="24"/>
          <w:szCs w:val="24"/>
          <w:rtl/>
        </w:rPr>
        <w:t xml:space="preserve"> שמשקף איזון בין ביטחון הציבור לבין זכויות הפרט.</w:t>
      </w:r>
      <w:r>
        <w:rPr>
          <w:rStyle w:val="FootnoteReference"/>
        </w:rPr>
        <w:footnoteReference w:id="51"/>
      </w:r>
    </w:p>
    <w:p>
      <w:pPr>
        <w:bidi/>
        <w:spacing w:after="120" w:line="360"/>
        <w:ind w:firstLine="0"/>
        <w:jc w:val="both"/>
      </w:pPr>
      <w:r>
        <w:rPr>
          <w:rFonts w:ascii="David" w:cs="David" w:eastAsia="David" w:hAnsi="David"/>
          <w:sz w:val="24"/>
          <w:szCs w:val="24"/>
          <w:rtl/>
        </w:rPr>
        <w:t xml:space="preserve">חשד סביר נבחן במבחן אובייקטיבי, לפי נסיבות המפגש.</w:t>
      </w:r>
      <w:r>
        <w:rPr>
          <w:rStyle w:val="FootnoteReference"/>
        </w:rPr>
        <w:footnoteReference w:id="52"/>
      </w:r>
      <w:r>
        <w:rPr>
          <w:rFonts w:ascii="David" w:cs="David" w:eastAsia="David" w:hAnsi="David"/>
          <w:sz w:val="24"/>
          <w:szCs w:val="24"/>
          <w:rtl/>
        </w:rPr>
        <w:t xml:space="preserve"> תיאור חיצוני כללי אינו מקים סמכות עיכוב,</w:t>
      </w:r>
      <w:r>
        <w:rPr>
          <w:rStyle w:val="FootnoteReference"/>
        </w:rPr>
        <w:footnoteReference w:id="53"/>
      </w:r>
      <w:r>
        <w:rPr>
          <w:rFonts w:ascii="David" w:cs="David" w:eastAsia="David" w:hAnsi="David"/>
          <w:sz w:val="24"/>
          <w:szCs w:val="24"/>
          <w:rt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54"/>
      </w:r>
      <w:r>
        <w:rPr>
          <w:rFonts w:ascii="David" w:cs="David" w:eastAsia="David" w:hAnsi="David"/>
          <w:sz w:val="24"/>
          <w:szCs w:val="24"/>
          <w:rtl/>
        </w:rPr>
        <w:t xml:space="preserve"> גם החקיקה שנועדה למאבק בנשק אינה מתירה חיפוש גורף: חוק הסמכויות לשמירה על ביטחון הציבור מתיר חיפוש ללא צו רק כשיש חשד סביר שאדם נושא נשק שלא כדין או עומד לבצע עבירת אלימות.</w:t>
      </w:r>
      <w:r>
        <w:rPr>
          <w:rStyle w:val="FootnoteReference"/>
        </w:rPr>
        <w:footnoteReference w:id="55"/>
      </w:r>
      <w:r>
        <w:rPr>
          <w:rFonts w:ascii="David" w:cs="David" w:eastAsia="David" w:hAnsi="David"/>
          <w:sz w:val="24"/>
          <w:szCs w:val="24"/>
          <w:rtl/>
        </w:rPr>
        <w:t xml:space="preserve"> נקודת תורפה נוספת היא ההסכמה. בעניין </w:t>
      </w:r>
      <w:r>
        <w:rPr>
          <w:rFonts w:ascii="David" w:cs="David" w:eastAsia="David" w:hAnsi="David"/>
          <w:b/>
          <w:bCs/>
          <w:sz w:val="24"/>
          <w:szCs w:val="24"/>
          <w:rtl/>
        </w:rPr>
        <w:t xml:space="preserve">בן חיים</w:t>
      </w:r>
      <w:r>
        <w:rPr>
          <w:rFonts w:ascii="David" w:cs="David" w:eastAsia="David" w:hAnsi="David"/>
          <w:sz w:val="24"/>
          <w:szCs w:val="24"/>
          <w:rtl/>
        </w:rPr>
        <w:t xml:space="preserve"> נקבע שחיפוש בהסכמה כשר רק אם ההסכמה מדעת, ושעל השוטר להבהיר שהאדם רשאי לסרב ושהסירוב לא ייזקף לחובתו.</w:t>
      </w:r>
      <w:r>
        <w:rPr>
          <w:rStyle w:val="FootnoteReference"/>
        </w:rPr>
        <w:footnoteReference w:id="56"/>
      </w:r>
      <w:r>
        <w:rPr>
          <w:rFonts w:ascii="David" w:cs="David" w:eastAsia="David" w:hAnsi="David"/>
          <w:sz w:val="24"/>
          <w:szCs w:val="24"/>
          <w:rtl/>
        </w:rPr>
        <w:t xml:space="preserve"> הרמלין מטיל ספק בכך שהסכמה אמיתית אפשרית במפגש עם שוטרים חמושים, בפערי כוח מובנים,</w:t>
      </w:r>
      <w:r>
        <w:rPr>
          <w:rStyle w:val="FootnoteReference"/>
        </w:rPr>
        <w:footnoteReference w:id="57"/>
      </w:r>
      <w:r>
        <w:rPr>
          <w:rFonts w:ascii="David" w:cs="David" w:eastAsia="David" w:hAnsi="David"/>
          <w:sz w:val="24"/>
          <w:szCs w:val="24"/>
          <w:rtl/>
        </w:rPr>
        <w:t xml:space="preserve"> והרדוף מוסיף שחפים מפשע מסכימים לחיפוש משום שאינם מאמינים שיוכלו לסרב, ושהפגיעה כמעט אינה מגיעה לבית המשפט משום שלא מוגש כתב אישום.</w:t>
      </w:r>
      <w:r>
        <w:rPr>
          <w:rStyle w:val="FootnoteReference"/>
        </w:rPr>
        <w:footnoteReference w:id="58"/>
      </w:r>
      <w:r>
        <w:rPr>
          <w:rFonts w:ascii="David" w:cs="David" w:eastAsia="David" w:hAnsi="David"/>
          <w:sz w:val="24"/>
          <w:szCs w:val="24"/>
          <w:rtl/>
        </w:rPr>
        <w:t xml:space="preserve"> בדיון הנוסף בעניין </w:t>
      </w:r>
      <w:r>
        <w:rPr>
          <w:rFonts w:ascii="David" w:cs="David" w:eastAsia="David" w:hAnsi="David"/>
          <w:b/>
          <w:bCs/>
          <w:sz w:val="24"/>
          <w:szCs w:val="24"/>
          <w:rtl/>
        </w:rPr>
        <w:t xml:space="preserve">טבקה</w:t>
      </w:r>
      <w:r>
        <w:rPr>
          <w:rFonts w:ascii="David" w:cs="David" w:eastAsia="David" w:hAnsi="David"/>
          <w:sz w:val="24"/>
          <w:szCs w:val="24"/>
          <w:rtl/>
        </w:rPr>
        <w:t xml:space="preserve"> הבהיר המשנה לנשיאה הנדל שההלכה חלה כשהאדם מעוכב, ושהשאלה מה מותר לשוטר כשהאדם "חופשי לעזוב" לא הוכרעה.</w:t>
      </w:r>
      <w:r>
        <w:rPr>
          <w:rStyle w:val="FootnoteReference"/>
        </w:rPr>
        <w:footnoteReference w:id="59"/>
      </w:r>
      <w:r>
        <w:rPr>
          <w:rFonts w:ascii="David" w:cs="David" w:eastAsia="David" w:hAnsi="David"/>
          <w:sz w:val="24"/>
          <w:szCs w:val="24"/>
          <w:rtl/>
        </w:rPr>
        <w:t xml:space="preserve"> בבג"ץ 244/23 הבהיר בית המשפט שאין להסתפק ב"חשש" כללי כשהדין דורש יסוד סביר לחשד.</w:t>
      </w:r>
      <w:r>
        <w:rPr>
          <w:rStyle w:val="FootnoteReference"/>
        </w:rPr>
        <w:footnoteReference w:id="60"/>
      </w:r>
      <w:r>
        <w:rPr>
          <w:rFonts w:ascii="David" w:cs="David" w:eastAsia="David" w:hAnsi="David"/>
          <w:sz w:val="24"/>
          <w:szCs w:val="24"/>
          <w:rt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61"/>
      </w:r>
      <w:r>
        <w:rPr>
          <w:rFonts w:ascii="David" w:cs="David" w:eastAsia="David" w:hAnsi="David"/>
          <w:sz w:val="24"/>
          <w:szCs w:val="24"/>
          <w:rtl/>
        </w:rPr>
        <w:t xml:space="preserve"> בעניין </w:t>
      </w:r>
      <w:r>
        <w:rPr>
          <w:rFonts w:ascii="David" w:cs="David" w:eastAsia="David" w:hAnsi="David"/>
          <w:b/>
          <w:bCs/>
          <w:sz w:val="24"/>
          <w:szCs w:val="24"/>
          <w:rtl/>
        </w:rPr>
        <w:t xml:space="preserve">בורוביץ</w:t>
      </w:r>
      <w:r>
        <w:rPr>
          <w:rFonts w:ascii="David" w:cs="David" w:eastAsia="David" w:hAnsi="David"/>
          <w:sz w:val="24"/>
          <w:szCs w:val="24"/>
          <w:rtl/>
        </w:rPr>
        <w:t xml:space="preserve"> הוסבר שאכיפה בררנית פוגעת בשוויון בפני החוק ובתחושת הצדק,</w:t>
      </w:r>
      <w:r>
        <w:rPr>
          <w:rStyle w:val="FootnoteReference"/>
        </w:rPr>
        <w:footnoteReference w:id="62"/>
      </w:r>
      <w:r>
        <w:rPr>
          <w:rFonts w:ascii="David" w:cs="David" w:eastAsia="David" w:hAnsi="David"/>
          <w:sz w:val="24"/>
          <w:szCs w:val="24"/>
          <w:rtl/>
        </w:rPr>
        <w:t xml:space="preserve"> ובעניין </w:t>
      </w:r>
      <w:r>
        <w:rPr>
          <w:rFonts w:ascii="David" w:cs="David" w:eastAsia="David" w:hAnsi="David"/>
          <w:b/>
          <w:bCs/>
          <w:sz w:val="24"/>
          <w:szCs w:val="24"/>
          <w:rtl/>
        </w:rPr>
        <w:t xml:space="preserve">פרץ</w:t>
      </w:r>
      <w:r>
        <w:rPr>
          <w:rFonts w:ascii="David" w:cs="David" w:eastAsia="David" w:hAnsi="David"/>
          <w:sz w:val="24"/>
          <w:szCs w:val="24"/>
          <w:rtl/>
        </w:rPr>
        <w:t xml:space="preserve"> נקבע מבחן: הגדרת קבוצת השוויון, בדיקה אם יש הבחנה רלוונטית בין המקרים, ובחינה אם האכיפה נבעה משיקולים ענייניים.</w:t>
      </w:r>
      <w:r>
        <w:rPr>
          <w:rStyle w:val="FootnoteReference"/>
        </w:rPr>
        <w:footnoteReference w:id="63"/>
      </w:r>
      <w:r>
        <w:rPr>
          <w:rFonts w:ascii="David" w:cs="David" w:eastAsia="David" w:hAnsi="David"/>
          <w:sz w:val="24"/>
          <w:szCs w:val="24"/>
          <w:rtl/>
        </w:rPr>
        <w:t xml:space="preserve"> המשטרה רשאית לקבוע סדרי עדיפויות לפי המידע והמשאבים שבידיה, אך עליה להצביע על דרך פעולה סבירה,</w:t>
      </w:r>
      <w:r>
        <w:rPr>
          <w:rStyle w:val="FootnoteReference"/>
        </w:rPr>
        <w:footnoteReference w:id="64"/>
      </w:r>
      <w:r>
        <w:rPr>
          <w:rFonts w:ascii="David" w:cs="David" w:eastAsia="David" w:hAnsi="David"/>
          <w:sz w:val="24"/>
          <w:szCs w:val="24"/>
          <w:rtl/>
        </w:rPr>
        <w:t xml:space="preserve"> וסדרי העדיפויות אסור שיתמקדו באופן שרירותי בחלק מקבוצת השוויון.</w:t>
      </w:r>
      <w:r>
        <w:rPr>
          <w:rStyle w:val="FootnoteReference"/>
        </w:rPr>
        <w:footnoteReference w:id="65"/>
      </w:r>
    </w:p>
    <w:p>
      <w:pPr>
        <w:bidi/>
        <w:spacing w:after="120" w:line="360"/>
        <w:ind w:firstLine="0"/>
        <w:jc w:val="both"/>
      </w:pPr>
      <w:r>
        <w:rPr>
          <w:rFonts w:ascii="David" w:cs="David" w:eastAsia="David" w:hAnsi="David"/>
          <w:sz w:val="24"/>
          <w:szCs w:val="24"/>
          <w:rt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66"/>
      </w:r>
      <w:r>
        <w:rPr>
          <w:rFonts w:ascii="David" w:cs="David" w:eastAsia="David" w:hAnsi="David"/>
          <w:sz w:val="24"/>
          <w:szCs w:val="24"/>
          <w:rtl/>
        </w:rPr>
        <w:t xml:space="preserve"> בדומה לכך, המידתיות נבחנת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והאיזון בין ביטחון לבין זכויות צריך להיבחן כבר בשלב התכנון ולא רק בבית המשפט בדיעבד. השאלה אינה אם יופעל שיקול דעת, שהוא חלק הכרחי מעבודת השוטר, אלא באילו תנאים, לפי אילו תבחינים, איך הוא יתועד ומי יפקח עליו.</w:t>
      </w:r>
    </w:p>
    <w:p>
      <w:pPr>
        <w:pStyle w:val="Heading1"/>
        <w:bidi/>
        <w:spacing w:after="160" w:before="240"/>
        <w:jc w:val="center"/>
      </w:pPr>
      <w:r>
        <w:rPr>
          <w:rFonts w:ascii="David" w:cs="David" w:eastAsia="David" w:hAnsi="David"/>
          <w:b/>
          <w:bCs/>
          <w:sz w:val="32"/>
          <w:szCs w:val="32"/>
          <w:rtl/>
        </w:rPr>
        <w:t xml:space="preserve">3. רפורמת אמו"ן: הרציונל, המבנה ומנגנוני הפעולה</w:t>
      </w:r>
    </w:p>
    <w:p>
      <w:pPr>
        <w:pStyle w:val="Heading2"/>
        <w:bidi/>
        <w:spacing w:after="160" w:before="240"/>
        <w:jc w:val="right"/>
      </w:pPr>
      <w:r>
        <w:rPr>
          <w:rFonts w:ascii="David" w:cs="David" w:eastAsia="David" w:hAnsi="David"/>
          <w:b/>
          <w:bCs/>
          <w:sz w:val="28"/>
          <w:szCs w:val="28"/>
          <w:rtl/>
        </w:rPr>
        <w:t xml:space="preserve">3.1 הרקע להקמת הרפורמה ומטרותיה</w:t>
      </w:r>
    </w:p>
    <w:p>
      <w:pPr>
        <w:bidi/>
        <w:spacing w:after="120" w:line="360"/>
        <w:ind w:firstLine="0"/>
        <w:jc w:val="both"/>
      </w:pPr>
      <w:r>
        <w:rPr>
          <w:rFonts w:ascii="David" w:cs="David" w:eastAsia="David" w:hAnsi="David"/>
          <w:sz w:val="24"/>
          <w:szCs w:val="24"/>
          <w:rtl/>
        </w:rPr>
        <w:t xml:space="preserve">אמו"ן הושקה בסוף שנת 2015 ושולבה בתוכניות העבודה של 2016. פדן מתאר אותה כרפורמה שהוביל המפכ"ל רוני אלשיך, שהציגה תפיסת עולם חדשה ביחס ליעדי המשטרה ולדרכי פעולתה.</w:t>
      </w:r>
      <w:r>
        <w:rPr>
          <w:rStyle w:val="FootnoteReference"/>
        </w:rPr>
        <w:footnoteReference w:id="67"/>
      </w:r>
      <w:r>
        <w:rPr>
          <w:rFonts w:ascii="David" w:cs="David" w:eastAsia="David" w:hAnsi="David"/>
          <w:sz w:val="24"/>
          <w:szCs w:val="24"/>
          <w:rtl/>
        </w:rPr>
        <w:t xml:space="preserve">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68"/>
      </w:r>
      <w:r>
        <w:rPr>
          <w:rFonts w:ascii="David" w:cs="David" w:eastAsia="David" w:hAnsi="David"/>
          <w:sz w:val="24"/>
          <w:szCs w:val="24"/>
          <w:rt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69"/>
      </w:r>
      <w:r>
        <w:rPr>
          <w:rFonts w:ascii="David" w:cs="David" w:eastAsia="David" w:hAnsi="David"/>
          <w:sz w:val="24"/>
          <w:szCs w:val="24"/>
          <w:rtl/>
        </w:rPr>
        <w:t xml:space="preserve"> החלוקה מעוררת שאלה על גבולות המענה המקומי, משום שמקורות הנשק והפשיעה המאורגנת חורגים מגזרת התחנה, והשאלה תחזור בדיון על עבירות הירי.</w:t>
      </w:r>
    </w:p>
    <w:p>
      <w:pPr>
        <w:bidi/>
        <w:spacing w:after="120" w:line="360"/>
        <w:ind w:firstLine="0"/>
        <w:jc w:val="both"/>
      </w:pPr>
      <w:r>
        <w:rPr>
          <w:rFonts w:ascii="David" w:cs="David" w:eastAsia="David" w:hAnsi="David"/>
          <w:sz w:val="24"/>
          <w:szCs w:val="24"/>
          <w:rt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70"/>
      </w:r>
      <w:r>
        <w:rPr>
          <w:rFonts w:ascii="David" w:cs="David" w:eastAsia="David" w:hAnsi="David"/>
          <w:sz w:val="24"/>
          <w:szCs w:val="24"/>
          <w:rtl/>
        </w:rPr>
        <w:t xml:space="preserve"> ייחודה בניסיון למסד אותן בכל הארגון,</w:t>
      </w:r>
      <w:r>
        <w:rPr>
          <w:rStyle w:val="FootnoteReference"/>
        </w:rPr>
        <w:footnoteReference w:id="71"/>
      </w:r>
      <w:r>
        <w:rPr>
          <w:rFonts w:ascii="David" w:cs="David" w:eastAsia="David" w:hAnsi="David"/>
          <w:sz w:val="24"/>
          <w:szCs w:val="24"/>
          <w:rtl/>
        </w:rPr>
        <w:t xml:space="preserve"> והיא הוצגה כהמשך להתפתחות השיטור הקלאסי במשטרות מתקדמות.</w:t>
      </w:r>
      <w:r>
        <w:rPr>
          <w:rStyle w:val="FootnoteReference"/>
        </w:rPr>
        <w:footnoteReference w:id="72"/>
      </w:r>
      <w:r>
        <w:rPr>
          <w:rFonts w:ascii="David" w:cs="David" w:eastAsia="David" w:hAnsi="David"/>
          <w:sz w:val="24"/>
          <w:szCs w:val="24"/>
          <w:rt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sz w:val="28"/>
          <w:szCs w:val="28"/>
          <w:rtl/>
        </w:rPr>
        <w:t xml:space="preserve">3.2 איתור הבעיות, הסריקה והניתוח</w:t>
      </w:r>
    </w:p>
    <w:p>
      <w:pPr>
        <w:bidi/>
        <w:spacing w:after="120" w:line="360"/>
        <w:ind w:firstLine="0"/>
        <w:jc w:val="both"/>
      </w:pPr>
      <w:r>
        <w:rPr>
          <w:rFonts w:ascii="David" w:cs="David" w:eastAsia="David" w:hAnsi="David"/>
          <w:sz w:val="24"/>
          <w:szCs w:val="24"/>
          <w:rtl/>
        </w:rPr>
        <w:t xml:space="preserve">כל תחנה בוחרת שלוש בעיות, כלומר תופעות משמעותיות של פשיעה או הפרת סדר בגזרתה, ומקצה להן את עיקר משאביה.</w:t>
      </w:r>
      <w:r>
        <w:rPr>
          <w:rStyle w:val="FootnoteReference"/>
        </w:rPr>
        <w:footnoteReference w:id="73"/>
      </w:r>
      <w:r>
        <w:rPr>
          <w:rFonts w:ascii="David" w:cs="David" w:eastAsia="David" w:hAnsi="David"/>
          <w:sz w:val="24"/>
          <w:szCs w:val="24"/>
          <w:rt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74"/>
      </w:r>
      <w:r>
        <w:rPr>
          <w:rFonts w:ascii="David" w:cs="David" w:eastAsia="David" w:hAnsi="David"/>
          <w:sz w:val="24"/>
          <w:szCs w:val="24"/>
          <w:rtl/>
        </w:rPr>
        <w:t xml:space="preserve"> כאשר הציבור מצביע על בעיה והמשטרה מחויבת להתייחס אליה, נוצרת מחויבות כלפי הציבור שאינה תלויה רק בשרשרת הפיקוד. זהו אחד הרכיבים החשובים ברפורמה מבחינת הממד השלישי, משום שהוא מכניס את קול התושבים כבר לשלב הגדרת הבעיה.</w:t>
      </w:r>
    </w:p>
    <w:p>
      <w:pPr>
        <w:bidi/>
        <w:spacing w:after="120" w:line="360"/>
        <w:ind w:firstLine="0"/>
        <w:jc w:val="both"/>
      </w:pPr>
      <w:r>
        <w:rPr>
          <w:rFonts w:ascii="David" w:cs="David" w:eastAsia="David" w:hAnsi="David"/>
          <w:sz w:val="24"/>
          <w:szCs w:val="24"/>
          <w:rtl/>
        </w:rPr>
        <w:t xml:space="preserve">שלב הניתוח נועד להבטיח הבנה של הבעיה לפני בחירת הכלי, והוא מציב רף מקצועי גבוה.</w:t>
      </w:r>
      <w:r>
        <w:rPr>
          <w:rStyle w:val="FootnoteReference"/>
        </w:rPr>
        <w:footnoteReference w:id="75"/>
      </w:r>
      <w:r>
        <w:rPr>
          <w:rFonts w:ascii="David" w:cs="David" w:eastAsia="David" w:hAnsi="David"/>
          <w:sz w:val="24"/>
          <w:szCs w:val="24"/>
          <w:rt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sz w:val="28"/>
          <w:szCs w:val="28"/>
          <w:rtl/>
        </w:rPr>
        <w:t xml:space="preserve">3.3 תוכניות התקיפה, הקצאת המשאבים ושיתוף הגורמים המקומיים</w:t>
      </w:r>
    </w:p>
    <w:p>
      <w:pPr>
        <w:bidi/>
        <w:spacing w:after="120" w:line="360"/>
        <w:ind w:firstLine="0"/>
        <w:jc w:val="both"/>
      </w:pPr>
      <w:r>
        <w:rPr>
          <w:rFonts w:ascii="David" w:cs="David" w:eastAsia="David" w:hAnsi="David"/>
          <w:sz w:val="24"/>
          <w:szCs w:val="24"/>
          <w:rt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76"/>
      </w:r>
      <w:r>
        <w:rPr>
          <w:rFonts w:ascii="David" w:cs="David" w:eastAsia="David" w:hAnsi="David"/>
          <w:sz w:val="24"/>
          <w:szCs w:val="24"/>
          <w:rtl/>
        </w:rPr>
        <w:t xml:space="preserve"> המינוי נועד למנוע מצב שבו תוכנית מאושרת ונשכחת, אך תיעוד הביצוע אינו מדידה של התוצאה.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sz w:val="24"/>
          <w:szCs w:val="24"/>
          <w:rt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77"/>
      </w:r>
      <w:r>
        <w:rPr>
          <w:rFonts w:ascii="David" w:cs="David" w:eastAsia="David" w:hAnsi="David"/>
          <w:sz w:val="24"/>
          <w:szCs w:val="24"/>
          <w:rt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78"/>
      </w:r>
    </w:p>
    <w:p>
      <w:pPr>
        <w:pStyle w:val="Heading2"/>
        <w:bidi/>
        <w:spacing w:after="160" w:before="240"/>
        <w:jc w:val="right"/>
      </w:pPr>
      <w:r>
        <w:rPr>
          <w:rFonts w:ascii="David" w:cs="David" w:eastAsia="David" w:hAnsi="David"/>
          <w:b/>
          <w:bCs/>
          <w:sz w:val="28"/>
          <w:szCs w:val="28"/>
          <w:rtl/>
        </w:rPr>
        <w:t xml:space="preserve">3.4 מדדי ההצלחה, מנגנון ההערכה והסיכונים המשפטיים</w:t>
      </w:r>
    </w:p>
    <w:p>
      <w:pPr>
        <w:bidi/>
        <w:spacing w:after="120" w:line="360"/>
        <w:ind w:firstLine="0"/>
        <w:jc w:val="both"/>
      </w:pPr>
      <w:r>
        <w:rPr>
          <w:rFonts w:ascii="David" w:cs="David" w:eastAsia="David" w:hAnsi="David"/>
          <w:sz w:val="24"/>
          <w:szCs w:val="24"/>
          <w:rtl/>
        </w:rPr>
        <w:t xml:space="preserve">כל תחנה נמדדה מול עצמה, וההצלחה הוגדרה כמניעת פשיעה.</w:t>
      </w:r>
      <w:r>
        <w:rPr>
          <w:rStyle w:val="FootnoteReference"/>
        </w:rPr>
        <w:footnoteReference w:id="79"/>
      </w:r>
      <w:r>
        <w:rPr>
          <w:rFonts w:ascii="David" w:cs="David" w:eastAsia="David" w:hAnsi="David"/>
          <w:sz w:val="24"/>
          <w:szCs w:val="24"/>
          <w:rt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80"/>
      </w:r>
      <w:r>
        <w:rPr>
          <w:rFonts w:ascii="David" w:cs="David" w:eastAsia="David" w:hAnsi="David"/>
          <w:sz w:val="24"/>
          <w:szCs w:val="24"/>
          <w:rtl/>
        </w:rPr>
        <w:t xml:space="preserve"> ההבחנה בין תקפות התוכנית לבין איכות הביצוע מובנית אפוא במודל עצמו, והיא תשמש בהמשך גם את הדיון בשאלת המחקר.</w:t>
      </w:r>
    </w:p>
    <w:p>
      <w:pPr>
        <w:bidi/>
        <w:spacing w:after="120" w:line="360"/>
        <w:ind w:firstLine="0"/>
        <w:jc w:val="both"/>
      </w:pPr>
      <w:r>
        <w:rPr>
          <w:rFonts w:ascii="David" w:cs="David" w:eastAsia="David" w:hAnsi="David"/>
          <w:sz w:val="24"/>
          <w:szCs w:val="24"/>
          <w:rt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81"/>
      </w:r>
      <w:r>
        <w:rPr>
          <w:rFonts w:ascii="David" w:cs="David" w:eastAsia="David" w:hAnsi="David"/>
          <w:sz w:val="24"/>
          <w:szCs w:val="24"/>
          <w:rt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82"/>
      </w:r>
      <w:r>
        <w:rPr>
          <w:rFonts w:ascii="David" w:cs="David" w:eastAsia="David" w:hAnsi="David"/>
          <w:sz w:val="24"/>
          <w:szCs w:val="24"/>
          <w:rtl/>
        </w:rPr>
        <w:t xml:space="preserve"> אך בתיאור הרפורמה אין פירוט של אמות המידה לבחירת האדם שאליו יפנה השוטר בתוך הפוליגון.</w:t>
      </w:r>
      <w:r>
        <w:rPr>
          <w:rStyle w:val="FootnoteReference"/>
        </w:rPr>
        <w:footnoteReference w:id="83"/>
      </w:r>
      <w:r>
        <w:rPr>
          <w:rFonts w:ascii="David" w:cs="David" w:eastAsia="David" w:hAnsi="David"/>
          <w:sz w:val="24"/>
          <w:szCs w:val="24"/>
          <w:rt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sz w:val="24"/>
          <w:szCs w:val="24"/>
          <w:rtl/>
        </w:rPr>
        <w:t xml:space="preserve">טבקה</w:t>
      </w:r>
      <w:r>
        <w:rPr>
          <w:rFonts w:ascii="David" w:cs="David" w:eastAsia="David" w:hAnsi="David"/>
          <w:sz w:val="24"/>
          <w:szCs w:val="24"/>
          <w:rtl/>
        </w:rPr>
        <w:t xml:space="preserve">, מודל שמרכז פעילות יזומה באוכלוסייה מוגדרת מגביר את הצורך באמות מידה גלויות. הסיכון מחריף כאשר סדרי העדיפויות של המשטרה נתונים להשפעה פוליטית. בעניין </w:t>
      </w:r>
      <w:r>
        <w:rPr>
          <w:rFonts w:ascii="David" w:cs="David" w:eastAsia="David" w:hAnsi="David"/>
          <w:b/>
          <w:bCs/>
          <w:sz w:val="24"/>
          <w:szCs w:val="24"/>
          <w:rtl/>
        </w:rPr>
        <w:t xml:space="preserve">התנועה למען איכות השלטון</w:t>
      </w:r>
      <w:r>
        <w:rPr>
          <w:rFonts w:ascii="David" w:cs="David" w:eastAsia="David" w:hAnsi="David"/>
          <w:sz w:val="24"/>
          <w:szCs w:val="24"/>
          <w:rtl/>
        </w:rPr>
        <w:t xml:space="preserve"> בוטל סעיף 8ד לפקודת המשטרה, שהסמיך את השר להתוות מדיניות בתחום החקירות, ובית המשפט הבהיר ששימוש פוליטי בסמכויות המשטרה עלול להביא לאכיפת יתר או לאכיפת חסר כלפי קבוצות שונות ולערער את אמון הציבור.</w:t>
      </w:r>
      <w:r>
        <w:rPr>
          <w:rStyle w:val="FootnoteReference"/>
        </w:rPr>
        <w:footnoteReference w:id="84"/>
      </w:r>
    </w:p>
    <w:p>
      <w:pPr>
        <w:pStyle w:val="Heading1"/>
        <w:bidi/>
        <w:spacing w:after="160" w:before="240"/>
        <w:jc w:val="center"/>
      </w:pPr>
      <w:r>
        <w:rPr>
          <w:rFonts w:ascii="David" w:cs="David" w:eastAsia="David" w:hAnsi="David"/>
          <w:b/>
          <w:bCs/>
          <w:sz w:val="32"/>
          <w:szCs w:val="32"/>
          <w:rtl/>
        </w:rPr>
        <w:t xml:space="preserve">4. צעירים ערבים בני 18 עד 24 כמקרה מבחן</w:t>
      </w:r>
    </w:p>
    <w:p>
      <w:pPr>
        <w:pStyle w:val="Heading2"/>
        <w:bidi/>
        <w:spacing w:after="160" w:before="240"/>
        <w:jc w:val="right"/>
      </w:pPr>
      <w:r>
        <w:rPr>
          <w:rFonts w:ascii="David" w:cs="David" w:eastAsia="David" w:hAnsi="David"/>
          <w:b/>
          <w:bCs/>
          <w:sz w:val="28"/>
          <w:szCs w:val="28"/>
          <w:rtl/>
        </w:rPr>
        <w:t xml:space="preserve">4.1 ההצדקה לבחירת קבוצת הגיל</w:t>
      </w:r>
    </w:p>
    <w:p>
      <w:pPr>
        <w:bidi/>
        <w:spacing w:after="120" w:line="360"/>
        <w:ind w:firstLine="0"/>
        <w:jc w:val="both"/>
      </w:pPr>
      <w:r>
        <w:rPr>
          <w:rFonts w:ascii="David" w:cs="David" w:eastAsia="David" w:hAnsi="David"/>
          <w:sz w:val="24"/>
          <w:szCs w:val="24"/>
          <w:rt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85"/>
      </w:r>
      <w:r>
        <w:rPr>
          <w:rFonts w:ascii="David" w:cs="David" w:eastAsia="David" w:hAnsi="David"/>
          <w:sz w:val="24"/>
          <w:szCs w:val="24"/>
          <w:rtl/>
        </w:rPr>
        <w:t xml:space="preserve"> ולכן הם משמשים רקע ולא בסיס לייחוס תוצאות לצעירים.</w:t>
      </w:r>
    </w:p>
    <w:p>
      <w:pPr>
        <w:bidi/>
        <w:spacing w:after="120" w:line="360"/>
        <w:ind w:firstLine="0"/>
        <w:jc w:val="both"/>
      </w:pPr>
      <w:r>
        <w:rPr>
          <w:rFonts w:ascii="David" w:cs="David" w:eastAsia="David" w:hAnsi="David"/>
          <w:sz w:val="24"/>
          <w:szCs w:val="24"/>
          <w:rtl/>
        </w:rPr>
        <w:t xml:space="preserve">לצד זאת יש לזכור שני סייגים. הנתונים המשטרתיים מסווגים את הנעצרים כ"לא יהודים", סיווג שאינו זהה לקבוצה הערבית. בנוסף, נתוני מעצרים ותיקים מלמדים על פעילות המשטרה ולא בהכרח על היקף העבריינות, ואינם מספרים דבר על הפגיעה שהצעירים עצמם חווים כקורבנות. הבחירה בקבוצה נועדה אפוא לבחון את נקודת המפגש בין פשיעה, אכיפה ולגיטימציה, ולא להציג אותה כקבוצה עבריינית.</w:t>
      </w:r>
    </w:p>
    <w:p>
      <w:pPr>
        <w:bidi/>
        <w:spacing w:after="120" w:line="360"/>
        <w:ind w:firstLine="0"/>
        <w:jc w:val="both"/>
      </w:pPr>
      <w:r>
        <w:rPr>
          <w:rFonts w:ascii="David" w:cs="David" w:eastAsia="David" w:hAnsi="David"/>
          <w:sz w:val="24"/>
          <w:szCs w:val="24"/>
          <w:rt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86"/>
      </w:r>
      <w:r>
        <w:rPr>
          <w:rFonts w:ascii="David" w:cs="David" w:eastAsia="David" w:hAnsi="David"/>
          <w:sz w:val="24"/>
          <w:szCs w:val="24"/>
          <w:rt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87"/>
      </w:r>
      <w:r>
        <w:rPr>
          <w:rFonts w:ascii="David" w:cs="David" w:eastAsia="David" w:hAnsi="David"/>
          <w:sz w:val="24"/>
          <w:szCs w:val="24"/>
          <w:rtl/>
        </w:rPr>
        <w:t xml:space="preserve"> יש לזכור גם שהחברה הערבית אינה קהילה אחת, אלא מכלול של קהילות, מסורתיות ומודרניות, מוסלמיות ונוצריות, כפריות ועירוניות.</w:t>
      </w:r>
      <w:r>
        <w:rPr>
          <w:rStyle w:val="FootnoteReference"/>
        </w:rPr>
        <w:footnoteReference w:id="88"/>
      </w:r>
      <w:r>
        <w:rPr>
          <w:rFonts w:ascii="David" w:cs="David" w:eastAsia="David" w:hAnsi="David"/>
          <w:sz w:val="24"/>
          <w:szCs w:val="24"/>
          <w:rtl/>
        </w:rPr>
        <w:t xml:space="preserve"> בנוסף, צעירים משתתפים יותר במחאות, ובעניין </w:t>
      </w:r>
      <w:r>
        <w:rPr>
          <w:rFonts w:ascii="David" w:cs="David" w:eastAsia="David" w:hAnsi="David"/>
          <w:b/>
          <w:bCs/>
          <w:sz w:val="24"/>
          <w:szCs w:val="24"/>
          <w:rtl/>
        </w:rPr>
        <w:t xml:space="preserve">דיאב</w:t>
      </w:r>
      <w:r>
        <w:rPr>
          <w:rFonts w:ascii="David" w:cs="David" w:eastAsia="David" w:hAnsi="David"/>
          <w:sz w:val="24"/>
          <w:szCs w:val="24"/>
          <w:rtl/>
        </w:rPr>
        <w:t xml:space="preserve"> ובעניין </w:t>
      </w:r>
      <w:r>
        <w:rPr>
          <w:rFonts w:ascii="David" w:cs="David" w:eastAsia="David" w:hAnsi="David"/>
          <w:b/>
          <w:bCs/>
          <w:sz w:val="24"/>
          <w:szCs w:val="24"/>
          <w:rtl/>
        </w:rPr>
        <w:t xml:space="preserve">עבאס</w:t>
      </w:r>
      <w:r>
        <w:rPr>
          <w:rFonts w:ascii="David" w:cs="David" w:eastAsia="David" w:hAnsi="David"/>
          <w:sz w:val="24"/>
          <w:szCs w:val="24"/>
          <w:rtl/>
        </w:rPr>
        <w:t xml:space="preserve"> נקבע שאין להפעיל סמכות משטרתית כלפי מפגינים על סמך זהותם הלאומית או על סמך הכללה, אלא רק לפי נסיבות קונקרטיות.</w:t>
      </w:r>
      <w:r>
        <w:rPr>
          <w:rStyle w:val="FootnoteReference"/>
        </w:rPr>
        <w:footnoteReference w:id="89"/>
      </w:r>
    </w:p>
    <w:p>
      <w:pPr>
        <w:pStyle w:val="Heading2"/>
        <w:bidi/>
        <w:spacing w:after="160" w:before="240"/>
        <w:jc w:val="right"/>
      </w:pPr>
      <w:r>
        <w:rPr>
          <w:rFonts w:ascii="David" w:cs="David" w:eastAsia="David" w:hAnsi="David"/>
          <w:b/>
          <w:bCs/>
          <w:sz w:val="28"/>
          <w:szCs w:val="28"/>
          <w:rtl/>
        </w:rPr>
        <w:t xml:space="preserve">4.2 נשק בלתי חוקי, ירי וחשיפה לעבריינות</w:t>
      </w:r>
    </w:p>
    <w:p>
      <w:pPr>
        <w:bidi/>
        <w:spacing w:after="120" w:line="360"/>
        <w:ind w:firstLine="0"/>
        <w:jc w:val="both"/>
      </w:pPr>
      <w:r>
        <w:rPr>
          <w:rFonts w:ascii="David" w:cs="David" w:eastAsia="David" w:hAnsi="David"/>
          <w:sz w:val="24"/>
          <w:szCs w:val="24"/>
          <w:rt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90"/>
      </w:r>
      <w:r>
        <w:rPr>
          <w:rFonts w:ascii="David" w:cs="David" w:eastAsia="David" w:hAnsi="David"/>
          <w:sz w:val="24"/>
          <w:szCs w:val="24"/>
          <w:rtl/>
        </w:rPr>
        <w:t xml:space="preserve"> לפי מבקר המדינה, יותר מ-70% מעבירות הירי בחברה הערבית בוצעו בידי אזרחים שמוגדרים "נורמטיביים".</w:t>
      </w:r>
      <w:r>
        <w:rPr>
          <w:rStyle w:val="FootnoteReference"/>
        </w:rPr>
        <w:footnoteReference w:id="91"/>
      </w:r>
      <w:r>
        <w:rPr>
          <w:rFonts w:ascii="David" w:cs="David" w:eastAsia="David" w:hAnsi="David"/>
          <w:sz w:val="24"/>
          <w:szCs w:val="24"/>
          <w:rtl/>
        </w:rPr>
        <w:t xml:space="preserve"> הנתון משנה את מבנה הבעיה, משום שהרתעה ממוקדת הראתה אפקט גדול יותר מול כנופיות וקבוצות עברייניות.</w:t>
      </w:r>
      <w:r>
        <w:rPr>
          <w:rStyle w:val="FootnoteReference"/>
        </w:rPr>
        <w:footnoteReference w:id="92"/>
      </w:r>
      <w:r>
        <w:rPr>
          <w:rFonts w:ascii="David" w:cs="David" w:eastAsia="David" w:hAnsi="David"/>
          <w:sz w:val="24"/>
          <w:szCs w:val="24"/>
          <w:rt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sz w:val="24"/>
          <w:szCs w:val="24"/>
          <w:rtl/>
        </w:rPr>
        <w:t xml:space="preserve">הנשק מגיע מגניבות מצה"ל, מהברחות מירדן, מייצור ביהודה ושומרון ומגניבות מבתים ומכלי רכב,</w:t>
      </w:r>
      <w:r>
        <w:rPr>
          <w:rStyle w:val="FootnoteReference"/>
        </w:rPr>
        <w:footnoteReference w:id="93"/>
      </w:r>
      <w:r>
        <w:rPr>
          <w:rFonts w:ascii="David" w:cs="David" w:eastAsia="David" w:hAnsi="David"/>
          <w:sz w:val="24"/>
          <w:szCs w:val="24"/>
          <w:rtl/>
        </w:rPr>
        <w:t xml:space="preserve"> וזמינותו היא גורם מרכזי בתופעה.</w:t>
      </w:r>
      <w:r>
        <w:rPr>
          <w:rStyle w:val="FootnoteReference"/>
        </w:rPr>
        <w:footnoteReference w:id="94"/>
      </w:r>
      <w:r>
        <w:rPr>
          <w:rFonts w:ascii="David" w:cs="David" w:eastAsia="David" w:hAnsi="David"/>
          <w:sz w:val="24"/>
          <w:szCs w:val="24"/>
          <w:rtl/>
        </w:rPr>
        <w:t xml:space="preserve"> מודל שבו כל תחנה בוחרת בעיות בגזרתה מתקשה לטפל בגורם שפועל בקנה מידה ארצי. המחוקק הגיב בהחמרה: חוק העונשין קובע עבירות של החזקת נשק ונשיאתו בעונש של עד חמש עשרה שנות מאסר ועונש מינימום של רבע מן העונש המרבי,</w:t>
      </w:r>
      <w:r>
        <w:rPr>
          <w:rStyle w:val="FootnoteReference"/>
        </w:rPr>
        <w:footnoteReference w:id="95"/>
      </w:r>
      <w:r>
        <w:rPr>
          <w:rFonts w:ascii="David" w:cs="David" w:eastAsia="David" w:hAnsi="David"/>
          <w:sz w:val="24"/>
          <w:szCs w:val="24"/>
          <w:rtl/>
        </w:rPr>
        <w:t xml:space="preserve"> ועבירה נפרדת של ירי מנשק חם, בחומרה יתרה באזור מגורים.</w:t>
      </w:r>
      <w:r>
        <w:rPr>
          <w:rStyle w:val="FootnoteReference"/>
        </w:rPr>
        <w:footnoteReference w:id="96"/>
      </w:r>
      <w:r>
        <w:rPr>
          <w:rFonts w:ascii="David" w:cs="David" w:eastAsia="David" w:hAnsi="David"/>
          <w:sz w:val="24"/>
          <w:szCs w:val="24"/>
          <w:rtl/>
        </w:rPr>
        <w:t xml:space="preserve"> עבירות נשק מקימות גם חזקת מסוכנות בהליכי מעצר.</w:t>
      </w:r>
      <w:r>
        <w:rPr>
          <w:rStyle w:val="FootnoteReference"/>
        </w:rPr>
        <w:footnoteReference w:id="97"/>
      </w:r>
      <w:r>
        <w:rPr>
          <w:rFonts w:ascii="David" w:cs="David" w:eastAsia="David" w:hAnsi="David"/>
          <w:sz w:val="24"/>
          <w:szCs w:val="24"/>
          <w:rtl/>
        </w:rPr>
        <w:t xml:space="preserve"> בית המשפט העליון הדגיש את הפגיעה באזרחים תמימים ואת הצורך בענישה ממשית ומרתיעה, גם כלפי מי שאין לו עבר פלילי ובמיוחד כשהירי נעשה ליישוב סכסוכים בסביבת בתי מגורים,</w:t>
      </w:r>
      <w:r>
        <w:rPr>
          <w:rStyle w:val="FootnoteReference"/>
        </w:rPr>
        <w:footnoteReference w:id="98"/>
      </w:r>
      <w:r>
        <w:rPr>
          <w:rFonts w:ascii="David" w:cs="David" w:eastAsia="David" w:hAnsi="David"/>
          <w:sz w:val="24"/>
          <w:szCs w:val="24"/>
          <w:rtl/>
        </w:rPr>
        <w:t xml:space="preserve"> ובית משפט השלום בחדרה ציין שאחת ממטרות ההחמרה היא לחזק את אמון הציבור הערבי ברשויות.</w:t>
      </w:r>
      <w:r>
        <w:rPr>
          <w:rStyle w:val="FootnoteReference"/>
        </w:rPr>
        <w:footnoteReference w:id="99"/>
      </w:r>
      <w:r>
        <w:rPr>
          <w:rFonts w:ascii="David" w:cs="David" w:eastAsia="David" w:hAnsi="David"/>
          <w:sz w:val="24"/>
          <w:szCs w:val="24"/>
          <w:rtl/>
        </w:rPr>
        <w:t xml:space="preserve"> אולם ענישה חמורה אינה מחליפה חקירה מוצלחת, וכאשר שיעור כתבי האישום נמוך, ההחמרה חלה על מעטים בלבד.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100"/>
      </w:r>
      <w:r>
        <w:rPr>
          <w:rFonts w:ascii="David" w:cs="David" w:eastAsia="David" w:hAnsi="David"/>
          <w:sz w:val="24"/>
          <w:szCs w:val="24"/>
          <w:rtl/>
        </w:rPr>
        <w:t xml:space="preserve"> אזרח שאינו מאמין שהמשטרה תגן עליו עשוי לראות בנשק פתרון סביר, וכל נשק נוסף מגדיל את הסיכוי לאירוע ירי נוסף. לכן שבירת המעגל אינה יכולה להתחיל באכיפה בלבד, והיא מחייבת גם שיקום של האמון ושל היכולת לחקור.</w:t>
      </w:r>
    </w:p>
    <w:p>
      <w:pPr>
        <w:pStyle w:val="Heading2"/>
        <w:bidi/>
        <w:spacing w:after="160" w:before="240"/>
        <w:jc w:val="right"/>
      </w:pPr>
      <w:r>
        <w:rPr>
          <w:rFonts w:ascii="David" w:cs="David" w:eastAsia="David" w:hAnsi="David"/>
          <w:b/>
          <w:bCs/>
          <w:sz w:val="28"/>
          <w:szCs w:val="28"/>
          <w:rtl/>
        </w:rPr>
        <w:t xml:space="preserve">4.3 מעצרים, תיקי חקירה, כתבי אישום ואיכות האכיפה</w:t>
      </w:r>
    </w:p>
    <w:p>
      <w:pPr>
        <w:bidi/>
        <w:spacing w:after="120" w:line="360"/>
        <w:ind w:firstLine="0"/>
        <w:jc w:val="both"/>
      </w:pPr>
      <w:r>
        <w:rPr>
          <w:rFonts w:ascii="David" w:cs="David" w:eastAsia="David" w:hAnsi="David"/>
          <w:sz w:val="24"/>
          <w:szCs w:val="24"/>
          <w:rtl/>
        </w:rPr>
        <w:t xml:space="preserve">בשנים 2023 ו-2024 היו כ-65% מן המעצרים של צעירים מעצרים של לא יהודים.</w:t>
      </w:r>
      <w:r>
        <w:rPr>
          <w:rStyle w:val="FootnoteReference"/>
        </w:rPr>
        <w:footnoteReference w:id="101"/>
      </w:r>
      <w:r>
        <w:rPr>
          <w:rFonts w:ascii="David" w:cs="David" w:eastAsia="David" w:hAnsi="David"/>
          <w:sz w:val="24"/>
          <w:szCs w:val="24"/>
          <w:rt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102"/>
      </w:r>
      <w:r>
        <w:rPr>
          <w:rFonts w:ascii="David" w:cs="David" w:eastAsia="David" w:hAnsi="David"/>
          <w:sz w:val="24"/>
          <w:szCs w:val="24"/>
          <w:rtl/>
        </w:rPr>
        <w:t xml:space="preserve"> הנתון האחרון מחייב תשומת לב מיוחדת, משום שתיק חשיפה משקף החלטה של שוטר לפעול ולא פנייה של אזרח, ולכן הוא מושפע ישירות מאופן בחירת היעדים של הפעילות היזומה.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103"/>
      </w:r>
    </w:p>
    <w:p>
      <w:pPr>
        <w:bidi/>
        <w:spacing w:after="120" w:line="360"/>
        <w:ind w:firstLine="0"/>
        <w:jc w:val="both"/>
      </w:pPr>
      <w:r>
        <w:rPr>
          <w:rFonts w:ascii="David" w:cs="David" w:eastAsia="David" w:hAnsi="David"/>
          <w:sz w:val="24"/>
          <w:szCs w:val="24"/>
          <w:rtl/>
        </w:rPr>
        <w:t xml:space="preserve">בעבירות הירי הכלי הזה חושף קושי חמור. שיעור כתבי האישום היה זניח, בשל קשיים בחקירה ובגיבוש ראיות,</w:t>
      </w:r>
      <w:r>
        <w:rPr>
          <w:rStyle w:val="FootnoteReference"/>
        </w:rPr>
        <w:footnoteReference w:id="104"/>
      </w:r>
      <w:r>
        <w:rPr>
          <w:rFonts w:ascii="David" w:cs="David" w:eastAsia="David" w:hAnsi="David"/>
          <w:sz w:val="24"/>
          <w:szCs w:val="24"/>
          <w:rtl/>
        </w:rPr>
        <w:t xml:space="preserve"> ובשנים 2017 עד 2019 עמד על 3% עד 5% בלבד, לעומת כ-15% בכלל תיקי החקירה בשנת 2019.</w:t>
      </w:r>
      <w:r>
        <w:rPr>
          <w:rStyle w:val="FootnoteReference"/>
        </w:rPr>
        <w:footnoteReference w:id="105"/>
      </w:r>
      <w:r>
        <w:rPr>
          <w:rFonts w:ascii="David" w:cs="David" w:eastAsia="David" w:hAnsi="David"/>
          <w:sz w:val="24"/>
          <w:szCs w:val="24"/>
          <w:rt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106"/>
      </w:r>
      <w:r>
        <w:rPr>
          <w:rFonts w:ascii="David" w:cs="David" w:eastAsia="David" w:hAnsi="David"/>
          <w:sz w:val="24"/>
          <w:szCs w:val="24"/>
          <w:rtl/>
        </w:rPr>
        <w:t xml:space="preserve"> מסגרתה של נטפוף מסבירה איך אכיפה מוגברת בתחום אחד מתקיימת לצד הגנה חסרה בתחום אחר.</w:t>
      </w:r>
      <w:r>
        <w:rPr>
          <w:rStyle w:val="FootnoteReference"/>
        </w:rPr>
        <w:footnoteReference w:id="107"/>
      </w:r>
      <w:r>
        <w:rPr>
          <w:rFonts w:ascii="David" w:cs="David" w:eastAsia="David" w:hAnsi="David"/>
          <w:sz w:val="24"/>
          <w:szCs w:val="24"/>
          <w:rt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sz w:val="28"/>
          <w:szCs w:val="28"/>
          <w:rtl/>
        </w:rPr>
        <w:t xml:space="preserve">4.4 בין שיטור חסר לשיטור יתר: אמון, דיווח ושיתוף פעולה</w:t>
      </w:r>
    </w:p>
    <w:p>
      <w:pPr>
        <w:bidi/>
        <w:spacing w:after="120" w:line="360"/>
        <w:ind w:firstLine="0"/>
        <w:jc w:val="both"/>
      </w:pPr>
      <w:r>
        <w:rPr>
          <w:rFonts w:ascii="David" w:cs="David" w:eastAsia="David" w:hAnsi="David"/>
          <w:sz w:val="24"/>
          <w:szCs w:val="24"/>
          <w:rt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108"/>
      </w:r>
      <w:r>
        <w:rPr>
          <w:rFonts w:ascii="David" w:cs="David" w:eastAsia="David" w:hAnsi="David"/>
          <w:sz w:val="24"/>
          <w:szCs w:val="24"/>
          <w:rtl/>
        </w:rPr>
        <w:t xml:space="preserve"> בסקרים של 2019 עד 2023 נרשמה ירידה עקבית בשיעור המשיבים הערבים שהביעו אמון במשטרה (בשנת 2020 לא נערך סקר).</w:t>
      </w:r>
      <w:r>
        <w:rPr>
          <w:rStyle w:val="FootnoteReference"/>
        </w:rPr>
        <w:footnoteReference w:id="109"/>
      </w:r>
      <w:r>
        <w:rPr>
          <w:rFonts w:ascii="David" w:cs="David" w:eastAsia="David" w:hAnsi="David"/>
          <w:sz w:val="24"/>
          <w:szCs w:val="24"/>
          <w:rt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110"/>
      </w:r>
    </w:p>
    <w:p>
      <w:pPr>
        <w:bidi/>
        <w:spacing w:after="120" w:line="360"/>
        <w:ind w:firstLine="0"/>
        <w:jc w:val="both"/>
      </w:pPr>
      <w:r>
        <w:rPr>
          <w:rFonts w:ascii="David" w:cs="David" w:eastAsia="David" w:hAnsi="David"/>
          <w:sz w:val="24"/>
          <w:szCs w:val="24"/>
          <w:rtl/>
        </w:rPr>
        <w:t xml:space="preserve">חסייסי מסביר שבחברה שסועה יחסי המשטרה עם המיעוט אינם מוסברים בכלים הרגילים,</w:t>
      </w:r>
      <w:r>
        <w:rPr>
          <w:rStyle w:val="FootnoteReference"/>
        </w:rPr>
        <w:footnoteReference w:id="111"/>
      </w:r>
      <w:r>
        <w:rPr>
          <w:rFonts w:ascii="David" w:cs="David" w:eastAsia="David" w:hAnsi="David"/>
          <w:sz w:val="24"/>
          <w:szCs w:val="24"/>
          <w:rtl/>
        </w:rPr>
        <w:t xml:space="preserve"> ושפיקוח משטרתי כבד אינו מעיד בהכרח על משילות.</w:t>
      </w:r>
      <w:r>
        <w:rPr>
          <w:rStyle w:val="FootnoteReference"/>
        </w:rPr>
        <w:footnoteReference w:id="112"/>
      </w:r>
      <w:r>
        <w:rPr>
          <w:rFonts w:ascii="David" w:cs="David" w:eastAsia="David" w:hAnsi="David"/>
          <w:sz w:val="24"/>
          <w:szCs w:val="24"/>
          <w:rtl/>
        </w:rPr>
        <w:t xml:space="preserve"> מפקדי תחנות תיארו קושי ממשי בגביית עדויות גם כשיש נכונות לדווח.</w:t>
      </w:r>
      <w:r>
        <w:rPr>
          <w:rStyle w:val="FootnoteReference"/>
        </w:rPr>
        <w:footnoteReference w:id="113"/>
      </w:r>
      <w:r>
        <w:rPr>
          <w:rFonts w:ascii="David" w:cs="David" w:eastAsia="David" w:hAnsi="David"/>
          <w:sz w:val="24"/>
          <w:szCs w:val="24"/>
          <w:rtl/>
        </w:rPr>
        <w:t xml:space="preserve"> חסייסי ווייצר מצאו כבר בסקר משנת 2003 במחוז הצפון שהמשיבים הערבים ביקורתיים כלפי המשטרה יותר מן המשיבים היהודים, גם לאחר פיקוח על משתנים אחרים.</w:t>
      </w:r>
      <w:r>
        <w:rPr>
          <w:rStyle w:val="FootnoteReference"/>
        </w:rPr>
        <w:footnoteReference w:id="114"/>
      </w:r>
      <w:r>
        <w:rPr>
          <w:rFonts w:ascii="David" w:cs="David" w:eastAsia="David" w:hAnsi="David"/>
          <w:sz w:val="24"/>
          <w:szCs w:val="24"/>
          <w:rtl/>
        </w:rPr>
        <w:t xml:space="preserve"> הממצא קדם לרפורמה, ולכן אין לייחס לה את הפער, אך הוא מלמד שעמדות הציבור צריכות להיבחן בהקשר החברתי הרחב. קושי נוסף נוגע לצעירים עצמם: בני נוער וצעירים נחשבים קבוצה פגיעה בחקירה, שנמצאת "בסיכון גבוה למסירת הודאות שווא",</w:t>
      </w:r>
      <w:r>
        <w:rPr>
          <w:rStyle w:val="FootnoteReference"/>
        </w:rPr>
        <w:footnoteReference w:id="115"/>
      </w:r>
      <w:r>
        <w:rPr>
          <w:rFonts w:ascii="David" w:cs="David" w:eastAsia="David" w:hAnsi="David"/>
          <w:sz w:val="24"/>
          <w:szCs w:val="24"/>
          <w:rtl/>
        </w:rPr>
        <w:t xml:space="preserve"> ולכן מפגש לא הוגן עלול לפגוע גם באיכות הראיות. פודם, דרעי וטולדנו מצביעים על כך שפעולה שהשוטר רואה בה אכיפה יעילה עשויה להיתפס בעיני האזרח ככוחנית, ושבירור הוגן של תלונות הוא תנאי להגברת האמון,</w:t>
      </w:r>
      <w:r>
        <w:rPr>
          <w:rStyle w:val="FootnoteReference"/>
        </w:rPr>
        <w:footnoteReference w:id="116"/>
      </w:r>
      <w:r>
        <w:rPr>
          <w:rFonts w:ascii="David" w:cs="David" w:eastAsia="David" w:hAnsi="David"/>
          <w:sz w:val="24"/>
          <w:szCs w:val="24"/>
          <w:rtl/>
        </w:rPr>
        <w:t xml:space="preserve"> ודרומי מדגיש שאכיפה שוויונית ושיטור הוגן מגבירים את הלגיטימציה של המשטרה ואת הציות.</w:t>
      </w:r>
      <w:r>
        <w:rPr>
          <w:rStyle w:val="FootnoteReference"/>
        </w:rPr>
        <w:footnoteReference w:id="117"/>
      </w:r>
      <w:r>
        <w:rPr>
          <w:rFonts w:ascii="David" w:cs="David" w:eastAsia="David" w:hAnsi="David"/>
          <w:sz w:val="24"/>
          <w:szCs w:val="24"/>
          <w:rtl/>
        </w:rPr>
        <w:t xml:space="preserve"> גם ההגנה על מי שמוסר מידע מוגבלת: ברק-ארז מראה שבתי המשפט הגנו בעיקר על זהותם של מודיעים משטרתיים,</w:t>
      </w:r>
      <w:r>
        <w:rPr>
          <w:rStyle w:val="FootnoteReference"/>
        </w:rPr>
        <w:footnoteReference w:id="118"/>
      </w:r>
      <w:r>
        <w:rPr>
          <w:rFonts w:ascii="David" w:cs="David" w:eastAsia="David" w:hAnsi="David"/>
          <w:sz w:val="24"/>
          <w:szCs w:val="24"/>
          <w:rtl/>
        </w:rPr>
        <w:t xml:space="preserve"> ופסיקה מאוחרת יותר סייגה אף את ההגנה הזו.</w:t>
      </w:r>
      <w:r>
        <w:rPr>
          <w:rStyle w:val="FootnoteReference"/>
        </w:rPr>
        <w:footnoteReference w:id="119"/>
      </w:r>
      <w:r>
        <w:rPr>
          <w:rFonts w:ascii="David" w:cs="David" w:eastAsia="David" w:hAnsi="David"/>
          <w:sz w:val="24"/>
          <w:szCs w:val="24"/>
          <w:rtl/>
        </w:rPr>
        <w:t xml:space="preserve"> הרדוף מזהיר ששימוש במודיעים ובאמצעי מעקב שאינם מוסדרים בחוק עלול לסדוק את האמון החברתי.</w:t>
      </w:r>
      <w:r>
        <w:rPr>
          <w:rStyle w:val="FootnoteReference"/>
        </w:rPr>
        <w:footnoteReference w:id="120"/>
      </w:r>
      <w:r>
        <w:rPr>
          <w:rFonts w:ascii="David" w:cs="David" w:eastAsia="David" w:hAnsi="David"/>
          <w:sz w:val="24"/>
          <w:szCs w:val="24"/>
          <w:rtl/>
        </w:rPr>
        <w:t xml:space="preserve"> הפורום מזכיר את החלטת ממשלה 852, שביקשה לחזק את האכיפה בחברה הערבית על בסיס שיתוף פעולה עם ההנהגה והציבור הערבי, ומציין שהיא לא יושמה.</w:t>
      </w:r>
      <w:r>
        <w:rPr>
          <w:rStyle w:val="FootnoteReference"/>
        </w:rPr>
        <w:footnoteReference w:id="121"/>
      </w:r>
      <w:r>
        <w:rPr>
          <w:rFonts w:ascii="David" w:cs="David" w:eastAsia="David" w:hAnsi="David"/>
          <w:sz w:val="24"/>
          <w:szCs w:val="24"/>
          <w:rtl/>
        </w:rPr>
        <w:t xml:space="preserve">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122"/>
      </w:r>
      <w:r>
        <w:rPr>
          <w:rFonts w:ascii="David" w:cs="David" w:eastAsia="David" w:hAnsi="David"/>
          <w:sz w:val="24"/>
          <w:szCs w:val="24"/>
          <w:rtl/>
        </w:rPr>
        <w:t xml:space="preserve"> ולכן אמון נמוך משנה את תנאי הפעולה של המודל בקבוצה הזו.</w:t>
      </w:r>
    </w:p>
    <w:p>
      <w:pPr>
        <w:pStyle w:val="Heading1"/>
        <w:bidi/>
        <w:spacing w:after="160" w:before="240"/>
        <w:jc w:val="center"/>
      </w:pPr>
      <w:r>
        <w:rPr>
          <w:rFonts w:ascii="David" w:cs="David" w:eastAsia="David" w:hAnsi="David"/>
          <w:b/>
          <w:bCs/>
          <w:sz w:val="32"/>
          <w:szCs w:val="32"/>
          <w:rtl/>
        </w:rPr>
        <w:t xml:space="preserve">5. יישום רפורמת אמו"ן והערכת האפקטיביות שלה</w:t>
      </w:r>
    </w:p>
    <w:p>
      <w:pPr>
        <w:pStyle w:val="Heading2"/>
        <w:bidi/>
        <w:spacing w:after="160" w:before="240"/>
        <w:jc w:val="right"/>
      </w:pPr>
      <w:r>
        <w:rPr>
          <w:rFonts w:ascii="David" w:cs="David" w:eastAsia="David" w:hAnsi="David"/>
          <w:b/>
          <w:bCs/>
          <w:sz w:val="28"/>
          <w:szCs w:val="28"/>
          <w:rtl/>
        </w:rPr>
        <w:t xml:space="preserve">5.1 תוצאות הרפורמה בעבירות רכוש</w:t>
      </w:r>
    </w:p>
    <w:p>
      <w:pPr>
        <w:bidi/>
        <w:spacing w:after="120" w:line="360"/>
        <w:ind w:firstLine="0"/>
        <w:jc w:val="both"/>
      </w:pPr>
      <w:r>
        <w:rPr>
          <w:rFonts w:ascii="David" w:cs="David" w:eastAsia="David" w:hAnsi="David"/>
          <w:sz w:val="24"/>
          <w:szCs w:val="24"/>
          <w:rt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123"/>
      </w:r>
      <w:r>
        <w:rPr>
          <w:rFonts w:ascii="David" w:cs="David" w:eastAsia="David" w:hAnsi="David"/>
          <w:sz w:val="24"/>
          <w:szCs w:val="24"/>
          <w:rtl/>
        </w:rPr>
        <w:t xml:space="preserve"> בסל הרכוש הושוו שלוש תחנות התערבות, עם היקף גבוה, בינוני ונמוך של פשיעת רכוש, לתחנות ביקורת דומות.</w:t>
      </w:r>
      <w:r>
        <w:rPr>
          <w:rStyle w:val="FootnoteReference"/>
        </w:rPr>
        <w:footnoteReference w:id="124"/>
      </w:r>
      <w:r>
        <w:rPr>
          <w:rFonts w:ascii="David" w:cs="David" w:eastAsia="David" w:hAnsi="David"/>
          <w:sz w:val="24"/>
          <w:szCs w:val="24"/>
          <w:rt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125"/>
      </w:r>
    </w:p>
    <w:p>
      <w:pPr>
        <w:bidi/>
        <w:spacing w:after="120" w:line="360"/>
        <w:ind w:firstLine="0"/>
        <w:jc w:val="both"/>
      </w:pPr>
      <w:r>
        <w:rPr>
          <w:rFonts w:ascii="David" w:cs="David" w:eastAsia="David" w:hAnsi="David"/>
          <w:sz w:val="24"/>
          <w:szCs w:val="24"/>
          <w:rt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126"/>
      </w:r>
      <w:r>
        <w:rPr>
          <w:rFonts w:ascii="David" w:cs="David" w:eastAsia="David" w:hAnsi="David"/>
          <w:sz w:val="24"/>
          <w:szCs w:val="24"/>
          <w:rtl/>
        </w:rPr>
        <w:t xml:space="preserve"> בעוד שבירי קשה למקם אירועים ולהתאים את ההתערבות לסוגי הסכסוכים.</w:t>
      </w:r>
      <w:r>
        <w:rPr>
          <w:rStyle w:val="FootnoteReference"/>
        </w:rPr>
        <w:footnoteReference w:id="127"/>
      </w:r>
      <w:r>
        <w:rPr>
          <w:rFonts w:ascii="David" w:cs="David" w:eastAsia="David" w:hAnsi="David"/>
          <w:sz w:val="24"/>
          <w:szCs w:val="24"/>
          <w:rt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128"/>
      </w:r>
    </w:p>
    <w:p>
      <w:pPr>
        <w:pStyle w:val="Heading2"/>
        <w:bidi/>
        <w:spacing w:after="160" w:before="240"/>
        <w:jc w:val="right"/>
      </w:pPr>
      <w:r>
        <w:rPr>
          <w:rFonts w:ascii="David" w:cs="David" w:eastAsia="David" w:hAnsi="David"/>
          <w:b/>
          <w:bCs/>
          <w:sz w:val="28"/>
          <w:szCs w:val="28"/>
          <w:rtl/>
        </w:rPr>
        <w:t xml:space="preserve">5.2 תוצאות הרפורמה בעבירות אלימות וירי</w:t>
      </w:r>
    </w:p>
    <w:p>
      <w:pPr>
        <w:bidi/>
        <w:spacing w:after="120" w:line="360"/>
        <w:ind w:firstLine="0"/>
        <w:jc w:val="both"/>
      </w:pPr>
      <w:r>
        <w:rPr>
          <w:rFonts w:ascii="David" w:cs="David" w:eastAsia="David" w:hAnsi="David"/>
          <w:sz w:val="24"/>
          <w:szCs w:val="24"/>
          <w:rt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129"/>
      </w:r>
      <w:r>
        <w:rPr>
          <w:rFonts w:ascii="David" w:cs="David" w:eastAsia="David" w:hAnsi="David"/>
          <w:sz w:val="24"/>
          <w:szCs w:val="24"/>
          <w:rt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130"/>
      </w:r>
    </w:p>
    <w:p>
      <w:pPr>
        <w:bidi/>
        <w:spacing w:after="120" w:line="360"/>
        <w:ind w:firstLine="0"/>
        <w:jc w:val="both"/>
      </w:pPr>
      <w:r>
        <w:rPr>
          <w:rFonts w:ascii="David" w:cs="David" w:eastAsia="David" w:hAnsi="David"/>
          <w:sz w:val="24"/>
          <w:szCs w:val="24"/>
          <w:rtl/>
        </w:rPr>
        <w:t xml:space="preserve">בסל הירי נערך מחקר תהליך איכותני בארבע תחנות, רובן בחברה הערבית.</w:t>
      </w:r>
      <w:r>
        <w:rPr>
          <w:rStyle w:val="FootnoteReference"/>
        </w:rPr>
        <w:footnoteReference w:id="131"/>
      </w:r>
      <w:r>
        <w:rPr>
          <w:rFonts w:ascii="David" w:cs="David" w:eastAsia="David" w:hAnsi="David"/>
          <w:sz w:val="24"/>
          <w:szCs w:val="24"/>
          <w:rtl/>
        </w:rPr>
        <w:t xml:space="preserve"> מערכות המדידה לא אפשרו למקם אירועים ביישובים ערביים, ולכן המיקוד המרחבי לא יושם ברוב התחנות.</w:t>
      </w:r>
      <w:r>
        <w:rPr>
          <w:rStyle w:val="FootnoteReference"/>
        </w:rPr>
        <w:footnoteReference w:id="132"/>
      </w:r>
      <w:r>
        <w:rPr>
          <w:rFonts w:ascii="David" w:cs="David" w:eastAsia="David" w:hAnsi="David"/>
          <w:sz w:val="24"/>
          <w:szCs w:val="24"/>
          <w:rt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133"/>
      </w:r>
      <w:r>
        <w:rPr>
          <w:rFonts w:ascii="David" w:cs="David" w:eastAsia="David" w:hAnsi="David"/>
          <w:sz w:val="24"/>
          <w:szCs w:val="24"/>
          <w:rtl/>
        </w:rPr>
        <w:t xml:space="preserve"> בתחנה שהתמקדה בארבע שכונות נרשמה ירידה משמעותית בירי, אך גם בתחנה שלא הגדירה פוליגון הושגו היעדים.</w:t>
      </w:r>
      <w:r>
        <w:rPr>
          <w:rStyle w:val="FootnoteReference"/>
        </w:rPr>
        <w:footnoteReference w:id="134"/>
      </w:r>
      <w:r>
        <w:rPr>
          <w:rFonts w:ascii="David" w:cs="David" w:eastAsia="David" w:hAnsi="David"/>
          <w:sz w:val="24"/>
          <w:szCs w:val="24"/>
          <w:rt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bidi/>
        <w:spacing w:after="120" w:line="360"/>
        <w:ind w:firstLine="0"/>
        <w:jc w:val="both"/>
      </w:pPr>
      <w:r>
        <w:rPr>
          <w:rFonts w:ascii="David" w:cs="David" w:eastAsia="David" w:hAnsi="David"/>
          <w:sz w:val="24"/>
          <w:szCs w:val="24"/>
          <w:rtl/>
        </w:rPr>
        <w:t xml:space="preserve">בשני הסלים יש הבדלים ניכרים בין תחנות ובין סוגי בעיות. התמונה אינה מצדיקה קביעה גורפת שהמודל נכשל בישראל, אך גם אינה מוכיחה שהוא מתאים לכל בעיה. היא מחייבת לבחון יחד את איכות הניתוח, את המשאבים, את בחירת הכלים ואת סוג העבירה, ולהביא בחשבון שכל סל נבדק במערך מחקר אחר.</w:t>
      </w:r>
    </w:p>
    <w:p>
      <w:pPr>
        <w:pStyle w:val="Heading2"/>
        <w:bidi/>
        <w:spacing w:after="160" w:before="240"/>
        <w:jc w:val="right"/>
      </w:pPr>
      <w:r>
        <w:rPr>
          <w:rFonts w:ascii="David" w:cs="David" w:eastAsia="David" w:hAnsi="David"/>
          <w:b/>
          <w:bCs/>
          <w:sz w:val="28"/>
          <w:szCs w:val="28"/>
          <w:rtl/>
        </w:rPr>
        <w:t xml:space="preserve">5.3 הטמעת הרפורמה, משאבים ותפקוד התחנות</w:t>
      </w:r>
    </w:p>
    <w:p>
      <w:pPr>
        <w:bidi/>
        <w:spacing w:after="120" w:line="360"/>
        <w:ind w:firstLine="0"/>
        <w:jc w:val="both"/>
      </w:pPr>
      <w:r>
        <w:rPr>
          <w:rFonts w:ascii="David" w:cs="David" w:eastAsia="David" w:hAnsi="David"/>
          <w:sz w:val="24"/>
          <w:szCs w:val="24"/>
          <w:rt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135"/>
      </w:r>
      <w:r>
        <w:rPr>
          <w:rFonts w:ascii="David" w:cs="David" w:eastAsia="David" w:hAnsi="David"/>
          <w:sz w:val="24"/>
          <w:szCs w:val="24"/>
          <w:rtl/>
        </w:rPr>
        <w:t xml:space="preserve"> השינוי בתמריצים הוא אולי הרכיב החשוב ביותר, משום שהוא מבדיל בין רפורמה מוצהרת לבין רפורמה שמשנה התנהגות.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136"/>
      </w:r>
      <w:r>
        <w:rPr>
          <w:rFonts w:ascii="David" w:cs="David" w:eastAsia="David" w:hAnsi="David"/>
          <w:sz w:val="24"/>
          <w:szCs w:val="24"/>
          <w:rtl/>
        </w:rPr>
        <w:t xml:space="preserve"> דרישת הסף המספרית עודדה אפוא הרחבה של הבעיה.</w:t>
      </w:r>
    </w:p>
    <w:p>
      <w:pPr>
        <w:bidi/>
        <w:spacing w:after="120" w:line="360"/>
        <w:ind w:firstLine="0"/>
        <w:jc w:val="both"/>
      </w:pPr>
      <w:r>
        <w:rPr>
          <w:rFonts w:ascii="David" w:cs="David" w:eastAsia="David" w:hAnsi="David"/>
          <w:sz w:val="24"/>
          <w:szCs w:val="24"/>
          <w:rt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37"/>
      </w:r>
      <w:r>
        <w:rPr>
          <w:rFonts w:ascii="David" w:cs="David" w:eastAsia="David" w:hAnsi="David"/>
          <w:sz w:val="24"/>
          <w:szCs w:val="24"/>
          <w:rtl/>
        </w:rPr>
        <w:t xml:space="preserve"> התמונה תואמת את ממצאי מבקר המדינה על העומס במשרדי החקירות בתחנות שמשרתות אוכלוסייה ערבית.</w:t>
      </w:r>
      <w:r>
        <w:rPr>
          <w:rStyle w:val="FootnoteReference"/>
        </w:rPr>
        <w:footnoteReference w:id="138"/>
      </w:r>
      <w:r>
        <w:rPr>
          <w:rFonts w:ascii="David" w:cs="David" w:eastAsia="David" w:hAnsi="David"/>
          <w:sz w:val="24"/>
          <w:szCs w:val="24"/>
          <w:rtl/>
        </w:rPr>
        <w:t xml:space="preserve">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39"/>
      </w:r>
      <w:r>
        <w:rPr>
          <w:rFonts w:ascii="David" w:cs="David" w:eastAsia="David" w:hAnsi="David"/>
          <w:sz w:val="24"/>
          <w:szCs w:val="24"/>
          <w:rtl/>
        </w:rPr>
        <w:t xml:space="preserve"> המנגנון שמחייב תחנה להסביר פער בין תוכנית לתוצאה הוא כלי ניהולי חשוב,</w:t>
      </w:r>
      <w:r>
        <w:rPr>
          <w:rStyle w:val="FootnoteReference"/>
        </w:rPr>
        <w:footnoteReference w:id="140"/>
      </w:r>
      <w:r>
        <w:rPr>
          <w:rFonts w:ascii="David" w:cs="David" w:eastAsia="David" w:hAnsi="David"/>
          <w:sz w:val="24"/>
          <w:szCs w:val="24"/>
          <w:rtl/>
        </w:rPr>
        <w:t xml:space="preserve"> אך הוא מכוון לשאלות של ביצוע ולא של הוגנות.</w:t>
      </w:r>
    </w:p>
    <w:p>
      <w:pPr>
        <w:pStyle w:val="Heading2"/>
        <w:bidi/>
        <w:spacing w:after="160" w:before="240"/>
        <w:jc w:val="right"/>
      </w:pPr>
      <w:r>
        <w:rPr>
          <w:rFonts w:ascii="David" w:cs="David" w:eastAsia="David" w:hAnsi="David"/>
          <w:b/>
          <w:bCs/>
          <w:sz w:val="28"/>
          <w:szCs w:val="28"/>
          <w:rtl/>
        </w:rPr>
        <w:t xml:space="preserve">5.4 עמדות הציבור ומגבלות מחקרי ההערכה</w:t>
      </w:r>
    </w:p>
    <w:p>
      <w:pPr>
        <w:bidi/>
        <w:spacing w:after="120" w:line="360"/>
        <w:ind w:firstLine="0"/>
        <w:jc w:val="both"/>
      </w:pPr>
      <w:r>
        <w:rPr>
          <w:rFonts w:ascii="David" w:cs="David" w:eastAsia="David" w:hAnsi="David"/>
          <w:sz w:val="24"/>
          <w:szCs w:val="24"/>
          <w:rt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41"/>
      </w:r>
      <w:r>
        <w:rPr>
          <w:rFonts w:ascii="David" w:cs="David" w:eastAsia="David" w:hAnsi="David"/>
          <w:sz w:val="24"/>
          <w:szCs w:val="24"/>
          <w:rt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42"/>
      </w:r>
      <w:r>
        <w:rPr>
          <w:rFonts w:ascii="David" w:cs="David" w:eastAsia="David" w:hAnsi="David"/>
          <w:sz w:val="24"/>
          <w:szCs w:val="24"/>
          <w:rt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sz w:val="24"/>
          <w:szCs w:val="24"/>
          <w:rtl/>
        </w:rPr>
        <w:t xml:space="preserve">המחקרים מתאמיים או מעין-ניסויים, בלי הקצאה אקראית של תחנות, ולכן קשה לשלול הסברים חלופיים.</w:t>
      </w:r>
      <w:r>
        <w:rPr>
          <w:rStyle w:val="FootnoteReference"/>
        </w:rPr>
        <w:footnoteReference w:id="143"/>
      </w:r>
      <w:r>
        <w:rPr>
          <w:rFonts w:ascii="David" w:cs="David" w:eastAsia="David" w:hAnsi="David"/>
          <w:sz w:val="24"/>
          <w:szCs w:val="24"/>
          <w:rt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44"/>
      </w:r>
      <w:r>
        <w:rPr>
          <w:rFonts w:ascii="David" w:cs="David" w:eastAsia="David" w:hAnsi="David"/>
          <w:sz w:val="24"/>
          <w:szCs w:val="24"/>
          <w:rtl/>
        </w:rPr>
        <w:t xml:space="preserve"> בקבוצה שבה הדיווח נמוך וכתבי האישום מעטים, מדד שמבוסס רק על אירועים עלול להראות שיפור גם כשההגנה על הקהילה נחלשה.</w:t>
      </w:r>
    </w:p>
    <w:p>
      <w:pPr>
        <w:pStyle w:val="Heading1"/>
        <w:bidi/>
        <w:spacing w:after="160" w:before="240"/>
        <w:jc w:val="center"/>
      </w:pPr>
      <w:r>
        <w:rPr>
          <w:rFonts w:ascii="David" w:cs="David" w:eastAsia="David" w:hAnsi="David"/>
          <w:b/>
          <w:bCs/>
          <w:sz w:val="32"/>
          <w:szCs w:val="32"/>
          <w:rt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sz w:val="28"/>
          <w:szCs w:val="28"/>
          <w:rtl/>
        </w:rPr>
        <w:t xml:space="preserve">6.1 מטרת ההשוואה ואמות המידה להשוואה</w:t>
      </w:r>
    </w:p>
    <w:p>
      <w:pPr>
        <w:bidi/>
        <w:spacing w:after="120" w:line="360"/>
        <w:ind w:firstLine="0"/>
        <w:jc w:val="both"/>
      </w:pPr>
      <w:r>
        <w:rPr>
          <w:rFonts w:ascii="David" w:cs="David" w:eastAsia="David" w:hAnsi="David"/>
          <w:sz w:val="24"/>
          <w:szCs w:val="24"/>
          <w:rt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הציר השלישי חשוב במיוחד לרפורמה מבוססת נתונים: אם הארגון מודד את עצמו, מי בודק את המדידה? אמו"ן מקפידה על שלב התכנון, אך אינה מפרטת איך ייבחר האדם שאליו יפנה השוטר בתוך הפוליגון.</w:t>
      </w:r>
      <w:r>
        <w:rPr>
          <w:rStyle w:val="FootnoteReference"/>
        </w:rPr>
        <w:footnoteReference w:id="145"/>
      </w:r>
      <w:r>
        <w:rPr>
          <w:rFonts w:ascii="David" w:cs="David" w:eastAsia="David" w:hAnsi="David"/>
          <w:sz w:val="24"/>
          <w:szCs w:val="24"/>
          <w:rt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46"/>
      </w:r>
    </w:p>
    <w:p>
      <w:pPr>
        <w:pStyle w:val="Heading2"/>
        <w:bidi/>
        <w:spacing w:after="160" w:before="240"/>
        <w:jc w:val="right"/>
      </w:pPr>
      <w:r>
        <w:rPr>
          <w:rFonts w:ascii="David" w:cs="David" w:eastAsia="David" w:hAnsi="David"/>
          <w:b/>
          <w:bCs/>
          <w:sz w:val="28"/>
          <w:szCs w:val="28"/>
          <w:rt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sz w:val="24"/>
          <w:szCs w:val="24"/>
          <w:rtl/>
        </w:rPr>
        <w:t xml:space="preserve">התיקון הרביעי לחוקה אוסר חיפושים ותפיסות בלתי סבירים.</w:t>
      </w:r>
      <w:r>
        <w:rPr>
          <w:rStyle w:val="FootnoteReference"/>
        </w:rPr>
        <w:footnoteReference w:id="147"/>
      </w:r>
      <w:r>
        <w:rPr>
          <w:rFonts w:ascii="David" w:cs="David" w:eastAsia="David" w:hAnsi="David"/>
          <w:sz w:val="24"/>
          <w:szCs w:val="24"/>
          <w:rtl/>
        </w:rPr>
        <w:t xml:space="preserve"> בעניין </w:t>
      </w:r>
      <w:r>
        <w:rPr>
          <w:rFonts w:ascii="David" w:cs="David" w:eastAsia="David" w:hAnsi="David"/>
          <w:i/>
          <w:iCs/>
          <w:sz w:val="24"/>
          <w:szCs w:val="24"/>
          <w:rtl w:val="false"/>
        </w:rPr>
        <w:t xml:space="preserve">Terry‎</w:t>
      </w:r>
      <w:r>
        <w:rPr>
          <w:rFonts w:ascii="David" w:cs="David" w:eastAsia="David" w:hAnsi="David"/>
          <w:sz w:val="24"/>
          <w:szCs w:val="24"/>
          <w:rt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48"/>
      </w:r>
      <w:r>
        <w:rPr>
          <w:rFonts w:ascii="David" w:cs="David" w:eastAsia="David" w:hAnsi="David"/>
          <w:sz w:val="24"/>
          <w:szCs w:val="24"/>
          <w:rtl/>
        </w:rPr>
        <w:t xml:space="preserve"> ההבחנה חשובה לשיטור יזום: הצדקה לבירור קצר אינה מעניקה אוטומטית הצדקה לחיפוש, וכל שלב בהסלמת המפגש טעון הצדקה משלו. בהיעדר חשד השוטר רשאי לפנות לאדם, אך בעניין </w:t>
      </w:r>
      <w:r>
        <w:rPr>
          <w:rFonts w:ascii="David" w:cs="David" w:eastAsia="David" w:hAnsi="David"/>
          <w:i/>
          <w:iCs/>
          <w:sz w:val="24"/>
          <w:szCs w:val="24"/>
          <w:rtl w:val="false"/>
        </w:rPr>
        <w:t xml:space="preserve">Brown‎</w:t>
      </w:r>
      <w:r>
        <w:rPr>
          <w:rFonts w:ascii="David" w:cs="David" w:eastAsia="David" w:hAnsi="David"/>
          <w:sz w:val="24"/>
          <w:szCs w:val="24"/>
          <w:rtl/>
        </w:rPr>
        <w:t xml:space="preserve"> נקבע שאין להרשיע אדם בסירוב להזדהות בלי נסיבות שמקימות חשד סביר,</w:t>
      </w:r>
      <w:r>
        <w:rPr>
          <w:rStyle w:val="FootnoteReference"/>
        </w:rPr>
        <w:footnoteReference w:id="149"/>
      </w:r>
      <w:r>
        <w:rPr>
          <w:rFonts w:ascii="David" w:cs="David" w:eastAsia="David" w:hAnsi="David"/>
          <w:sz w:val="24"/>
          <w:szCs w:val="24"/>
          <w:rtl/>
        </w:rPr>
        <w:t xml:space="preserve"> ופנייה בלי חשד כפופה למבחן "חופשי לעזוב": האם אדם סביר היה מבין שהוא רשאי לסרב ולהמשיך בדרכו.</w:t>
      </w:r>
      <w:r>
        <w:rPr>
          <w:rStyle w:val="FootnoteReference"/>
        </w:rPr>
        <w:footnoteReference w:id="150"/>
      </w:r>
      <w:r>
        <w:rPr>
          <w:rFonts w:ascii="David" w:cs="David" w:eastAsia="David" w:hAnsi="David"/>
          <w:sz w:val="24"/>
          <w:szCs w:val="24"/>
          <w:rtl/>
        </w:rPr>
        <w:t xml:space="preserve"> כללי </w:t>
      </w:r>
      <w:r>
        <w:rPr>
          <w:rFonts w:ascii="David" w:cs="David" w:eastAsia="David" w:hAnsi="David"/>
          <w:i/>
          <w:iCs/>
          <w:sz w:val="24"/>
          <w:szCs w:val="24"/>
          <w:rtl w:val="false"/>
        </w:rPr>
        <w:t xml:space="preserve">Miranda‎</w:t>
      </w:r>
      <w:r>
        <w:rPr>
          <w:rFonts w:ascii="David" w:cs="David" w:eastAsia="David" w:hAnsi="David"/>
          <w:sz w:val="24"/>
          <w:szCs w:val="24"/>
          <w:rtl/>
        </w:rPr>
        <w:t xml:space="preserve"> מדגימים את הגישה האמריקאית של כללים פרוצדורליים ברורים, שקל לציית להם וקל לבדוק אם קוימו.</w:t>
      </w:r>
      <w:r>
        <w:rPr>
          <w:rStyle w:val="FootnoteReference"/>
        </w:rPr>
        <w:footnoteReference w:id="151"/>
      </w:r>
      <w:r>
        <w:rPr>
          <w:rFonts w:ascii="David" w:cs="David" w:eastAsia="David" w:hAnsi="David"/>
          <w:sz w:val="24"/>
          <w:szCs w:val="24"/>
          <w:rtl/>
        </w:rPr>
        <w:t xml:space="preserve"> בעניין </w:t>
      </w:r>
      <w:r>
        <w:rPr>
          <w:rFonts w:ascii="David" w:cs="David" w:eastAsia="David" w:hAnsi="David"/>
          <w:i/>
          <w:iCs/>
          <w:sz w:val="24"/>
          <w:szCs w:val="24"/>
          <w:rtl w:val="false"/>
        </w:rPr>
        <w:t xml:space="preserve">Whren‎</w:t>
      </w:r>
      <w:r>
        <w:rPr>
          <w:rFonts w:ascii="David" w:cs="David" w:eastAsia="David" w:hAnsi="David"/>
          <w:sz w:val="24"/>
          <w:szCs w:val="24"/>
          <w:rt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52"/>
      </w:r>
      <w:r>
        <w:rPr>
          <w:rFonts w:ascii="David" w:cs="David" w:eastAsia="David" w:hAnsi="David"/>
          <w:sz w:val="24"/>
          <w:szCs w:val="24"/>
          <w:rtl/>
        </w:rPr>
        <w:t xml:space="preserve"> בעניין </w:t>
      </w:r>
      <w:r>
        <w:rPr>
          <w:rFonts w:ascii="David" w:cs="David" w:eastAsia="David" w:hAnsi="David"/>
          <w:i/>
          <w:iCs/>
          <w:sz w:val="24"/>
          <w:szCs w:val="24"/>
          <w:rtl w:val="false"/>
        </w:rPr>
        <w:t xml:space="preserve">Wardlow‎</w:t>
      </w:r>
      <w:r>
        <w:rPr>
          <w:rFonts w:ascii="David" w:cs="David" w:eastAsia="David" w:hAnsi="David"/>
          <w:sz w:val="24"/>
          <w:szCs w:val="24"/>
          <w:rtl/>
        </w:rPr>
        <w:t xml:space="preserve"> נקבע שנוכחות באזור של פשיעה גבוהה אינה מספיקה לבדה לחשד, אך היא רלוונטית להערכת הנסיבות.</w:t>
      </w:r>
      <w:r>
        <w:rPr>
          <w:rStyle w:val="FootnoteReference"/>
        </w:rPr>
        <w:footnoteReference w:id="153"/>
      </w:r>
      <w:r>
        <w:rPr>
          <w:rFonts w:ascii="David" w:cs="David" w:eastAsia="David" w:hAnsi="David"/>
          <w:sz w:val="24"/>
          <w:szCs w:val="24"/>
          <w:rtl/>
        </w:rPr>
        <w:t xml:space="preserve"> טענת הגנה שווה קשה להוכחה, משום שנדרשת הוכחה של תוצאה מפלה ושל מטרה מפלה.</w:t>
      </w:r>
      <w:r>
        <w:rPr>
          <w:rStyle w:val="FootnoteReference"/>
        </w:rPr>
        <w:footnoteReference w:id="154"/>
      </w:r>
    </w:p>
    <w:p>
      <w:pPr>
        <w:bidi/>
        <w:spacing w:after="120" w:line="360"/>
        <w:ind w:firstLine="0"/>
        <w:jc w:val="both"/>
      </w:pPr>
      <w:r>
        <w:rPr>
          <w:rFonts w:ascii="David" w:cs="David" w:eastAsia="David" w:hAnsi="David"/>
          <w:sz w:val="24"/>
          <w:szCs w:val="24"/>
          <w:rt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55"/>
      </w:r>
      <w:r>
        <w:rPr>
          <w:rFonts w:ascii="David" w:cs="David" w:eastAsia="David" w:hAnsi="David"/>
          <w:sz w:val="24"/>
          <w:szCs w:val="24"/>
          <w:rtl/>
        </w:rPr>
        <w:t xml:space="preserve"> מנגנוני התיקון כוללים תביעה אזרחית נגד עובד ציבור, שבה רשות מקומית אחראית רק על מדיניות או נוהג שלה,</w:t>
      </w:r>
      <w:r>
        <w:rPr>
          <w:rStyle w:val="FootnoteReference"/>
        </w:rPr>
        <w:footnoteReference w:id="156"/>
      </w:r>
      <w:r>
        <w:rPr>
          <w:rFonts w:ascii="David" w:cs="David" w:eastAsia="David" w:hAnsi="David"/>
          <w:sz w:val="24"/>
          <w:szCs w:val="24"/>
          <w:rtl/>
        </w:rPr>
        <w:t xml:space="preserve"> סמכות פדרלית לתבוע נגד דפוס או נוהג של הפרת זכויות,</w:t>
      </w:r>
      <w:r>
        <w:rPr>
          <w:rStyle w:val="FootnoteReference"/>
        </w:rPr>
        <w:footnoteReference w:id="157"/>
      </w:r>
      <w:r>
        <w:rPr>
          <w:rFonts w:ascii="David" w:cs="David" w:eastAsia="David" w:hAnsi="David"/>
          <w:sz w:val="24"/>
          <w:szCs w:val="24"/>
          <w:rtl/>
        </w:rPr>
        <w:t xml:space="preserve"> ומינוי מפקח עצמאי בהליך שיפוטי.</w:t>
      </w:r>
      <w:r>
        <w:rPr>
          <w:rStyle w:val="FootnoteReference"/>
        </w:rPr>
        <w:footnoteReference w:id="158"/>
      </w:r>
      <w:r>
        <w:rPr>
          <w:rFonts w:ascii="David" w:cs="David" w:eastAsia="David" w:hAnsi="David"/>
          <w:sz w:val="24"/>
          <w:szCs w:val="24"/>
          <w:rtl/>
        </w:rPr>
        <w:t xml:space="preserve"> בצד ההגנה החסרה הכלים מעטים: בעניין </w:t>
      </w:r>
      <w:r>
        <w:rPr>
          <w:rFonts w:ascii="David" w:cs="David" w:eastAsia="David" w:hAnsi="David"/>
          <w:i/>
          <w:iCs/>
          <w:sz w:val="24"/>
          <w:szCs w:val="24"/>
          <w:rtl w:val="false"/>
        </w:rPr>
        <w:t xml:space="preserve">DeShaney‎</w:t>
      </w:r>
      <w:r>
        <w:rPr>
          <w:rFonts w:ascii="David" w:cs="David" w:eastAsia="David" w:hAnsi="David"/>
          <w:sz w:val="24"/>
          <w:szCs w:val="24"/>
          <w:rtl/>
        </w:rPr>
        <w:t xml:space="preserve"> נקבע שאין, ככלל, זכות חוקתית חיובית להגנת המדינה,</w:t>
      </w:r>
      <w:r>
        <w:rPr>
          <w:rStyle w:val="FootnoteReference"/>
        </w:rPr>
        <w:footnoteReference w:id="159"/>
      </w:r>
      <w:r>
        <w:rPr>
          <w:rFonts w:ascii="David" w:cs="David" w:eastAsia="David" w:hAnsi="David"/>
          <w:sz w:val="24"/>
          <w:szCs w:val="24"/>
          <w:rtl/>
        </w:rPr>
        <w:t xml:space="preserve"> ובעניין </w:t>
      </w:r>
      <w:r>
        <w:rPr>
          <w:rFonts w:ascii="David" w:cs="David" w:eastAsia="David" w:hAnsi="David"/>
          <w:i/>
          <w:iCs/>
          <w:sz w:val="24"/>
          <w:szCs w:val="24"/>
          <w:rtl w:val="false"/>
        </w:rPr>
        <w:t xml:space="preserve">Castle Rock‎</w:t>
      </w:r>
      <w:r>
        <w:rPr>
          <w:rFonts w:ascii="David" w:cs="David" w:eastAsia="David" w:hAnsi="David"/>
          <w:sz w:val="24"/>
          <w:szCs w:val="24"/>
          <w:rtl/>
        </w:rPr>
        <w:t xml:space="preserve"> נדחתה הטענה לזכות קניינית באכיפת צו הגנה.</w:t>
      </w:r>
      <w:r>
        <w:rPr>
          <w:rStyle w:val="FootnoteReference"/>
        </w:rPr>
        <w:footnoteReference w:id="160"/>
      </w:r>
      <w:r>
        <w:rPr>
          <w:rFonts w:ascii="David" w:cs="David" w:eastAsia="David" w:hAnsi="David"/>
          <w:sz w:val="24"/>
          <w:szCs w:val="24"/>
          <w:rtl/>
        </w:rPr>
        <w:t xml:space="preserve"> בערכאות המדינתיות נקבע בעניין </w:t>
      </w:r>
      <w:r>
        <w:rPr>
          <w:rFonts w:ascii="David" w:cs="David" w:eastAsia="David" w:hAnsi="David"/>
          <w:i/>
          <w:iCs/>
          <w:sz w:val="24"/>
          <w:szCs w:val="24"/>
          <w:rtl w:val="false"/>
        </w:rPr>
        <w:t xml:space="preserve">White‎</w:t>
      </w:r>
      <w:r>
        <w:rPr>
          <w:rFonts w:ascii="David" w:cs="David" w:eastAsia="David" w:hAnsi="David"/>
          <w:sz w:val="24"/>
          <w:szCs w:val="24"/>
          <w:rtl/>
        </w:rPr>
        <w:t xml:space="preserve"> שדוקטרינת החובה הציבורית מגינה על שוטרים שלא סייעו למנוע רצח של אישה בידי בעלה, ובעניין </w:t>
      </w:r>
      <w:r>
        <w:rPr>
          <w:rFonts w:ascii="David" w:cs="David" w:eastAsia="David" w:hAnsi="David"/>
          <w:i/>
          <w:iCs/>
          <w:sz w:val="24"/>
          <w:szCs w:val="24"/>
          <w:rtl w:val="false"/>
        </w:rPr>
        <w:t xml:space="preserve">Cuffy‎</w:t>
      </w:r>
      <w:r>
        <w:rPr>
          <w:rFonts w:ascii="David" w:cs="David" w:eastAsia="David" w:hAnsi="David"/>
          <w:sz w:val="24"/>
          <w:szCs w:val="24"/>
          <w:rtl/>
        </w:rPr>
        <w:t xml:space="preserve"> נדרשה הוכחה של "יחסים מיוחדים" ושל הסתמכות.</w:t>
      </w:r>
      <w:r>
        <w:rPr>
          <w:rStyle w:val="FootnoteReference"/>
        </w:rPr>
        <w:footnoteReference w:id="161"/>
      </w:r>
      <w:r>
        <w:rPr>
          <w:rFonts w:ascii="David" w:cs="David" w:eastAsia="David" w:hAnsi="David"/>
          <w:sz w:val="24"/>
          <w:szCs w:val="24"/>
          <w:rtl/>
        </w:rPr>
        <w:t xml:space="preserve"> סגל מעריך שגם דיני הנזיקין אינם מספקים שם ביקורת אפקטיבית על רשויות.</w:t>
      </w:r>
      <w:r>
        <w:rPr>
          <w:rStyle w:val="FootnoteReference"/>
        </w:rPr>
        <w:footnoteReference w:id="162"/>
      </w:r>
      <w:r>
        <w:rPr>
          <w:rFonts w:ascii="David" w:cs="David" w:eastAsia="David" w:hAnsi="David"/>
          <w:sz w:val="24"/>
          <w:szCs w:val="24"/>
          <w:rtl/>
        </w:rPr>
        <w:t xml:space="preserve"> גלעד מתאר את הדוקטרינה שלפיה חובה כלפי ציבור רחב אינה מקימה אחריות כלפי אדם מסוים ("</w:t>
      </w:r>
      <w:r>
        <w:rPr>
          <w:rFonts w:ascii="David" w:cs="David" w:eastAsia="David" w:hAnsi="David"/>
          <w:sz w:val="24"/>
          <w:szCs w:val="24"/>
          <w:rtl w:val="false"/>
        </w:rPr>
        <w:t xml:space="preserve">duty to all is duty to none‎</w:t>
      </w:r>
      <w:r>
        <w:rPr>
          <w:rFonts w:ascii="David" w:cs="David" w:eastAsia="David" w:hAnsi="David"/>
          <w:sz w:val="24"/>
          <w:szCs w:val="24"/>
          <w:rtl/>
        </w:rPr>
        <w:t xml:space="preserve">").</w:t>
      </w:r>
      <w:r>
        <w:rPr>
          <w:rStyle w:val="FootnoteReference"/>
        </w:rPr>
        <w:footnoteReference w:id="163"/>
      </w:r>
      <w:r>
        <w:rPr>
          <w:rFonts w:ascii="David" w:cs="David" w:eastAsia="David" w:hAnsi="David"/>
          <w:sz w:val="24"/>
          <w:szCs w:val="24"/>
          <w:rtl/>
        </w:rPr>
        <w:t xml:space="preserve"> זהו חוסר האיזון שנטפוף הצביעה עליו.</w:t>
      </w:r>
    </w:p>
    <w:p>
      <w:pPr>
        <w:pStyle w:val="Heading2"/>
        <w:bidi/>
        <w:spacing w:after="160" w:before="240"/>
        <w:jc w:val="right"/>
      </w:pPr>
      <w:r>
        <w:rPr>
          <w:rFonts w:ascii="David" w:cs="David" w:eastAsia="David" w:hAnsi="David"/>
          <w:b/>
          <w:bCs/>
          <w:sz w:val="28"/>
          <w:szCs w:val="28"/>
          <w:rt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sz w:val="24"/>
          <w:szCs w:val="24"/>
          <w:rtl/>
        </w:rPr>
        <w:t xml:space="preserve">באנגליה מותר לשוטר לערוך חיפוש כשיש לו יסוד סביר לחשוד שימצא חפץ גנוב או אסור,</w:t>
      </w:r>
      <w:r>
        <w:rPr>
          <w:rStyle w:val="FootnoteReference"/>
        </w:rPr>
        <w:footnoteReference w:id="164"/>
      </w:r>
      <w:r>
        <w:rPr>
          <w:rFonts w:ascii="David" w:cs="David" w:eastAsia="David" w:hAnsi="David"/>
          <w:sz w:val="24"/>
          <w:szCs w:val="24"/>
          <w:rtl/>
        </w:rPr>
        <w:t xml:space="preserve"> ורק במסלול חריג ניתן להסמיך חיפושים באזור מוגדר בלי חשד פרטני.</w:t>
      </w:r>
      <w:r>
        <w:rPr>
          <w:rStyle w:val="FootnoteReference"/>
        </w:rPr>
        <w:footnoteReference w:id="165"/>
      </w:r>
      <w:r>
        <w:rPr>
          <w:rFonts w:ascii="David" w:cs="David" w:eastAsia="David" w:hAnsi="David"/>
          <w:sz w:val="24"/>
          <w:szCs w:val="24"/>
          <w:rtl/>
        </w:rPr>
        <w:t xml:space="preserve"> בישראל, הגדרת פוליגון אינה מקנה סמכות מקבילה. קוד </w:t>
      </w:r>
      <w:r>
        <w:rPr>
          <w:rFonts w:ascii="David" w:cs="David" w:eastAsia="David" w:hAnsi="David"/>
          <w:sz w:val="24"/>
          <w:szCs w:val="24"/>
          <w:rtl w:val="false"/>
        </w:rPr>
        <w:t xml:space="preserve">A‎</w:t>
      </w:r>
      <w:r>
        <w:rPr>
          <w:rFonts w:ascii="David" w:cs="David" w:eastAsia="David" w:hAnsi="David"/>
          <w:sz w:val="24"/>
          <w:szCs w:val="24"/>
          <w:rt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66"/>
      </w:r>
      <w:r>
        <w:rPr>
          <w:rFonts w:ascii="David" w:cs="David" w:eastAsia="David" w:hAnsi="David"/>
          <w:sz w:val="24"/>
          <w:szCs w:val="24"/>
          <w:rtl/>
        </w:rPr>
        <w:t xml:space="preserve"> חוק השוויון מחייב רשות ציבורית לתת משקל ראוי למניעת אפליה.</w:t>
      </w:r>
      <w:r>
        <w:rPr>
          <w:rStyle w:val="FootnoteReference"/>
        </w:rPr>
        <w:footnoteReference w:id="167"/>
      </w:r>
      <w:r>
        <w:rPr>
          <w:rFonts w:ascii="David" w:cs="David" w:eastAsia="David" w:hAnsi="David"/>
          <w:sz w:val="24"/>
          <w:szCs w:val="24"/>
          <w:rtl/>
        </w:rPr>
        <w:t xml:space="preserve"> הקוד מחייב פיקוח שוטף על הרישומים כדי לזהות דפוסים בלתי מידתיים, ובחינה שלהם בידי נציגי הקהילה,</w:t>
      </w:r>
      <w:r>
        <w:rPr>
          <w:rStyle w:val="FootnoteReference"/>
        </w:rPr>
        <w:footnoteReference w:id="168"/>
      </w:r>
      <w:r>
        <w:rPr>
          <w:rFonts w:ascii="David" w:cs="David" w:eastAsia="David" w:hAnsi="David"/>
          <w:sz w:val="24"/>
          <w:szCs w:val="24"/>
          <w:rtl/>
        </w:rPr>
        <w:t xml:space="preserve"> והחוק מחייב את השוטר להזדהות, להסביר את הבסיס לחיפוש ולרשום אותו.</w:t>
      </w:r>
      <w:r>
        <w:rPr>
          <w:rStyle w:val="FootnoteReference"/>
        </w:rPr>
        <w:footnoteReference w:id="169"/>
      </w:r>
    </w:p>
    <w:p>
      <w:pPr>
        <w:bidi/>
        <w:spacing w:after="120" w:line="360"/>
        <w:ind w:firstLine="0"/>
        <w:jc w:val="both"/>
      </w:pPr>
      <w:r>
        <w:rPr>
          <w:rFonts w:ascii="David" w:cs="David" w:eastAsia="David" w:hAnsi="David"/>
          <w:sz w:val="24"/>
          <w:szCs w:val="24"/>
          <w:rt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70"/>
      </w:r>
      <w:r>
        <w:rPr>
          <w:rFonts w:ascii="David" w:cs="David" w:eastAsia="David" w:hAnsi="David"/>
          <w:sz w:val="24"/>
          <w:szCs w:val="24"/>
          <w:rtl/>
        </w:rPr>
        <w:t xml:space="preserve"> והמליץ לרשום כל עיכוב, את סיבתו, את תוצאתו ואת הזהות האתנית שהאדם מגדיר לעצמו, ולמסור לו עותק.</w:t>
      </w:r>
      <w:r>
        <w:rPr>
          <w:rStyle w:val="FootnoteReference"/>
        </w:rPr>
        <w:footnoteReference w:id="171"/>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72"/>
      </w:r>
      <w:r>
        <w:rPr>
          <w:rFonts w:ascii="David" w:cs="David" w:eastAsia="David" w:hAnsi="David"/>
          <w:sz w:val="24"/>
          <w:szCs w:val="24"/>
          <w:rtl/>
        </w:rPr>
        <w:t xml:space="preserve"> לגבי המפגש עצמו נקבע שהשוטר חייב למסור את שמו ואת תחנתו, להסביר את הסמכות ואת מטרת החיפוש, לתעד זאת ולאפשר לאדם לקבל עותק.</w:t>
      </w:r>
      <w:r>
        <w:rPr>
          <w:rStyle w:val="FootnoteReference"/>
        </w:rPr>
        <w:footnoteReference w:id="173"/>
      </w:r>
    </w:p>
    <w:p>
      <w:pPr>
        <w:bidi/>
        <w:spacing w:after="120" w:line="360"/>
        <w:ind w:firstLine="0"/>
        <w:jc w:val="both"/>
      </w:pPr>
      <w:r>
        <w:rPr>
          <w:rFonts w:ascii="David" w:cs="David" w:eastAsia="David" w:hAnsi="David"/>
          <w:sz w:val="24"/>
          <w:szCs w:val="24"/>
          <w:rt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74"/>
      </w:r>
      <w:r>
        <w:rPr>
          <w:rFonts w:ascii="David" w:cs="David" w:eastAsia="David" w:hAnsi="David"/>
          <w:sz w:val="24"/>
          <w:szCs w:val="24"/>
          <w:rt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75"/>
      </w:r>
      <w:r>
        <w:rPr>
          <w:rFonts w:ascii="David" w:cs="David" w:eastAsia="David" w:hAnsi="David"/>
          <w:sz w:val="24"/>
          <w:szCs w:val="24"/>
          <w:rtl/>
        </w:rPr>
        <w:t xml:space="preserve"> דוח לאמי הציע כלל של "הסבר או רפורמה" לפערים אתניים.</w:t>
      </w:r>
      <w:r>
        <w:rPr>
          <w:rStyle w:val="FootnoteReference"/>
        </w:rPr>
        <w:footnoteReference w:id="176"/>
      </w:r>
      <w:r>
        <w:rPr>
          <w:rFonts w:ascii="David" w:cs="David" w:eastAsia="David" w:hAnsi="David"/>
          <w:sz w:val="24"/>
          <w:szCs w:val="24"/>
          <w:rtl/>
        </w:rPr>
        <w:t xml:space="preserve"> בצד ההגנה החסרה, סגל מראה שדוקטרינת החובה הציבורית ודרישת הקרבה מובילות באנגליה לשלילת אחריות, ובעניין </w:t>
      </w:r>
      <w:r>
        <w:rPr>
          <w:rFonts w:ascii="David" w:cs="David" w:eastAsia="David" w:hAnsi="David"/>
          <w:i/>
          <w:iCs/>
          <w:sz w:val="24"/>
          <w:szCs w:val="24"/>
          <w:rtl w:val="false"/>
        </w:rPr>
        <w:t xml:space="preserve">Hill‎</w:t>
      </w:r>
      <w:r>
        <w:rPr>
          <w:rFonts w:ascii="David" w:cs="David" w:eastAsia="David" w:hAnsi="David"/>
          <w:sz w:val="24"/>
          <w:szCs w:val="24"/>
          <w:rtl/>
        </w:rPr>
        <w:t xml:space="preserve"> נדחתה תביעה על ניהול רשלני של חקירת רציחות.</w:t>
      </w:r>
      <w:r>
        <w:rPr>
          <w:rStyle w:val="FootnoteReference"/>
        </w:rPr>
        <w:footnoteReference w:id="177"/>
      </w:r>
      <w:r>
        <w:rPr>
          <w:rFonts w:ascii="David" w:cs="David" w:eastAsia="David" w:hAnsi="David"/>
          <w:sz w:val="24"/>
          <w:szCs w:val="24"/>
          <w:rtl/>
        </w:rPr>
        <w:t xml:space="preserve"> גלעד מוסיף שההגנה חלה במיוחד על החלטות תקציביות של הקצאת משאבים,</w:t>
      </w:r>
      <w:r>
        <w:rPr>
          <w:rStyle w:val="FootnoteReference"/>
        </w:rPr>
        <w:footnoteReference w:id="178"/>
      </w:r>
      <w:r>
        <w:rPr>
          <w:rFonts w:ascii="David" w:cs="David" w:eastAsia="David" w:hAnsi="David"/>
          <w:sz w:val="24"/>
          <w:szCs w:val="24"/>
          <w:rtl/>
        </w:rPr>
        <w:t xml:space="preserve"> ובעניין </w:t>
      </w:r>
      <w:r>
        <w:rPr>
          <w:rFonts w:ascii="David" w:cs="David" w:eastAsia="David" w:hAnsi="David"/>
          <w:i/>
          <w:iCs/>
          <w:sz w:val="24"/>
          <w:szCs w:val="24"/>
          <w:rtl w:val="false"/>
        </w:rPr>
        <w:t xml:space="preserve">Rigby‎</w:t>
      </w:r>
      <w:r>
        <w:rPr>
          <w:rFonts w:ascii="David" w:cs="David" w:eastAsia="David" w:hAnsi="David"/>
          <w:sz w:val="24"/>
          <w:szCs w:val="24"/>
          <w:rtl/>
        </w:rPr>
        <w:t xml:space="preserve"> הבחין בית המשפט בין החלטת מדיניות לבין ביצוע.</w:t>
      </w:r>
      <w:r>
        <w:rPr>
          <w:rStyle w:val="FootnoteReference"/>
        </w:rPr>
        <w:footnoteReference w:id="179"/>
      </w:r>
      <w:r>
        <w:rPr>
          <w:rFonts w:ascii="David" w:cs="David" w:eastAsia="David" w:hAnsi="David"/>
          <w:sz w:val="24"/>
          <w:szCs w:val="24"/>
          <w:rtl/>
        </w:rPr>
        <w:t xml:space="preserve"> בעניין </w:t>
      </w:r>
      <w:r>
        <w:rPr>
          <w:rFonts w:ascii="David" w:cs="David" w:eastAsia="David" w:hAnsi="David"/>
          <w:i/>
          <w:iCs/>
          <w:sz w:val="24"/>
          <w:szCs w:val="24"/>
          <w:rtl w:val="false"/>
        </w:rPr>
        <w:t xml:space="preserve">Kirkham‎</w:t>
      </w:r>
      <w:r>
        <w:rPr>
          <w:rFonts w:ascii="David" w:cs="David" w:eastAsia="David" w:hAnsi="David"/>
          <w:sz w:val="24"/>
          <w:szCs w:val="24"/>
          <w:rtl/>
        </w:rPr>
        <w:t xml:space="preserve">, לעומת זאת, הוטלה אחריות משום שהמשטרה יצרה סיכון אקטיבי.</w:t>
      </w:r>
      <w:r>
        <w:rPr>
          <w:rStyle w:val="FootnoteReference"/>
        </w:rPr>
        <w:footnoteReference w:id="180"/>
      </w:r>
      <w:r>
        <w:rPr>
          <w:rFonts w:ascii="David" w:cs="David" w:eastAsia="David" w:hAnsi="David"/>
          <w:sz w:val="24"/>
          <w:szCs w:val="24"/>
          <w:rtl/>
        </w:rPr>
        <w:t xml:space="preserve"> בעניין </w:t>
      </w:r>
      <w:r>
        <w:rPr>
          <w:rFonts w:ascii="David" w:cs="David" w:eastAsia="David" w:hAnsi="David"/>
          <w:i/>
          <w:iCs/>
          <w:sz w:val="24"/>
          <w:szCs w:val="24"/>
          <w:rtl w:val="false"/>
        </w:rPr>
        <w:t xml:space="preserve">Michael‎</w:t>
      </w:r>
      <w:r>
        <w:rPr>
          <w:rFonts w:ascii="David" w:cs="David" w:eastAsia="David" w:hAnsi="David"/>
          <w:sz w:val="24"/>
          <w:szCs w:val="24"/>
          <w:rtl/>
        </w:rPr>
        <w:t xml:space="preserve"> נקבע שככלל אין למשטרה חובת זהירות כלפי מי שנפגע מעבריין,</w:t>
      </w:r>
      <w:r>
        <w:rPr>
          <w:rStyle w:val="FootnoteReference"/>
        </w:rPr>
        <w:footnoteReference w:id="181"/>
      </w:r>
      <w:r>
        <w:rPr>
          <w:rFonts w:ascii="David" w:cs="David" w:eastAsia="David" w:hAnsi="David"/>
          <w:sz w:val="24"/>
          <w:szCs w:val="24"/>
          <w:rtl/>
        </w:rPr>
        <w:t xml:space="preserve"> אך בעניין </w:t>
      </w:r>
      <w:r>
        <w:rPr>
          <w:rFonts w:ascii="David" w:cs="David" w:eastAsia="David" w:hAnsi="David"/>
          <w:i/>
          <w:iCs/>
          <w:sz w:val="24"/>
          <w:szCs w:val="24"/>
          <w:rtl w:val="false"/>
        </w:rPr>
        <w:t xml:space="preserve">DSD‎</w:t>
      </w:r>
      <w:r>
        <w:rPr>
          <w:rFonts w:ascii="David" w:cs="David" w:eastAsia="David" w:hAnsi="David"/>
          <w:sz w:val="24"/>
          <w:szCs w:val="24"/>
          <w:rtl/>
        </w:rPr>
        <w:t xml:space="preserve"> נקבע שכשלים מבצעיים חמורים בחקירה מפרים את חובת החקירה מכוח חוק זכויות האדם.</w:t>
      </w:r>
      <w:r>
        <w:rPr>
          <w:rStyle w:val="FootnoteReference"/>
        </w:rPr>
        <w:footnoteReference w:id="182"/>
      </w:r>
    </w:p>
    <w:p>
      <w:pPr>
        <w:pStyle w:val="Heading2"/>
        <w:bidi/>
        <w:spacing w:after="160" w:before="240"/>
        <w:jc w:val="right"/>
      </w:pPr>
      <w:r>
        <w:rPr>
          <w:rFonts w:ascii="David" w:cs="David" w:eastAsia="David" w:hAnsi="David"/>
          <w:b/>
          <w:bCs/>
          <w:sz w:val="28"/>
          <w:szCs w:val="28"/>
          <w:rtl/>
        </w:rPr>
        <w:t xml:space="preserve">6.4 מסקנות ההשוואה והשלכותיהן על רפורמת אמו"ן</w:t>
      </w:r>
    </w:p>
    <w:p>
      <w:pPr>
        <w:bidi/>
        <w:spacing w:after="120" w:line="360"/>
        <w:ind w:firstLine="0"/>
        <w:jc w:val="both"/>
      </w:pPr>
      <w:r>
        <w:rPr>
          <w:rFonts w:ascii="David" w:cs="David" w:eastAsia="David" w:hAnsi="David"/>
          <w:sz w:val="24"/>
          <w:szCs w:val="24"/>
          <w:rt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sz w:val="24"/>
          <w:szCs w:val="24"/>
          <w:rtl/>
        </w:rPr>
        <w:t xml:space="preserve">טבקה</w:t>
      </w:r>
      <w:r>
        <w:rPr>
          <w:rFonts w:ascii="David" w:cs="David" w:eastAsia="David" w:hAnsi="David"/>
          <w:sz w:val="24"/>
          <w:szCs w:val="24"/>
          <w:rtl/>
        </w:rPr>
        <w:t xml:space="preserve">,</w:t>
      </w:r>
      <w:r>
        <w:rPr>
          <w:rStyle w:val="FootnoteReference"/>
        </w:rPr>
        <w:footnoteReference w:id="183"/>
      </w:r>
      <w:r>
        <w:rPr>
          <w:rFonts w:ascii="David" w:cs="David" w:eastAsia="David" w:hAnsi="David"/>
          <w:sz w:val="24"/>
          <w:szCs w:val="24"/>
          <w:rt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84"/>
      </w:r>
      <w:r>
        <w:rPr>
          <w:rFonts w:ascii="David" w:cs="David" w:eastAsia="David" w:hAnsi="David"/>
          <w:sz w:val="24"/>
          <w:szCs w:val="24"/>
          <w:rt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85"/>
      </w:r>
      <w:r>
        <w:rPr>
          <w:rFonts w:ascii="David" w:cs="David" w:eastAsia="David" w:hAnsi="David"/>
          <w:sz w:val="24"/>
          <w:szCs w:val="24"/>
          <w:rtl/>
        </w:rPr>
        <w:t xml:space="preserve"> אך היא יכולה לשמש בסיס להרחבה כזו.</w:t>
      </w:r>
    </w:p>
    <w:p>
      <w:pPr>
        <w:bidi/>
        <w:spacing w:after="120" w:line="360"/>
        <w:ind w:firstLine="0"/>
        <w:jc w:val="both"/>
      </w:pPr>
      <w:r>
        <w:rPr>
          <w:rFonts w:ascii="David" w:cs="David" w:eastAsia="David" w:hAnsi="David"/>
          <w:sz w:val="24"/>
          <w:szCs w:val="24"/>
          <w:rtl/>
        </w:rPr>
        <w:t xml:space="preserve">בשאלת ההגנה החסרה, בישראל קיימת מגמה של אחריות נזיקית רחבה יותר של רשויות,</w:t>
      </w:r>
      <w:r>
        <w:rPr>
          <w:rStyle w:val="FootnoteReference"/>
        </w:rPr>
        <w:footnoteReference w:id="186"/>
      </w:r>
      <w:r>
        <w:rPr>
          <w:rFonts w:ascii="David" w:cs="David" w:eastAsia="David" w:hAnsi="David"/>
          <w:sz w:val="24"/>
          <w:szCs w:val="24"/>
          <w:rtl/>
        </w:rPr>
        <w:t xml:space="preserve"> אם כי גם כאן מבחינה הפסיקה בין קביעת סדרי עדיפויות לבין ביצוע פעולה מסוימת.</w:t>
      </w:r>
      <w:r>
        <w:rPr>
          <w:rStyle w:val="FootnoteReference"/>
        </w:rPr>
        <w:footnoteReference w:id="187"/>
      </w:r>
      <w:r>
        <w:rPr>
          <w:rFonts w:ascii="David" w:cs="David" w:eastAsia="David" w:hAnsi="David"/>
          <w:sz w:val="24"/>
          <w:szCs w:val="24"/>
          <w:rtl/>
        </w:rPr>
        <w:t xml:space="preserve"> סעיף 3 לחוק הנזיקים האזרחיים (אחריות המדינה) מוציא את הרשלנות מן החסינות,</w:t>
      </w:r>
      <w:r>
        <w:rPr>
          <w:rStyle w:val="FootnoteReference"/>
        </w:rPr>
        <w:footnoteReference w:id="188"/>
      </w:r>
      <w:r>
        <w:rPr>
          <w:rFonts w:ascii="David" w:cs="David" w:eastAsia="David" w:hAnsi="David"/>
          <w:sz w:val="24"/>
          <w:szCs w:val="24"/>
          <w:rtl/>
        </w:rPr>
        <w:t xml:space="preserve"> אך בקטגוריה של אי-מניעת נזק שגרם אחר רוב פסקי הדין לא הטילו אחריות, כמו בעניין </w:t>
      </w:r>
      <w:r>
        <w:rPr>
          <w:rFonts w:ascii="David" w:cs="David" w:eastAsia="David" w:hAnsi="David"/>
          <w:b/>
          <w:bCs/>
          <w:sz w:val="24"/>
          <w:szCs w:val="24"/>
          <w:rtl/>
        </w:rPr>
        <w:t xml:space="preserve">פלונים</w:t>
      </w:r>
      <w:r>
        <w:rPr>
          <w:rFonts w:ascii="David" w:cs="David" w:eastAsia="David" w:hAnsi="David"/>
          <w:sz w:val="24"/>
          <w:szCs w:val="24"/>
          <w:rtl/>
        </w:rPr>
        <w:t xml:space="preserve">.</w:t>
      </w:r>
      <w:r>
        <w:rPr>
          <w:rStyle w:val="FootnoteReference"/>
        </w:rPr>
        <w:footnoteReference w:id="189"/>
      </w:r>
      <w:r>
        <w:rPr>
          <w:rFonts w:ascii="David" w:cs="David" w:eastAsia="David" w:hAnsi="David"/>
          <w:sz w:val="24"/>
          <w:szCs w:val="24"/>
          <w:rtl/>
        </w:rPr>
        <w:t xml:space="preserve"> גלעד מציע שיקול נגדי: חומרת המחדל גדלה כשלרשות יש "מונופול" על השליטה בסיכון, כמו המונופול המשטרתי על מניעת עבירות,</w:t>
      </w:r>
      <w:r>
        <w:rPr>
          <w:rStyle w:val="FootnoteReference"/>
        </w:rPr>
        <w:footnoteReference w:id="190"/>
      </w:r>
      <w:r>
        <w:rPr>
          <w:rFonts w:ascii="David" w:cs="David" w:eastAsia="David" w:hAnsi="David"/>
          <w:sz w:val="24"/>
          <w:szCs w:val="24"/>
          <w:rtl/>
        </w:rPr>
        <w:t xml:space="preserve"> ודרומי מגיע למסקנה דומה לגבי המונופול של המשטרה על הכוח במרחב הציבורי.</w:t>
      </w:r>
      <w:r>
        <w:rPr>
          <w:rStyle w:val="FootnoteReference"/>
        </w:rPr>
        <w:footnoteReference w:id="191"/>
      </w:r>
      <w:r>
        <w:rPr>
          <w:rFonts w:ascii="David" w:cs="David" w:eastAsia="David" w:hAnsi="David"/>
          <w:sz w:val="24"/>
          <w:szCs w:val="24"/>
          <w:rtl/>
        </w:rPr>
        <w:t xml:space="preserve"> בצד שיטור היתר, עיכוב בלי סמכות כדין הוא פגיעה פיזית בחירות,</w:t>
      </w:r>
      <w:r>
        <w:rPr>
          <w:rStyle w:val="FootnoteReference"/>
        </w:rPr>
        <w:footnoteReference w:id="192"/>
      </w:r>
      <w:r>
        <w:rPr>
          <w:rFonts w:ascii="David" w:cs="David" w:eastAsia="David" w:hAnsi="David"/>
          <w:sz w:val="24"/>
          <w:szCs w:val="24"/>
          <w:rtl/>
        </w:rPr>
        <w:t xml:space="preserve"> ובעניין </w:t>
      </w:r>
      <w:r>
        <w:rPr>
          <w:rFonts w:ascii="David" w:cs="David" w:eastAsia="David" w:hAnsi="David"/>
          <w:b/>
          <w:bCs/>
          <w:sz w:val="24"/>
          <w:szCs w:val="24"/>
          <w:rtl/>
        </w:rPr>
        <w:t xml:space="preserve">בוסקילה</w:t>
      </w:r>
      <w:r>
        <w:rPr>
          <w:rFonts w:ascii="David" w:cs="David" w:eastAsia="David" w:hAnsi="David"/>
          <w:sz w:val="24"/>
          <w:szCs w:val="24"/>
          <w:rtl/>
        </w:rPr>
        <w:t xml:space="preserve"> נפסק פיצוי על מעצר שלא כדין ועל פגיעה בקניין ובחופש התנועה.</w:t>
      </w:r>
      <w:r>
        <w:rPr>
          <w:rStyle w:val="FootnoteReference"/>
        </w:rPr>
        <w:footnoteReference w:id="193"/>
      </w:r>
      <w:r>
        <w:rPr>
          <w:rFonts w:ascii="David" w:cs="David" w:eastAsia="David" w:hAnsi="David"/>
          <w:sz w:val="24"/>
          <w:szCs w:val="24"/>
          <w:rtl/>
        </w:rPr>
        <w:t xml:space="preserve"> בעניין </w:t>
      </w:r>
      <w:r>
        <w:rPr>
          <w:rFonts w:ascii="David" w:cs="David" w:eastAsia="David" w:hAnsi="David"/>
          <w:b/>
          <w:bCs/>
          <w:sz w:val="24"/>
          <w:szCs w:val="24"/>
          <w:rtl/>
        </w:rPr>
        <w:t xml:space="preserve">פדידה</w:t>
      </w:r>
      <w:r>
        <w:rPr>
          <w:rFonts w:ascii="David" w:cs="David" w:eastAsia="David" w:hAnsi="David"/>
          <w:sz w:val="24"/>
          <w:szCs w:val="24"/>
          <w:rtl/>
        </w:rPr>
        <w:t xml:space="preserve"> הזכירה השופטת וילנר שלאיזון שנקבע לא יהיה ערך "אם יישאר כאיזון תיאורטי, הקיים 'על הנייר בלבד'".</w:t>
      </w:r>
      <w:r>
        <w:rPr>
          <w:rStyle w:val="FootnoteReference"/>
        </w:rPr>
        <w:footnoteReference w:id="194"/>
      </w:r>
      <w:r>
        <w:rPr>
          <w:rFonts w:ascii="David" w:cs="David" w:eastAsia="David" w:hAnsi="David"/>
          <w:sz w:val="24"/>
          <w:szCs w:val="24"/>
          <w:rt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195"/>
      </w:r>
      <w:r>
        <w:rPr>
          <w:rFonts w:ascii="David" w:cs="David" w:eastAsia="David" w:hAnsi="David"/>
          <w:sz w:val="24"/>
          <w:szCs w:val="24"/>
          <w:rtl/>
        </w:rPr>
        <w:t xml:space="preserve"> וגם עשרות שנים אחריו לא הוסברו עד הסוף הפערים בהפעלת הסמכויות.</w:t>
      </w:r>
      <w:r>
        <w:rPr>
          <w:rStyle w:val="FootnoteReference"/>
        </w:rPr>
        <w:footnoteReference w:id="196"/>
      </w:r>
      <w:r>
        <w:rPr>
          <w:rFonts w:ascii="David" w:cs="David" w:eastAsia="David" w:hAnsi="David"/>
          <w:sz w:val="24"/>
          <w:szCs w:val="24"/>
          <w:rtl/>
        </w:rPr>
        <w:t xml:space="preserve"> מכאן שלא די בהקמת מנגנון, ונדרש מעקב מתמשך, ובאמו"ן אפשר לבנות את מנגנוני התיעוד והפיקוח כחלק מן הפעילות השוטפת, בלי להמתין לכשל שיחייב בדיקה בדיעבד.</w:t>
      </w:r>
    </w:p>
    <w:p>
      <w:pPr>
        <w:pStyle w:val="Heading1"/>
        <w:bidi/>
        <w:spacing w:after="160" w:before="240"/>
        <w:jc w:val="center"/>
      </w:pPr>
      <w:r>
        <w:rPr>
          <w:rFonts w:ascii="David" w:cs="David" w:eastAsia="David" w:hAnsi="David"/>
          <w:b/>
          <w:bCs/>
          <w:sz w:val="32"/>
          <w:szCs w:val="32"/>
          <w:rtl/>
        </w:rPr>
        <w:t xml:space="preserve">7. דיון: כשל במודל העקרוני או כשל ביישום?</w:t>
      </w:r>
    </w:p>
    <w:p>
      <w:pPr>
        <w:pStyle w:val="Heading2"/>
        <w:bidi/>
        <w:spacing w:after="160" w:before="240"/>
        <w:jc w:val="right"/>
      </w:pPr>
      <w:r>
        <w:rPr>
          <w:rFonts w:ascii="David" w:cs="David" w:eastAsia="David" w:hAnsi="David"/>
          <w:b/>
          <w:bCs/>
          <w:sz w:val="28"/>
          <w:szCs w:val="28"/>
          <w:rtl/>
        </w:rPr>
        <w:t xml:space="preserve">7.1 תוקפו של המודל העקרוני</w:t>
      </w:r>
    </w:p>
    <w:p>
      <w:pPr>
        <w:bidi/>
        <w:spacing w:after="120" w:line="360"/>
        <w:ind w:firstLine="0"/>
        <w:jc w:val="both"/>
      </w:pPr>
      <w:r>
        <w:rPr>
          <w:rFonts w:ascii="David" w:cs="David" w:eastAsia="David" w:hAnsi="David"/>
          <w:sz w:val="24"/>
          <w:szCs w:val="24"/>
          <w:rtl/>
        </w:rPr>
        <w:t xml:space="preserve">שאלת המחקר מחייבת הכרעה ולא רק סיכום. ההכרעה נבנית בשלושה שלבים: בחינת תוקפו של המודל העקרוני, בחינת רכיבי היישום, ובחינת האפשרות שמקור המגבלה הוא בהיקף שהמודל מכסה מלכתחילה. כל אחת מן התשובות מובילה למסקנות מדיניות אחרות.</w:t>
      </w:r>
    </w:p>
    <w:p>
      <w:pPr>
        <w:bidi/>
        <w:spacing w:after="120" w:line="360"/>
        <w:ind w:firstLine="0"/>
        <w:jc w:val="both"/>
      </w:pPr>
      <w:r>
        <w:rPr>
          <w:rFonts w:ascii="David" w:cs="David" w:eastAsia="David" w:hAnsi="David"/>
          <w:sz w:val="24"/>
          <w:szCs w:val="24"/>
          <w:rt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97"/>
      </w:r>
      <w:r>
        <w:rPr>
          <w:rFonts w:ascii="David" w:cs="David" w:eastAsia="David" w:hAnsi="David"/>
          <w:sz w:val="24"/>
          <w:szCs w:val="24"/>
          <w:rtl/>
        </w:rPr>
        <w:t xml:space="preserve"> וגם שיטור נקודות חמות והרתעה ממוקדת נמצאו יעילים.</w:t>
      </w:r>
      <w:r>
        <w:rPr>
          <w:rStyle w:val="FootnoteReference"/>
        </w:rPr>
        <w:footnoteReference w:id="198"/>
      </w:r>
      <w:r>
        <w:rPr>
          <w:rFonts w:ascii="David" w:cs="David" w:eastAsia="David" w:hAnsi="David"/>
          <w:sz w:val="24"/>
          <w:szCs w:val="24"/>
          <w:rtl/>
        </w:rPr>
        <w:t xml:space="preserve"> בישראל הושגו תוצאות חיוביות בסל הרכוש,</w:t>
      </w:r>
      <w:r>
        <w:rPr>
          <w:rStyle w:val="FootnoteReference"/>
        </w:rPr>
        <w:footnoteReference w:id="199"/>
      </w:r>
      <w:r>
        <w:rPr>
          <w:rFonts w:ascii="David" w:cs="David" w:eastAsia="David" w:hAnsi="David"/>
          <w:sz w:val="24"/>
          <w:szCs w:val="24"/>
          <w:rtl/>
        </w:rPr>
        <w:t xml:space="preserve"> והחוקרים עצמם ייחסו את הכישלונות בסלי האלימות והירי ליישום חלקי ולתוכניות שאינן שלמות.</w:t>
      </w:r>
      <w:r>
        <w:rPr>
          <w:rStyle w:val="FootnoteReference"/>
        </w:rPr>
        <w:footnoteReference w:id="200"/>
      </w:r>
      <w:r>
        <w:rPr>
          <w:rFonts w:ascii="David" w:cs="David" w:eastAsia="David" w:hAnsi="David"/>
          <w:sz w:val="24"/>
          <w:szCs w:val="24"/>
          <w:rt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sz w:val="24"/>
          <w:szCs w:val="24"/>
          <w:rt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201"/>
      </w:r>
      <w:r>
        <w:rPr>
          <w:rFonts w:ascii="David" w:cs="David" w:eastAsia="David" w:hAnsi="David"/>
          <w:sz w:val="24"/>
          <w:szCs w:val="24"/>
          <w:rt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202"/>
      </w:r>
      <w:r>
        <w:rPr>
          <w:rFonts w:ascii="David" w:cs="David" w:eastAsia="David" w:hAnsi="David"/>
          <w:sz w:val="24"/>
          <w:szCs w:val="24"/>
          <w:rtl/>
        </w:rPr>
        <w:t xml:space="preserve"> לכן יש לבדוק אילו פעולות נכללות בפועל בתוכניות של אמו"ן, ולא להסתפק בשם "פתרון בעיות".</w:t>
      </w:r>
    </w:p>
    <w:p>
      <w:pPr>
        <w:bidi/>
        <w:spacing w:after="120" w:line="360"/>
        <w:ind w:firstLine="0"/>
        <w:jc w:val="both"/>
      </w:pPr>
      <w:r>
        <w:rPr>
          <w:rFonts w:ascii="David" w:cs="David" w:eastAsia="David" w:hAnsi="David"/>
          <w:sz w:val="24"/>
          <w:szCs w:val="24"/>
          <w:rtl/>
        </w:rPr>
        <w:t xml:space="preserve">השאלה השלישית, שעניינה היקף המודל, מתחדדת דווקא בתחום הירי. אמו"ן בנויה על ההנחה שהבעיה מקומית ושאפשר לטפל בה ברמת התחנה. אבל מקורות הנשק ארציים, רבים מן היורים אינם עבריינים מוכרים, והקושי לגבות עדויות נובע מיחסי אמון שנבנו לאורך שנים.</w:t>
      </w:r>
      <w:r>
        <w:rPr>
          <w:rStyle w:val="FootnoteReference"/>
        </w:rPr>
        <w:footnoteReference w:id="203"/>
      </w:r>
      <w:r>
        <w:rPr>
          <w:rFonts w:ascii="David" w:cs="David" w:eastAsia="David" w:hAnsi="David"/>
          <w:sz w:val="24"/>
          <w:szCs w:val="24"/>
          <w:rtl/>
        </w:rPr>
        <w:t xml:space="preserve"> בתנאים כאלה, גם יישום מושלם של המודל ברמת התחנה עשוי שלא להספיק, משום שחלק מן הגורמים לבעיה נמצאים מחוץ לתחום שהמודל מכסה. אין פירוש הדבר שהמודל שגוי, אלא שהוא צריך להשתלב במענה רחב יותר, שכולל גם גורמים ארציים, מערכי חקירה ומענים חברתיים לצעירים שנשרו ממסגרות.</w:t>
      </w:r>
      <w:r>
        <w:rPr>
          <w:rStyle w:val="FootnoteReference"/>
        </w:rPr>
        <w:footnoteReference w:id="204"/>
      </w:r>
    </w:p>
    <w:p>
      <w:pPr>
        <w:pStyle w:val="Heading2"/>
        <w:bidi/>
        <w:spacing w:after="160" w:before="240"/>
        <w:jc w:val="right"/>
      </w:pPr>
      <w:r>
        <w:rPr>
          <w:rFonts w:ascii="David" w:cs="David" w:eastAsia="David" w:hAnsi="David"/>
          <w:b/>
          <w:bCs/>
          <w:sz w:val="28"/>
          <w:szCs w:val="28"/>
          <w:rtl/>
        </w:rPr>
        <w:t xml:space="preserve">7.2 כשלי היישום בשלבי הסריקה, הניתוח, התגובה וההערכה</w:t>
      </w:r>
    </w:p>
    <w:p>
      <w:pPr>
        <w:bidi/>
        <w:spacing w:after="120" w:line="360"/>
        <w:ind w:firstLine="0"/>
        <w:jc w:val="both"/>
      </w:pPr>
      <w:r>
        <w:rPr>
          <w:rFonts w:ascii="David" w:cs="David" w:eastAsia="David" w:hAnsi="David"/>
          <w:sz w:val="24"/>
          <w:szCs w:val="24"/>
          <w:rt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205"/>
      </w:r>
      <w:r>
        <w:rPr>
          <w:rFonts w:ascii="David" w:cs="David" w:eastAsia="David" w:hAnsi="David"/>
          <w:sz w:val="24"/>
          <w:szCs w:val="24"/>
          <w:rtl/>
        </w:rPr>
        <w:t xml:space="preserve"> בניגוד לדרישה של אק וספלמן להתמקד בבעיות מוגדרות.</w:t>
      </w:r>
      <w:r>
        <w:rPr>
          <w:rStyle w:val="FootnoteReference"/>
        </w:rPr>
        <w:footnoteReference w:id="206"/>
      </w:r>
      <w:r>
        <w:rPr>
          <w:rFonts w:ascii="David" w:cs="David" w:eastAsia="David" w:hAnsi="David"/>
          <w:sz w:val="24"/>
          <w:szCs w:val="24"/>
          <w:rtl/>
        </w:rPr>
        <w:t xml:space="preserve"> בשלב הניתוח נחסם המיקוד המרחבי ביישובים ערביים בגלל מגבלה בתשתית המידע.</w:t>
      </w:r>
      <w:r>
        <w:rPr>
          <w:rStyle w:val="FootnoteReference"/>
        </w:rPr>
        <w:footnoteReference w:id="207"/>
      </w:r>
      <w:r>
        <w:rPr>
          <w:rFonts w:ascii="David" w:cs="David" w:eastAsia="David" w:hAnsi="David"/>
          <w:sz w:val="24"/>
          <w:szCs w:val="24"/>
          <w:rt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208"/>
      </w:r>
      <w:r>
        <w:rPr>
          <w:rFonts w:ascii="David" w:cs="David" w:eastAsia="David" w:hAnsi="David"/>
          <w:sz w:val="24"/>
          <w:szCs w:val="24"/>
          <w:rtl/>
        </w:rPr>
        <w:t xml:space="preserve"> אף שהרכיב הקהילתי הוא יסוד של התוכנית.</w:t>
      </w:r>
      <w:r>
        <w:rPr>
          <w:rStyle w:val="FootnoteReference"/>
        </w:rPr>
        <w:footnoteReference w:id="209"/>
      </w:r>
      <w:r>
        <w:rPr>
          <w:rFonts w:ascii="David" w:cs="David" w:eastAsia="David" w:hAnsi="David"/>
          <w:sz w:val="24"/>
          <w:szCs w:val="24"/>
          <w:rtl/>
        </w:rPr>
        <w:t xml:space="preserve"> בשלב ההערכה לא נמצא מתאם בין ציון ביצוע התוכנית לבין ירידה בפשיעה,</w:t>
      </w:r>
      <w:r>
        <w:rPr>
          <w:rStyle w:val="FootnoteReference"/>
        </w:rPr>
        <w:footnoteReference w:id="210"/>
      </w:r>
      <w:r>
        <w:rPr>
          <w:rFonts w:ascii="David" w:cs="David" w:eastAsia="David" w:hAnsi="David"/>
          <w:sz w:val="24"/>
          <w:szCs w:val="24"/>
          <w:rtl/>
        </w:rPr>
        <w:t xml:space="preserve"> כלומר רפורמה שהתחייבה למדוד תוצאות מדדה בפועל תפוקות.</w:t>
      </w:r>
    </w:p>
    <w:p>
      <w:pPr>
        <w:bidi/>
        <w:spacing w:after="120" w:line="360"/>
        <w:ind w:firstLine="0"/>
        <w:jc w:val="both"/>
      </w:pPr>
      <w:r>
        <w:rPr>
          <w:rFonts w:ascii="David" w:cs="David" w:eastAsia="David" w:hAnsi="David"/>
          <w:sz w:val="24"/>
          <w:szCs w:val="24"/>
          <w:rtl/>
        </w:rPr>
        <w:t xml:space="preserve">מחסור במשאבים חוצה את כל הכשלים: בסל הרכוש לא נמצא שיפור בתחנה הדלה במשאבים,</w:t>
      </w:r>
      <w:r>
        <w:rPr>
          <w:rStyle w:val="FootnoteReference"/>
        </w:rPr>
        <w:footnoteReference w:id="211"/>
      </w:r>
      <w:r>
        <w:rPr>
          <w:rFonts w:ascii="David" w:cs="David" w:eastAsia="David" w:hAnsi="David"/>
          <w:sz w:val="24"/>
          <w:szCs w:val="24"/>
          <w:rtl/>
        </w:rPr>
        <w:t xml:space="preserve"> ובסל הירי דיווחו התחנות על פער בין המשאבים לבין היקף הבעיה.</w:t>
      </w:r>
      <w:r>
        <w:rPr>
          <w:rStyle w:val="FootnoteReference"/>
        </w:rPr>
        <w:footnoteReference w:id="212"/>
      </w:r>
      <w:r>
        <w:rPr>
          <w:rFonts w:ascii="David" w:cs="David" w:eastAsia="David" w:hAnsi="David"/>
          <w:sz w:val="24"/>
          <w:szCs w:val="24"/>
          <w:rtl/>
        </w:rPr>
        <w:t xml:space="preserve"> מבקר המדינה מצא את אותו פער בין המערכים המבצעיים לבין מספר החוקרים.</w:t>
      </w:r>
      <w:r>
        <w:rPr>
          <w:rStyle w:val="FootnoteReference"/>
        </w:rPr>
        <w:footnoteReference w:id="213"/>
      </w:r>
      <w:r>
        <w:rPr>
          <w:rFonts w:ascii="David" w:cs="David" w:eastAsia="David" w:hAnsi="David"/>
          <w:sz w:val="24"/>
          <w:szCs w:val="24"/>
          <w:rt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bidi/>
        <w:spacing w:after="120" w:line="360"/>
        <w:ind w:firstLine="0"/>
        <w:jc w:val="both"/>
      </w:pPr>
      <w:r>
        <w:rPr>
          <w:rFonts w:ascii="David" w:cs="David" w:eastAsia="David" w:hAnsi="David"/>
          <w:sz w:val="24"/>
          <w:szCs w:val="24"/>
          <w:rtl/>
        </w:rPr>
        <w:t xml:space="preserve">הכשלים גם אינם בלתי תלויים זה בזה. מבקר המדינה מתאר קשיים בחקירה ובגיבוש ראיות, ולצידם חסמים ביחסי המשטרה עם הציבור, שמזינים את חוסר האמון ואת מעגל הירי. באמו"ן, זיהוי הבעיות נשען גם על נתוני אירועים וגם על עמדות התושבים.</w:t>
      </w:r>
      <w:r>
        <w:rPr>
          <w:rStyle w:val="FootnoteReference"/>
        </w:rPr>
        <w:footnoteReference w:id="214"/>
      </w:r>
      <w:r>
        <w:rPr>
          <w:rFonts w:ascii="David" w:cs="David" w:eastAsia="David" w:hAnsi="David"/>
          <w:sz w:val="24"/>
          <w:szCs w:val="24"/>
          <w:rtl/>
        </w:rPr>
        <w:t xml:space="preserve"> מכאן שהקשיים בחקירה ובקשר עם הציבור עלולים להכביד גם על הפעלת המודל עצמו, ולכן יש לבחון את השפעתם יחד ולא להניח שתיקון של רכיב אחד יספיק. סדר העדיפויות המתבקש הוא להתחיל בכשלים הארגוניים, שתיקונם מהיר יחסית, ובמקביל למפות את הצרכים בתשתית המידע ובכוח האדם.</w:t>
      </w:r>
    </w:p>
    <w:p>
      <w:pPr>
        <w:pStyle w:val="Heading2"/>
        <w:bidi/>
        <w:spacing w:after="160" w:before="240"/>
        <w:jc w:val="right"/>
      </w:pPr>
      <w:r>
        <w:rPr>
          <w:rFonts w:ascii="David" w:cs="David" w:eastAsia="David" w:hAnsi="David"/>
          <w:b/>
          <w:bCs/>
          <w:sz w:val="28"/>
          <w:szCs w:val="28"/>
          <w:rtl/>
        </w:rPr>
        <w:t xml:space="preserve">7.3 הפער בין מדדי פעילות, הפחתת עבריינות ואיכות האכיפה</w:t>
      </w:r>
    </w:p>
    <w:p>
      <w:pPr>
        <w:bidi/>
        <w:spacing w:after="120" w:line="360"/>
        <w:ind w:firstLine="0"/>
        <w:jc w:val="both"/>
      </w:pPr>
      <w:r>
        <w:rPr>
          <w:rFonts w:ascii="David" w:cs="David" w:eastAsia="David" w:hAnsi="David"/>
          <w:sz w:val="24"/>
          <w:szCs w:val="24"/>
          <w:rtl/>
        </w:rPr>
        <w:t xml:space="preserve">עלייה במעצרים אינה מעידה בהכרח על עלייה בעבריינות,</w:t>
      </w:r>
      <w:r>
        <w:rPr>
          <w:rStyle w:val="FootnoteReference"/>
        </w:rPr>
        <w:footnoteReference w:id="215"/>
      </w:r>
      <w:r>
        <w:rPr>
          <w:rFonts w:ascii="David" w:cs="David" w:eastAsia="David" w:hAnsi="David"/>
          <w:sz w:val="24"/>
          <w:szCs w:val="24"/>
          <w:rt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216"/>
      </w:r>
      <w:r>
        <w:rPr>
          <w:rFonts w:ascii="David" w:cs="David" w:eastAsia="David" w:hAnsi="David"/>
          <w:sz w:val="24"/>
          <w:szCs w:val="24"/>
          <w:rtl/>
        </w:rPr>
        <w:t xml:space="preserve"> והכלי שהציע מסמך הכנסת, השוואה של שיעור ההמרה ממעצר ומתיק לכתב אישום בין קבוצות,</w:t>
      </w:r>
      <w:r>
        <w:rPr>
          <w:rStyle w:val="FootnoteReference"/>
        </w:rPr>
        <w:footnoteReference w:id="217"/>
      </w:r>
      <w:r>
        <w:rPr>
          <w:rFonts w:ascii="David" w:cs="David" w:eastAsia="David" w:hAnsi="David"/>
          <w:sz w:val="24"/>
          <w:szCs w:val="24"/>
          <w:rt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sz w:val="24"/>
          <w:szCs w:val="24"/>
          <w:rt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218"/>
      </w:r>
      <w:r>
        <w:rPr>
          <w:rFonts w:ascii="David" w:cs="David" w:eastAsia="David" w:hAnsi="David"/>
          <w:sz w:val="24"/>
          <w:szCs w:val="24"/>
          <w:rtl/>
        </w:rPr>
        <w:t xml:space="preserve"> ואכן הביקורת הפנימית על אמו"ן חזרה על אותה אזהרה.</w:t>
      </w:r>
      <w:r>
        <w:rPr>
          <w:rStyle w:val="FootnoteReference"/>
        </w:rPr>
        <w:footnoteReference w:id="219"/>
      </w:r>
      <w:r>
        <w:rPr>
          <w:rFonts w:ascii="David" w:cs="David" w:eastAsia="David" w:hAnsi="David"/>
          <w:sz w:val="24"/>
          <w:szCs w:val="24"/>
          <w:rt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220"/>
      </w:r>
      <w:r>
        <w:rPr>
          <w:rFonts w:ascii="David" w:cs="David" w:eastAsia="David" w:hAnsi="David"/>
          <w:sz w:val="24"/>
          <w:szCs w:val="24"/>
          <w:rtl/>
        </w:rPr>
        <w:t xml:space="preserve"> תיקי החשיפה, שבהם נרשמו לא יהודים ב-50% מן התיקים נגד צעירים בשנת 2023,</w:t>
      </w:r>
      <w:r>
        <w:rPr>
          <w:rStyle w:val="FootnoteReference"/>
        </w:rPr>
        <w:footnoteReference w:id="221"/>
      </w:r>
      <w:r>
        <w:rPr>
          <w:rFonts w:ascii="David" w:cs="David" w:eastAsia="David" w:hAnsi="David"/>
          <w:sz w:val="24"/>
          <w:szCs w:val="24"/>
          <w:rt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222"/>
      </w:r>
      <w:r>
        <w:rPr>
          <w:rFonts w:ascii="David" w:cs="David" w:eastAsia="David" w:hAnsi="David"/>
          <w:sz w:val="24"/>
          <w:szCs w:val="24"/>
          <w:rtl/>
        </w:rPr>
        <w:t xml:space="preserve"> ומדד כזה יכול להיות חלק מהם.</w:t>
      </w:r>
    </w:p>
    <w:p>
      <w:pPr>
        <w:bidi/>
        <w:spacing w:after="120" w:line="360"/>
        <w:ind w:firstLine="0"/>
        <w:jc w:val="both"/>
      </w:pPr>
      <w:r>
        <w:rPr>
          <w:rFonts w:ascii="David" w:cs="David" w:eastAsia="David" w:hAnsi="David"/>
          <w:sz w:val="24"/>
          <w:szCs w:val="24"/>
          <w:rtl/>
        </w:rPr>
        <w:t xml:space="preserve">הבעיה אינה רק במדדים שנבחרו, אלא גם בנתונים שאינם נאספים כלל. נתוני פשיעה, נתוני אכיפה ונתוני עמדות נאספים בידי גופים שונים ובחלוקות שונות, ולכן קשה לשאול, למשל, אם באזור שבו ירד מספר האירועים ירדו גם הדיווח והאמון. חיבור של מקורות המידע, בכפוף לדיני הפרטיות, הוא תנאי להערכה אמיתית של הרפורמה ביחס לצעירים ערבים בני 18 עד 24, ולא רק ביחס לתחנה כיחידה ארגונית.</w:t>
      </w:r>
    </w:p>
    <w:p>
      <w:pPr>
        <w:pStyle w:val="Heading2"/>
        <w:bidi/>
        <w:spacing w:after="160" w:before="240"/>
        <w:jc w:val="right"/>
      </w:pPr>
      <w:r>
        <w:rPr>
          <w:rFonts w:ascii="David" w:cs="David" w:eastAsia="David" w:hAnsi="David"/>
          <w:b/>
          <w:bCs/>
          <w:sz w:val="28"/>
          <w:szCs w:val="28"/>
          <w:rtl/>
        </w:rPr>
        <w:t xml:space="preserve">7.4 הבניית שיקול הדעת כתנאי לאפקטיביות הרפורמה</w:t>
      </w:r>
    </w:p>
    <w:p>
      <w:pPr>
        <w:bidi/>
        <w:spacing w:after="120" w:line="360"/>
        <w:ind w:firstLine="0"/>
        <w:jc w:val="both"/>
      </w:pPr>
      <w:r>
        <w:rPr>
          <w:rFonts w:ascii="David" w:cs="David" w:eastAsia="David" w:hAnsi="David"/>
          <w:sz w:val="24"/>
          <w:szCs w:val="24"/>
          <w:rt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223"/>
      </w:r>
      <w:r>
        <w:rPr>
          <w:rFonts w:ascii="David" w:cs="David" w:eastAsia="David" w:hAnsi="David"/>
          <w:sz w:val="24"/>
          <w:szCs w:val="24"/>
          <w:rt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224"/>
      </w:r>
    </w:p>
    <w:p>
      <w:pPr>
        <w:bidi/>
        <w:spacing w:after="120" w:line="360"/>
        <w:ind w:firstLine="0"/>
        <w:jc w:val="both"/>
      </w:pPr>
      <w:r>
        <w:rPr>
          <w:rFonts w:ascii="David" w:cs="David" w:eastAsia="David" w:hAnsi="David"/>
          <w:sz w:val="24"/>
          <w:szCs w:val="24"/>
          <w:rtl/>
        </w:rPr>
        <w:t xml:space="preserve">עניין </w:t>
      </w:r>
      <w:r>
        <w:rPr>
          <w:rFonts w:ascii="David" w:cs="David" w:eastAsia="David" w:hAnsi="David"/>
          <w:b/>
          <w:bCs/>
          <w:sz w:val="24"/>
          <w:szCs w:val="24"/>
          <w:rtl/>
        </w:rPr>
        <w:t xml:space="preserve">טבקה</w:t>
      </w:r>
      <w:r>
        <w:rPr>
          <w:rFonts w:ascii="David" w:cs="David" w:eastAsia="David" w:hAnsi="David"/>
          <w:sz w:val="24"/>
          <w:szCs w:val="24"/>
          <w:rt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225"/>
      </w:r>
      <w:r>
        <w:rPr>
          <w:rFonts w:ascii="David" w:cs="David" w:eastAsia="David" w:hAnsi="David"/>
          <w:sz w:val="24"/>
          <w:szCs w:val="24"/>
          <w:rt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sz w:val="24"/>
          <w:szCs w:val="24"/>
          <w:rtl/>
        </w:rPr>
        <w:t xml:space="preserve">הצורך בהבניה גדול במיוחד משום שהמשטרה והתביעה הן בעלות שיקול הדעת הרחב ביותר במשפט הפלילי, והן מחליטות אילו איסורים לאכוף, מתי ונגד מי, ודווקא על שיקול דעת רחב כזה הביקורת השיפוטית מצומצמת.</w:t>
      </w:r>
      <w:r>
        <w:rPr>
          <w:rStyle w:val="FootnoteReference"/>
        </w:rPr>
        <w:footnoteReference w:id="226"/>
      </w:r>
      <w:r>
        <w:rPr>
          <w:rFonts w:ascii="David" w:cs="David" w:eastAsia="David" w:hAnsi="David"/>
          <w:sz w:val="24"/>
          <w:szCs w:val="24"/>
          <w:rtl/>
        </w:rPr>
        <w:t xml:space="preserve"> ההשוואה מספקת תבנית: איסור מפורש לבסס חשד על מאפיינים אישיים כהוראת עבודה,</w:t>
      </w:r>
      <w:r>
        <w:rPr>
          <w:rStyle w:val="FootnoteReference"/>
        </w:rPr>
        <w:footnoteReference w:id="227"/>
      </w:r>
      <w:r>
        <w:rPr>
          <w:rFonts w:ascii="David" w:cs="David" w:eastAsia="David" w:hAnsi="David"/>
          <w:sz w:val="24"/>
          <w:szCs w:val="24"/>
          <w:rtl/>
        </w:rPr>
        <w:t xml:space="preserve"> תיעוד של סיבת העיכוב, תוצאתו והזהות האתנית,</w:t>
      </w:r>
      <w:r>
        <w:rPr>
          <w:rStyle w:val="FootnoteReference"/>
        </w:rPr>
        <w:footnoteReference w:id="228"/>
      </w:r>
      <w:r>
        <w:rPr>
          <w:rFonts w:ascii="David" w:cs="David" w:eastAsia="David" w:hAnsi="David"/>
          <w:sz w:val="24"/>
          <w:szCs w:val="24"/>
          <w:rtl/>
        </w:rPr>
        <w:t xml:space="preserve"> ובדיקה של הרישומים לאיתור דפוסים.</w:t>
      </w:r>
      <w:r>
        <w:rPr>
          <w:rStyle w:val="FootnoteReference"/>
        </w:rPr>
        <w:footnoteReference w:id="229"/>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230"/>
      </w:r>
      <w:r>
        <w:rPr>
          <w:rFonts w:ascii="David" w:cs="David" w:eastAsia="David" w:hAnsi="David"/>
          <w:sz w:val="24"/>
          <w:szCs w:val="24"/>
          <w:rtl/>
        </w:rPr>
        <w:t xml:space="preserve"> אפשר להוסיף למערכת הקיימת של אמו"ן שדות שמתעדים מפגשים יזומים, את עילתם ואת תוצאותיהם,</w:t>
      </w:r>
      <w:r>
        <w:rPr>
          <w:rStyle w:val="FootnoteReference"/>
        </w:rPr>
        <w:footnoteReference w:id="231"/>
      </w:r>
      <w:r>
        <w:rPr>
          <w:rFonts w:ascii="David" w:cs="David" w:eastAsia="David" w:hAnsi="David"/>
          <w:sz w:val="24"/>
          <w:szCs w:val="24"/>
          <w:rtl/>
        </w:rPr>
        <w:t xml:space="preserve"> ולשקול גם מצלמות גוף, שבמחקרים נמצאו מפחיתות הפעלת כוח ותלונות.</w:t>
      </w:r>
      <w:r>
        <w:rPr>
          <w:rStyle w:val="FootnoteReference"/>
        </w:rPr>
        <w:footnoteReference w:id="232"/>
      </w:r>
      <w:r>
        <w:rPr>
          <w:rFonts w:ascii="David" w:cs="David" w:eastAsia="David" w:hAnsi="David"/>
          <w:sz w:val="24"/>
          <w:szCs w:val="24"/>
          <w:rtl/>
        </w:rPr>
        <w:t xml:space="preserve"> הפורום מדגיש שמנגנוני בקרה ופיקוח נועדו להבטיח את זכויות האזרח, אך הם גם מייעלים את הפעלת הכוח, משום שהם עוזרים למפקד לוודא שפקודותיו ימולאו,</w:t>
      </w:r>
      <w:r>
        <w:rPr>
          <w:rStyle w:val="FootnoteReference"/>
        </w:rPr>
        <w:footnoteReference w:id="233"/>
      </w:r>
      <w:r>
        <w:rPr>
          <w:rFonts w:ascii="David" w:cs="David" w:eastAsia="David" w:hAnsi="David"/>
          <w:sz w:val="24"/>
          <w:szCs w:val="24"/>
          <w:rtl/>
        </w:rPr>
        <w:t xml:space="preserve"> ומביא את אזהרתו של רואץ': "</w:t>
      </w:r>
      <w:r>
        <w:rPr>
          <w:rFonts w:ascii="David" w:cs="David" w:eastAsia="David" w:hAnsi="David"/>
          <w:sz w:val="24"/>
          <w:szCs w:val="24"/>
          <w:rtl w:val="false"/>
        </w:rPr>
        <w:t xml:space="preserve">A democracy that does not hold its police accountable can become a police state‎</w:t>
      </w:r>
      <w:r>
        <w:rPr>
          <w:rFonts w:ascii="David" w:cs="David" w:eastAsia="David" w:hAnsi="David"/>
          <w:sz w:val="24"/>
          <w:szCs w:val="24"/>
          <w:rtl/>
        </w:rPr>
        <w:t xml:space="preserve">".</w:t>
      </w:r>
      <w:r>
        <w:rPr>
          <w:rStyle w:val="FootnoteReference"/>
        </w:rPr>
        <w:footnoteReference w:id="234"/>
      </w:r>
      <w:r>
        <w:rPr>
          <w:rFonts w:ascii="David" w:cs="David" w:eastAsia="David" w:hAnsi="David"/>
          <w:sz w:val="24"/>
          <w:szCs w:val="24"/>
          <w:rtl/>
        </w:rPr>
        <w:t xml:space="preserve"> מחקר על ארגוני שוטרים בשלוש ערים אמריקאיות, שלבנקרון מביאה, מצא שהם פעלו למניעת פיקוח יעיל על עבודת השוטרים, ושהדבר הגביר את ניכור הציבור כלפי המשטרה.</w:t>
      </w:r>
      <w:r>
        <w:rPr>
          <w:rStyle w:val="FootnoteReference"/>
        </w:rPr>
        <w:footnoteReference w:id="235"/>
      </w:r>
      <w:r>
        <w:rPr>
          <w:rFonts w:ascii="David" w:cs="David" w:eastAsia="David" w:hAnsi="David"/>
          <w:sz w:val="24"/>
          <w:szCs w:val="24"/>
          <w:rtl/>
        </w:rPr>
        <w:t xml:space="preserve"> לפני כן יש לבדוק מה כבר נאסף, מי רשאי לעיין במידע ואיך תוגן הפרטיות, ואם נדרשת הסדרה בחקיקה.</w:t>
      </w:r>
      <w:r>
        <w:rPr>
          <w:rStyle w:val="FootnoteReference"/>
        </w:rPr>
        <w:footnoteReference w:id="236"/>
      </w:r>
      <w:r>
        <w:rPr>
          <w:rFonts w:ascii="David" w:cs="David" w:eastAsia="David" w:hAnsi="David"/>
          <w:sz w:val="24"/>
          <w:szCs w:val="24"/>
          <w:rtl/>
        </w:rPr>
        <w:t xml:space="preserve"> את החשש מהכבדה על השוטרים ראוי לבחון ביישום מדורג. כדברי הרדוף, הבקרה "אינה מעלימה את הכוח, אלא אך מצמצמת את הסיכוי לשימוש לא ראוי ולא מוצלח בו".</w:t>
      </w:r>
      <w:r>
        <w:rPr>
          <w:rStyle w:val="FootnoteReference"/>
        </w:rPr>
        <w:footnoteReference w:id="237"/>
      </w:r>
    </w:p>
    <w:p>
      <w:pPr>
        <w:bidi/>
        <w:spacing w:after="120" w:line="360"/>
        <w:ind w:firstLine="0"/>
        <w:jc w:val="both"/>
      </w:pPr>
      <w:r>
        <w:rPr>
          <w:rFonts w:ascii="David" w:cs="David" w:eastAsia="David" w:hAnsi="David"/>
          <w:sz w:val="24"/>
          <w:szCs w:val="24"/>
          <w:rtl/>
        </w:rPr>
        <w:t xml:space="preserve">הבניית שיקול הדעת קשורה ישירות גם לשאלת האמון. אם הוגנות ההליכים היא המנבא החזק של הלגיטימיות,</w:t>
      </w:r>
      <w:r>
        <w:rPr>
          <w:rStyle w:val="FootnoteReference"/>
        </w:rPr>
        <w:footnoteReference w:id="238"/>
      </w:r>
      <w:r>
        <w:rPr>
          <w:rFonts w:ascii="David" w:cs="David" w:eastAsia="David" w:hAnsi="David"/>
          <w:sz w:val="24"/>
          <w:szCs w:val="24"/>
          <w:rtl/>
        </w:rPr>
        <w:t xml:space="preserve"> ואם מפגש שלילי אחד משפיע יותר ממפגשים חיוביים רבים,</w:t>
      </w:r>
      <w:r>
        <w:rPr>
          <w:rStyle w:val="FootnoteReference"/>
        </w:rPr>
        <w:footnoteReference w:id="239"/>
      </w:r>
      <w:r>
        <w:rPr>
          <w:rFonts w:ascii="David" w:cs="David" w:eastAsia="David" w:hAnsi="David"/>
          <w:sz w:val="24"/>
          <w:szCs w:val="24"/>
          <w:rtl/>
        </w:rPr>
        <w:t xml:space="preserve"> הרי שהאופן שבו השוטר פונה לצעיר בתוך הפוליגון משפיע על יכולתה של התחנה לקבל מידע, עדויות ושיתוף פעולה. תבחינים ברורים ותיעוד אינם רק דרישה משפטית אלא תנאי לאפקטיביות: הם מצמצמים מפגשים מיותרים, מאפשרים להסביר לאדם מדוע עוכב, ויוצרים נתונים שמאפשרים לתקן.</w:t>
      </w:r>
    </w:p>
    <w:p>
      <w:pPr>
        <w:pStyle w:val="Heading1"/>
        <w:bidi/>
        <w:spacing w:after="160" w:before="240"/>
        <w:jc w:val="center"/>
      </w:pPr>
      <w:r>
        <w:rPr>
          <w:rFonts w:ascii="David" w:cs="David" w:eastAsia="David" w:hAnsi="David"/>
          <w:b/>
          <w:bCs/>
          <w:sz w:val="32"/>
          <w:szCs w:val="32"/>
          <w:rtl/>
        </w:rPr>
        <w:t xml:space="preserve">8. סיכום ומסקנות</w:t>
      </w:r>
    </w:p>
    <w:p>
      <w:pPr>
        <w:bidi/>
        <w:spacing w:after="120" w:line="360"/>
        <w:ind w:firstLine="0"/>
        <w:jc w:val="both"/>
      </w:pPr>
      <w:r>
        <w:rPr>
          <w:rFonts w:ascii="David" w:cs="David" w:eastAsia="David" w:hAnsi="David"/>
          <w:sz w:val="24"/>
          <w:szCs w:val="24"/>
          <w:rt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sz w:val="24"/>
          <w:szCs w:val="24"/>
          <w:rt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sz w:val="24"/>
          <w:szCs w:val="24"/>
          <w:rtl/>
        </w:rPr>
        <w:t xml:space="preserve">המשפט המשווה מלמד שלושה דברים: שכלל שאוסר לבסס חשד על מאפיינים אישיים צריך לקבל ביטוי בהוראות עבודה ובהכשרה; שתיעוד של עיכובים וחיפושים, כולל סיבתם ותוצאתם, הוא הבסיס לבדיקת פערים; ושנדרש מנגנון שמחייב את הארגון להסביר פערים או לתקנם. חלק מן ההצעות אפשר לקדם ברמה הארגונית, ושאלת הצורך בחקיקה דורשת בדיקה נפרדת.</w:t>
      </w:r>
    </w:p>
    <w:p>
      <w:pPr>
        <w:bidi/>
        <w:spacing w:after="120" w:line="360"/>
        <w:ind w:firstLine="0"/>
        <w:jc w:val="both"/>
      </w:pPr>
      <w:r>
        <w:rPr>
          <w:rFonts w:ascii="David" w:cs="David" w:eastAsia="David" w:hAnsi="David"/>
          <w:sz w:val="24"/>
          <w:szCs w:val="24"/>
          <w:rt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sz w:val="24"/>
          <w:szCs w:val="24"/>
          <w:rt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sz w:val="24"/>
          <w:szCs w:val="24"/>
          <w:rt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sz w:val="24"/>
          <w:szCs w:val="24"/>
          <w:rt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sz w:val="24"/>
          <w:szCs w:val="24"/>
          <w:rt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sz w:val="24"/>
          <w:szCs w:val="24"/>
          <w:rtl/>
        </w:rPr>
        <w:t xml:space="preserve">לתעד את המפגשים היזומים ואת התפלגותם בין קבוצות, על בסיס עקרונות קוד </w:t>
      </w:r>
      <w:r>
        <w:rPr>
          <w:rFonts w:ascii="David" w:cs="David" w:eastAsia="David" w:hAnsi="David"/>
          <w:sz w:val="24"/>
          <w:szCs w:val="24"/>
          <w:rtl w:val="false"/>
        </w:rPr>
        <w:t xml:space="preserve">A‎</w:t>
      </w:r>
      <w:r>
        <w:rPr>
          <w:rFonts w:ascii="David" w:cs="David" w:eastAsia="David" w:hAnsi="David"/>
          <w:sz w:val="24"/>
          <w:szCs w:val="24"/>
          <w:rtl/>
        </w:rPr>
        <w:t xml:space="preserve"> והמלצת מקפרסון.</w:t>
      </w:r>
    </w:p>
    <w:p>
      <w:pPr>
        <w:bidi/>
        <w:spacing w:after="120" w:line="360"/>
        <w:ind w:firstLine="0"/>
        <w:jc w:val="both"/>
      </w:pPr>
      <w:r>
        <w:rPr>
          <w:rFonts w:ascii="David" w:cs="David" w:eastAsia="David" w:hAnsi="David"/>
          <w:sz w:val="24"/>
          <w:szCs w:val="24"/>
          <w:rt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3 (2018).</w:t>
      </w:r>
    </w:p>
  </w:footnote>
  <w:footnote w:id="2">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4-3 (2021).</w:t>
      </w:r>
    </w:p>
  </w:footnote>
  <w:footnote w:id="3">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סוגיות הקשורות לשיטור יתר ושימוש משטרתי בכוח כלפי קבוצות אוכלוסייה מסוימות</w:t>
      </w:r>
      <w:r>
        <w:rPr>
          <w:rFonts w:ascii="David" w:cs="David" w:eastAsia="David" w:hAnsi="David"/>
          <w:sz w:val="20"/>
          <w:szCs w:val="20"/>
          <w:rt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5">
    <w:p>
      <w:pPr>
        <w:bidi/>
        <w:spacing w:after="40" w:line="240"/>
        <w:jc w:val="both"/>
      </w:pPr>
      <w:r>
        <w:rPr>
          <w:rStyle w:val="FootnoteReference"/>
        </w:rPr>
        <w:footnoteRef/>
      </w:r>
      <w:r>
        <w:rPr>
          <w:rFonts w:ascii="David" w:cs="David" w:eastAsia="David" w:hAnsi="David"/>
          <w:sz w:val="20"/>
          <w:szCs w:val="20"/>
          <w:rt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152, 153-152, 157-155 (2020).</w:t>
      </w:r>
    </w:p>
  </w:footnote>
  <w:footnote w:id="6">
    <w:p>
      <w:pPr>
        <w:bidi/>
        <w:spacing w:after="40" w:line="240"/>
        <w:jc w:val="both"/>
      </w:pPr>
      <w:r>
        <w:rPr>
          <w:rStyle w:val="FootnoteReference"/>
        </w:rPr>
        <w:footnoteRef/>
      </w:r>
      <w:r>
        <w:rPr>
          <w:rFonts w:ascii="David" w:cs="David" w:eastAsia="David" w:hAnsi="David"/>
          <w:sz w:val="20"/>
          <w:szCs w:val="20"/>
          <w:rtl/>
        </w:rPr>
        <w:t xml:space="preserve"> שם, בעמ' 154.</w:t>
      </w:r>
    </w:p>
  </w:footnote>
  <w:footnote w:id="7">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פשיעה ועבריינות של צעירים ערבים: נתוני אכיפה</w:t>
      </w:r>
      <w:r>
        <w:rPr>
          <w:rFonts w:ascii="David" w:cs="David" w:eastAsia="David" w:hAnsi="David"/>
          <w:sz w:val="20"/>
          <w:szCs w:val="20"/>
          <w:rt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sz w:val="20"/>
          <w:szCs w:val="20"/>
          <w:rtl w:val="false"/>
        </w:rPr>
        <w:t xml:space="preserve"> Herman Goldstein, ‎</w:t>
      </w:r>
      <w:r>
        <w:rPr>
          <w:rFonts w:ascii="David" w:cs="David" w:eastAsia="David" w:hAnsi="David"/>
          <w:i/>
          <w:iCs/>
          <w:sz w:val="20"/>
          <w:szCs w:val="20"/>
          <w:rtl w:val="false"/>
        </w:rPr>
        <w:t xml:space="preserve">Improving Policing: A Problem-Oriented Approach‎</w:t>
      </w:r>
      <w:r>
        <w:rPr>
          <w:rFonts w:ascii="David" w:cs="David" w:eastAsia="David" w:hAnsi="David"/>
          <w:sz w:val="20"/>
          <w:szCs w:val="20"/>
          <w:rtl w:val="false"/>
        </w:rPr>
        <w:t xml:space="preserve">, 25 CRIME &amp; DELINQ. 236, 236 (1979).‎</w:t>
      </w:r>
    </w:p>
  </w:footnote>
  <w:footnote w:id="1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1">
    <w:p>
      <w:pPr>
        <w:bidi/>
        <w:spacing w:after="40" w:line="240"/>
        <w:jc w:val="both"/>
      </w:pPr>
      <w:r>
        <w:rPr>
          <w:rStyle w:val="FootnoteReference"/>
        </w:rPr>
        <w:footnoteRef/>
      </w:r>
      <w:r>
        <w:rPr>
          <w:rFonts w:ascii="David" w:cs="David" w:eastAsia="David" w:hAnsi="David"/>
          <w:sz w:val="20"/>
          <w:szCs w:val="20"/>
          <w:rtl w:val="false"/>
        </w:rPr>
        <w:t xml:space="preserve"> Jason Sunshine &amp; Tom R. Tyler, ‎</w:t>
      </w:r>
      <w:r>
        <w:rPr>
          <w:rFonts w:ascii="David" w:cs="David" w:eastAsia="David" w:hAnsi="David"/>
          <w:i/>
          <w:iCs/>
          <w:sz w:val="20"/>
          <w:szCs w:val="20"/>
          <w:rtl w:val="false"/>
        </w:rPr>
        <w:t xml:space="preserve">The Role of Procedural Justice and Legitimacy in Shaping Public Support for Policing‎</w:t>
      </w:r>
      <w:r>
        <w:rPr>
          <w:rFonts w:ascii="David" w:cs="David" w:eastAsia="David" w:hAnsi="David"/>
          <w:sz w:val="20"/>
          <w:szCs w:val="20"/>
          <w:rtl w:val="false"/>
        </w:rPr>
        <w:t xml:space="preserve">, 37 LAW &amp; SOC'Y REV. 513, 513-514 (2003).‎</w:t>
      </w:r>
    </w:p>
  </w:footnote>
  <w:footnote w:id="12">
    <w:p>
      <w:pPr>
        <w:bidi/>
        <w:spacing w:after="40" w:line="240"/>
        <w:jc w:val="both"/>
      </w:pPr>
      <w:r>
        <w:rPr>
          <w:rStyle w:val="FootnoteReference"/>
        </w:rPr>
        <w:footnoteRef/>
      </w:r>
      <w:r>
        <w:rPr>
          <w:rFonts w:ascii="David" w:cs="David" w:eastAsia="David" w:hAnsi="David"/>
          <w:sz w:val="20"/>
          <w:szCs w:val="20"/>
          <w:rtl/>
        </w:rPr>
        <w:t xml:space="preserve"> בג"ץ 7074/93 </w:t>
      </w:r>
      <w:r>
        <w:rPr>
          <w:rFonts w:ascii="David" w:cs="David" w:eastAsia="David" w:hAnsi="David"/>
          <w:b/>
          <w:bCs/>
          <w:sz w:val="20"/>
          <w:szCs w:val="20"/>
          <w:rtl/>
        </w:rPr>
        <w:t xml:space="preserve">סויסא נ' היועץ המשפטי לממשלה</w:t>
      </w:r>
      <w:r>
        <w:rPr>
          <w:rFonts w:ascii="David" w:cs="David" w:eastAsia="David" w:hAnsi="David"/>
          <w:sz w:val="20"/>
          <w:szCs w:val="20"/>
          <w:rtl/>
        </w:rPr>
        <w:t xml:space="preserve">, פ"ד מח(2) 749, 784 (1994).</w:t>
      </w:r>
    </w:p>
  </w:footnote>
  <w:footnote w:id="13">
    <w:p>
      <w:pPr>
        <w:bidi/>
        <w:spacing w:after="40" w:line="240"/>
        <w:jc w:val="both"/>
      </w:pPr>
      <w:r>
        <w:rPr>
          <w:rStyle w:val="FootnoteReference"/>
        </w:rPr>
        <w:footnoteRef/>
      </w:r>
      <w:r>
        <w:rPr>
          <w:rFonts w:ascii="David" w:cs="David" w:eastAsia="David" w:hAnsi="David"/>
          <w:sz w:val="20"/>
          <w:szCs w:val="20"/>
          <w:rtl/>
        </w:rPr>
        <w:t xml:space="preserve"> בג"ץ 8634/08 </w:t>
      </w:r>
      <w:r>
        <w:rPr>
          <w:rFonts w:ascii="David" w:cs="David" w:eastAsia="David" w:hAnsi="David"/>
          <w:b/>
          <w:bCs/>
          <w:sz w:val="20"/>
          <w:szCs w:val="20"/>
          <w:rtl/>
        </w:rPr>
        <w:t xml:space="preserve">אלחננוב נ' משטרת ישראל – אגף משאבי אנוש</w:t>
      </w:r>
      <w:r>
        <w:rPr>
          <w:rFonts w:ascii="David" w:cs="David" w:eastAsia="David" w:hAnsi="David"/>
          <w:sz w:val="20"/>
          <w:szCs w:val="20"/>
          <w:rtl/>
        </w:rPr>
        <w:t xml:space="preserve">, פס' 43 (נבו 16.11.2010).</w:t>
      </w:r>
    </w:p>
  </w:footnote>
  <w:footnote w:id="14">
    <w:p>
      <w:pPr>
        <w:bidi/>
        <w:spacing w:after="40" w:line="240"/>
        <w:jc w:val="both"/>
      </w:pPr>
      <w:r>
        <w:rPr>
          <w:rStyle w:val="FootnoteReference"/>
        </w:rPr>
        <w:footnoteRef/>
      </w:r>
      <w:r>
        <w:rPr>
          <w:rFonts w:ascii="David" w:cs="David" w:eastAsia="David" w:hAnsi="David"/>
          <w:sz w:val="20"/>
          <w:szCs w:val="20"/>
          <w:rtl/>
        </w:rPr>
        <w:t xml:space="preserve"> בג"ץ 4455/19 </w:t>
      </w:r>
      <w:r>
        <w:rPr>
          <w:rFonts w:ascii="David" w:cs="David" w:eastAsia="David" w:hAnsi="David"/>
          <w:b/>
          <w:bCs/>
          <w:sz w:val="20"/>
          <w:szCs w:val="20"/>
          <w:rtl/>
        </w:rPr>
        <w:t xml:space="preserve">עמותת טבקה – צדק ושוויון ליוצאי אתיופיה נ' משטרת ישראל</w:t>
      </w:r>
      <w:r>
        <w:rPr>
          <w:rFonts w:ascii="David" w:cs="David" w:eastAsia="David" w:hAnsi="David"/>
          <w:sz w:val="20"/>
          <w:szCs w:val="20"/>
          <w:rtl/>
        </w:rPr>
        <w:t xml:space="preserve">, פס' 41 לפסק דינה של הנשיאה חיות (נבו 25.1.2021).</w:t>
      </w:r>
    </w:p>
  </w:footnote>
  <w:footnote w:id="15">
    <w:p>
      <w:pPr>
        <w:bidi/>
        <w:spacing w:after="40" w:line="240"/>
        <w:jc w:val="both"/>
      </w:pPr>
      <w:r>
        <w:rPr>
          <w:rStyle w:val="FootnoteReference"/>
        </w:rPr>
        <w:footnoteRef/>
      </w:r>
      <w:r>
        <w:rPr>
          <w:rFonts w:ascii="David" w:cs="David" w:eastAsia="David" w:hAnsi="David"/>
          <w:sz w:val="20"/>
          <w:szCs w:val="20"/>
          <w:rtl w:val="false"/>
        </w:rPr>
        <w:t xml:space="preserve"> Proactive Policing: Effects on Crime and Communities 173, 210 (David Weisburd &amp; Malay K. Majmundar eds., 2018).‎</w:t>
      </w:r>
    </w:p>
  </w:footnote>
  <w:footnote w:id="16">
    <w:p>
      <w:pPr>
        <w:bidi/>
        <w:spacing w:after="40" w:line="240"/>
        <w:jc w:val="both"/>
      </w:pPr>
      <w:r>
        <w:rPr>
          <w:rStyle w:val="FootnoteReference"/>
        </w:rPr>
        <w:footnoteRef/>
      </w:r>
      <w:r>
        <w:rPr>
          <w:rFonts w:ascii="David" w:cs="David" w:eastAsia="David" w:hAnsi="David"/>
          <w:sz w:val="20"/>
          <w:szCs w:val="20"/>
          <w:rtl/>
        </w:rPr>
        <w:t xml:space="preserve"> שם, בעמ' 118.</w:t>
      </w:r>
    </w:p>
  </w:footnote>
  <w:footnote w:id="17">
    <w:p>
      <w:pPr>
        <w:bidi/>
        <w:spacing w:after="40" w:line="240"/>
        <w:jc w:val="both"/>
      </w:pPr>
      <w:r>
        <w:rPr>
          <w:rStyle w:val="FootnoteReference"/>
        </w:rPr>
        <w:footnoteRef/>
      </w:r>
      <w:r>
        <w:rPr>
          <w:rFonts w:ascii="David" w:cs="David" w:eastAsia="David" w:hAnsi="David"/>
          <w:sz w:val="20"/>
          <w:szCs w:val="20"/>
          <w:rtl w:val="false"/>
        </w:rPr>
        <w:t xml:space="preserve"> Tom R. Tyler, Phillip Atiba Goff &amp; Robert J. MacCoun, ‎</w:t>
      </w:r>
      <w:r>
        <w:rPr>
          <w:rFonts w:ascii="David" w:cs="David" w:eastAsia="David" w:hAnsi="David"/>
          <w:i/>
          <w:iCs/>
          <w:sz w:val="20"/>
          <w:szCs w:val="20"/>
          <w:rtl w:val="false"/>
        </w:rPr>
        <w:t xml:space="preserve">The Impact of Psychological Science on Policing in the United States: Procedural Justice, Legitimacy, and Effective Law Enforcement‎</w:t>
      </w:r>
      <w:r>
        <w:rPr>
          <w:rFonts w:ascii="David" w:cs="David" w:eastAsia="David" w:hAnsi="David"/>
          <w:sz w:val="20"/>
          <w:szCs w:val="20"/>
          <w:rtl w:val="false"/>
        </w:rPr>
        <w:t xml:space="preserve">, 16 PSYCHOL. SCI. PUB. INT. 75, 76 (2015).‎</w:t>
      </w:r>
    </w:p>
  </w:footnote>
  <w:footnote w:id="18">
    <w:p>
      <w:pPr>
        <w:bidi/>
        <w:spacing w:after="40" w:line="240"/>
        <w:jc w:val="both"/>
      </w:pPr>
      <w:r>
        <w:rPr>
          <w:rStyle w:val="FootnoteReference"/>
        </w:rPr>
        <w:footnoteRef/>
      </w:r>
      <w:r>
        <w:rPr>
          <w:rFonts w:ascii="David" w:cs="David" w:eastAsia="David" w:hAnsi="David"/>
          <w:sz w:val="20"/>
          <w:szCs w:val="20"/>
          <w:rtl w:val="false"/>
        </w:rPr>
        <w:t xml:space="preserve"> President's Task Force on 21st Century Policing, Final Report 1 (2015).‎</w:t>
      </w:r>
    </w:p>
  </w:footnote>
  <w:footnote w:id="1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למשפטים למען הדמוקרטיה </w:t>
      </w:r>
      <w:r>
        <w:rPr>
          <w:rFonts w:ascii="David" w:cs="David" w:eastAsia="David" w:hAnsi="David"/>
          <w:b/>
          <w:bCs/>
          <w:sz w:val="20"/>
          <w:szCs w:val="20"/>
          <w:rtl/>
        </w:rPr>
        <w:t xml:space="preserve">שינויי המשטר בישראל 2023: אסופת ניירות עמדה</w:t>
      </w:r>
      <w:r>
        <w:rPr>
          <w:rFonts w:ascii="David" w:cs="David" w:eastAsia="David" w:hAnsi="David"/>
          <w:sz w:val="20"/>
          <w:szCs w:val="20"/>
          <w:rtl w:val="false"/>
        </w:rPr>
        <w:t xml:space="preserve"> 591-590 (2026).</w:t>
      </w:r>
    </w:p>
  </w:footnote>
  <w:footnote w:id="20">
    <w:p>
      <w:pPr>
        <w:bidi/>
        <w:spacing w:after="40" w:line="240"/>
        <w:jc w:val="both"/>
      </w:pPr>
      <w:r>
        <w:rPr>
          <w:rStyle w:val="FootnoteReference"/>
        </w:rPr>
        <w:footnoteRef/>
      </w:r>
      <w:r>
        <w:rPr>
          <w:rFonts w:ascii="David" w:cs="David" w:eastAsia="David" w:hAnsi="David"/>
          <w:sz w:val="20"/>
          <w:szCs w:val="20"/>
          <w:rtl/>
        </w:rPr>
        <w:t xml:space="preserve"> גילה אמיתי וענבל וילמובסקי "קרימינולוגיה ביקורתית: עוגנים תיאורטיים ויישום" </w:t>
      </w:r>
      <w:r>
        <w:rPr>
          <w:rFonts w:ascii="David" w:cs="David" w:eastAsia="David" w:hAnsi="David"/>
          <w:b/>
          <w:bCs/>
          <w:sz w:val="20"/>
          <w:szCs w:val="20"/>
          <w:rtl/>
        </w:rPr>
        <w:t xml:space="preserve">קרימינולוגיה ישראלית</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[עורכים]</w:t>
      </w:r>
      <w:r>
        <w:rPr>
          <w:rFonts w:ascii="David" w:cs="David" w:eastAsia="David" w:hAnsi="David"/>
          <w:sz w:val="20"/>
          <w:szCs w:val="20"/>
          <w:rtl w:val="false"/>
        </w:rPr>
        <w:t xml:space="preserve">, 2022).</w:t>
      </w:r>
    </w:p>
  </w:footnote>
  <w:footnote w:id="21">
    <w:p>
      <w:pPr>
        <w:bidi/>
        <w:spacing w:after="40" w:line="240"/>
        <w:jc w:val="both"/>
      </w:pPr>
      <w:r>
        <w:rPr>
          <w:rStyle w:val="FootnoteReference"/>
        </w:rPr>
        <w:footnoteRef/>
      </w:r>
      <w:r>
        <w:rPr>
          <w:rFonts w:ascii="David" w:cs="David" w:eastAsia="David" w:hAnsi="David"/>
          <w:sz w:val="20"/>
          <w:szCs w:val="20"/>
          <w:rtl/>
        </w:rPr>
        <w:t xml:space="preserve"> דיוויד וייסבורד וג'ון א' אק "מה יכולה המשטרה לעשות כדי להפחית פשיעה, אי-סדר ופחד מפשיעה?" </w:t>
      </w:r>
      <w:r>
        <w:rPr>
          <w:rFonts w:ascii="David" w:cs="David" w:eastAsia="David" w:hAnsi="David"/>
          <w:b/>
          <w:bCs/>
          <w:sz w:val="20"/>
          <w:szCs w:val="20"/>
          <w:rtl/>
        </w:rPr>
        <w:t xml:space="preserve">עבריינות וסטייה חברתית: תאוריה ויישום</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[עורכים]</w:t>
      </w:r>
      <w:r>
        <w:rPr>
          <w:rFonts w:ascii="David" w:cs="David" w:eastAsia="David" w:hAnsi="David"/>
          <w:sz w:val="20"/>
          <w:szCs w:val="20"/>
          <w:rtl w:val="false"/>
        </w:rPr>
        <w:t xml:space="preserve">, 2022).</w:t>
      </w:r>
    </w:p>
  </w:footnote>
  <w:footnote w:id="2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242.</w:t>
      </w:r>
    </w:p>
  </w:footnote>
  <w:footnote w:id="23">
    <w:p>
      <w:pPr>
        <w:bidi/>
        <w:spacing w:after="40" w:line="240"/>
        <w:jc w:val="both"/>
      </w:pPr>
      <w:r>
        <w:rPr>
          <w:rStyle w:val="FootnoteReference"/>
        </w:rPr>
        <w:footnoteRef/>
      </w:r>
      <w:r>
        <w:rPr>
          <w:rFonts w:ascii="David" w:cs="David" w:eastAsia="David" w:hAnsi="David"/>
          <w:sz w:val="20"/>
          <w:szCs w:val="20"/>
          <w:rtl w:val="false"/>
        </w:rPr>
        <w:t xml:space="preserve"> John E. Eck &amp; William Spelman, Problem-Solving: Problem-Oriented Policing in Newport News xix (1987).‎</w:t>
      </w:r>
    </w:p>
  </w:footnote>
  <w:footnote w:id="24">
    <w:p>
      <w:pPr>
        <w:bidi/>
        <w:spacing w:after="40" w:line="240"/>
        <w:jc w:val="both"/>
      </w:pPr>
      <w:r>
        <w:rPr>
          <w:rStyle w:val="FootnoteReference"/>
        </w:rPr>
        <w:footnoteRef/>
      </w:r>
      <w:r>
        <w:rPr>
          <w:rFonts w:ascii="David" w:cs="David" w:eastAsia="David" w:hAnsi="David"/>
          <w:sz w:val="20"/>
          <w:szCs w:val="20"/>
          <w:rtl w:val="false"/>
        </w:rPr>
        <w:t xml:space="preserve"> Joshua C. Hinkle, David Weisburd, Cody W. Telep &amp; Kevin Petersen, ‎</w:t>
      </w:r>
      <w:r>
        <w:rPr>
          <w:rFonts w:ascii="David" w:cs="David" w:eastAsia="David" w:hAnsi="David"/>
          <w:i/>
          <w:iCs/>
          <w:sz w:val="20"/>
          <w:szCs w:val="20"/>
          <w:rtl w:val="false"/>
        </w:rPr>
        <w:t xml:space="preserve">Problem-Oriented Policing for Reducing Crime and Disorder: An Updated Systematic Review and Meta-Analysis‎</w:t>
      </w:r>
      <w:r>
        <w:rPr>
          <w:rFonts w:ascii="David" w:cs="David" w:eastAsia="David" w:hAnsi="David"/>
          <w:sz w:val="20"/>
          <w:szCs w:val="20"/>
          <w:rtl w:val="false"/>
        </w:rPr>
        <w:t xml:space="preserve">, 16 CAMPBELL SYSTEMATIC REVS. e1089, §§ 5.3, 5.5, 6.1 (2020).‎</w:t>
      </w:r>
    </w:p>
  </w:footnote>
  <w:footnote w:id="2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42-44.</w:t>
      </w:r>
    </w:p>
  </w:footnote>
  <w:footnote w:id="26">
    <w:p>
      <w:pPr>
        <w:bidi/>
        <w:spacing w:after="40" w:line="240"/>
        <w:jc w:val="both"/>
      </w:pPr>
      <w:r>
        <w:rPr>
          <w:rStyle w:val="FootnoteReference"/>
        </w:rPr>
        <w:footnoteRef/>
      </w:r>
      <w:r>
        <w:rPr>
          <w:rFonts w:ascii="David" w:cs="David" w:eastAsia="David" w:hAnsi="David"/>
          <w:sz w:val="20"/>
          <w:szCs w:val="20"/>
          <w:rtl w:val="false"/>
        </w:rPr>
        <w:t xml:space="preserve"> Anthony A. Braga, Andrew V. Papachristos &amp; David M. Hureau, ‎</w:t>
      </w:r>
      <w:r>
        <w:rPr>
          <w:rFonts w:ascii="David" w:cs="David" w:eastAsia="David" w:hAnsi="David"/>
          <w:i/>
          <w:iCs/>
          <w:sz w:val="20"/>
          <w:szCs w:val="20"/>
          <w:rtl w:val="false"/>
        </w:rPr>
        <w:t xml:space="preserve">Hot Spots Policing Effects on Crime‎</w:t>
      </w:r>
      <w:r>
        <w:rPr>
          <w:rFonts w:ascii="David" w:cs="David" w:eastAsia="David" w:hAnsi="David"/>
          <w:sz w:val="20"/>
          <w:szCs w:val="20"/>
          <w:rtl w:val="false"/>
        </w:rPr>
        <w:t xml:space="preserve">, 8 CAMPBELL SYSTEMATIC REVS. 1, 8, 24-26 (2012).‎</w:t>
      </w:r>
    </w:p>
  </w:footnote>
  <w:footnote w:id="27">
    <w:p>
      <w:pPr>
        <w:bidi/>
        <w:spacing w:after="40" w:line="240"/>
        <w:jc w:val="both"/>
      </w:pPr>
      <w:r>
        <w:rPr>
          <w:rStyle w:val="FootnoteReference"/>
        </w:rPr>
        <w:footnoteRef/>
      </w:r>
      <w:r>
        <w:rPr>
          <w:rFonts w:ascii="David" w:cs="David" w:eastAsia="David" w:hAnsi="David"/>
          <w:sz w:val="20"/>
          <w:szCs w:val="20"/>
          <w:rtl w:val="false"/>
        </w:rPr>
        <w:t xml:space="preserve"> Anthony A. Braga, David Weisburd &amp; Brandon Turchan, ‎</w:t>
      </w:r>
      <w:r>
        <w:rPr>
          <w:rFonts w:ascii="David" w:cs="David" w:eastAsia="David" w:hAnsi="David"/>
          <w:i/>
          <w:iCs/>
          <w:sz w:val="20"/>
          <w:szCs w:val="20"/>
          <w:rtl w:val="false"/>
        </w:rPr>
        <w:t xml:space="preserve">Focused Deterrence Strategies Effects on Crime: A Systematic Review‎</w:t>
      </w:r>
      <w:r>
        <w:rPr>
          <w:rFonts w:ascii="David" w:cs="David" w:eastAsia="David" w:hAnsi="David"/>
          <w:sz w:val="20"/>
          <w:szCs w:val="20"/>
          <w:rtl w:val="false"/>
        </w:rPr>
        <w:t xml:space="preserve">, 15 CAMPBELL SYSTEMATIC REVS. e1051, §§ 1.2, 1.4, 2.6 (2019).‎</w:t>
      </w:r>
    </w:p>
  </w:footnote>
  <w:footnote w:id="28">
    <w:p>
      <w:pPr>
        <w:bidi/>
        <w:spacing w:after="40" w:line="240"/>
        <w:jc w:val="both"/>
      </w:pPr>
      <w:r>
        <w:rPr>
          <w:rStyle w:val="FootnoteReference"/>
        </w:rPr>
        <w:footnoteRef/>
      </w:r>
      <w:r>
        <w:rPr>
          <w:rFonts w:ascii="David" w:cs="David" w:eastAsia="David" w:hAnsi="David"/>
          <w:sz w:val="20"/>
          <w:szCs w:val="20"/>
          <w:rtl w:val="false"/>
        </w:rPr>
        <w:t xml:space="preserve"> Michael S. Scott, Focused Deterrence of High-Risk Individuals 8 (Problem-Oriented Guides for Police, Response Guide Series No. 13, 2017).‎</w:t>
      </w:r>
    </w:p>
  </w:footnote>
  <w:footnote w:id="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30">
    <w:p>
      <w:pPr>
        <w:bidi/>
        <w:spacing w:after="40" w:line="240"/>
        <w:jc w:val="both"/>
      </w:pPr>
      <w:r>
        <w:rPr>
          <w:rStyle w:val="FootnoteReference"/>
        </w:rPr>
        <w:footnoteRef/>
      </w:r>
      <w:r>
        <w:rPr>
          <w:rFonts w:ascii="David" w:cs="David" w:eastAsia="David" w:hAnsi="David"/>
          <w:sz w:val="20"/>
          <w:szCs w:val="20"/>
          <w:rtl/>
        </w:rPr>
        <w:t xml:space="preserve"> שם, בעמ' 209.</w:t>
      </w:r>
    </w:p>
  </w:footnote>
  <w:footnote w:id="31">
    <w:p>
      <w:pPr>
        <w:bidi/>
        <w:spacing w:after="40" w:line="240"/>
        <w:jc w:val="both"/>
      </w:pPr>
      <w:r>
        <w:rPr>
          <w:rStyle w:val="FootnoteReference"/>
        </w:rPr>
        <w:footnoteRef/>
      </w:r>
      <w:r>
        <w:rPr>
          <w:rFonts w:ascii="David" w:cs="David" w:eastAsia="David" w:hAnsi="David"/>
          <w:sz w:val="20"/>
          <w:szCs w:val="20"/>
          <w:rtl/>
        </w:rPr>
        <w:t xml:space="preserve"> שם, בעמ' 210.</w:t>
      </w:r>
    </w:p>
  </w:footnote>
  <w:footnote w:id="32">
    <w:p>
      <w:pPr>
        <w:bidi/>
        <w:spacing w:after="40" w:line="240"/>
        <w:jc w:val="both"/>
      </w:pPr>
      <w:r>
        <w:rPr>
          <w:rStyle w:val="FootnoteReference"/>
        </w:rPr>
        <w:footnoteRef/>
      </w:r>
      <w:r>
        <w:rPr>
          <w:rFonts w:ascii="David" w:cs="David" w:eastAsia="David" w:hAnsi="David"/>
          <w:sz w:val="20"/>
          <w:szCs w:val="20"/>
          <w:rtl w:val="false"/>
        </w:rPr>
        <w:t xml:space="preserve"> Alexandra Natapoff, ‎</w:t>
      </w:r>
      <w:r>
        <w:rPr>
          <w:rFonts w:ascii="David" w:cs="David" w:eastAsia="David" w:hAnsi="David"/>
          <w:i/>
          <w:iCs/>
          <w:sz w:val="20"/>
          <w:szCs w:val="20"/>
          <w:rtl w:val="false"/>
        </w:rPr>
        <w:t xml:space="preserve">Underenforcement‎</w:t>
      </w:r>
      <w:r>
        <w:rPr>
          <w:rFonts w:ascii="David" w:cs="David" w:eastAsia="David" w:hAnsi="David"/>
          <w:sz w:val="20"/>
          <w:szCs w:val="20"/>
          <w:rtl w:val="false"/>
        </w:rPr>
        <w:t xml:space="preserve">, 75 FORDHAM L. REV. 1715, 1715-1719 (2006).‎</w:t>
      </w:r>
    </w:p>
  </w:footnote>
  <w:footnote w:id="33">
    <w:p>
      <w:pPr>
        <w:bidi/>
        <w:spacing w:after="40" w:line="240"/>
        <w:jc w:val="both"/>
      </w:pPr>
      <w:r>
        <w:rPr>
          <w:rStyle w:val="FootnoteReference"/>
        </w:rPr>
        <w:footnoteRef/>
      </w:r>
      <w:r>
        <w:rPr>
          <w:rFonts w:ascii="David" w:cs="David" w:eastAsia="David" w:hAnsi="David"/>
          <w:sz w:val="20"/>
          <w:szCs w:val="20"/>
          <w:rtl/>
        </w:rPr>
        <w:t xml:space="preserve"> באדי חסייסי ויעל ליטמנוביץ "חתירה למגע אחר: שיטור החברה הערבית בישראל, נקודת המבט של מפקדי תחנות"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119, 121 (2017).</w:t>
      </w:r>
    </w:p>
  </w:footnote>
  <w:footnote w:id="34">
    <w:p>
      <w:pPr>
        <w:bidi/>
        <w:spacing w:after="40" w:line="240"/>
        <w:jc w:val="both"/>
      </w:pPr>
      <w:r>
        <w:rPr>
          <w:rStyle w:val="FootnoteReference"/>
        </w:rPr>
        <w:footnoteRef/>
      </w:r>
      <w:r>
        <w:rPr>
          <w:rFonts w:ascii="David" w:cs="David" w:eastAsia="David" w:hAnsi="David"/>
          <w:sz w:val="20"/>
          <w:szCs w:val="20"/>
          <w:rt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226, 231 (2020).</w:t>
      </w:r>
    </w:p>
  </w:footnote>
  <w:footnote w:id="35">
    <w:p>
      <w:pPr>
        <w:bidi/>
        <w:spacing w:after="40" w:line="240"/>
        <w:jc w:val="both"/>
      </w:pPr>
      <w:r>
        <w:rPr>
          <w:rStyle w:val="FootnoteReference"/>
        </w:rPr>
        <w:footnoteRef/>
      </w:r>
      <w:r>
        <w:rPr>
          <w:rFonts w:ascii="David" w:cs="David" w:eastAsia="David" w:hAnsi="David"/>
          <w:sz w:val="20"/>
          <w:szCs w:val="20"/>
          <w:rtl/>
        </w:rPr>
        <w:t xml:space="preserve"> אסף הרדוף </w:t>
      </w:r>
      <w:r>
        <w:rPr>
          <w:rFonts w:ascii="David" w:cs="David" w:eastAsia="David" w:hAnsi="David"/>
          <w:b/>
          <w:bCs/>
          <w:sz w:val="20"/>
          <w:szCs w:val="20"/>
          <w:rtl/>
        </w:rPr>
        <w:t xml:space="preserve">סדר הדין הפלילי</w:t>
      </w:r>
      <w:r>
        <w:rPr>
          <w:rFonts w:ascii="David" w:cs="David" w:eastAsia="David" w:hAnsi="David"/>
          <w:sz w:val="20"/>
          <w:szCs w:val="20"/>
          <w:rtl/>
        </w:rPr>
        <w:t xml:space="preserve"> חלק א (</w:t>
      </w:r>
      <w:r>
        <w:rPr>
          <w:rFonts w:ascii="David" w:cs="David" w:eastAsia="David" w:hAnsi="David"/>
          <w:sz w:val="20"/>
          <w:szCs w:val="20"/>
          <w:shd w:fill="FFF200" w:color="auto" w:val="clear"/>
          <w:rtl/>
        </w:rPr>
        <w:t xml:space="preserve">[שנה]</w:t>
      </w:r>
      <w:r>
        <w:rPr>
          <w:rFonts w:ascii="David" w:cs="David" w:eastAsia="David" w:hAnsi="David"/>
          <w:sz w:val="20"/>
          <w:szCs w:val="20"/>
          <w:rtl/>
        </w:rPr>
        <w:t xml:space="preserve">).</w:t>
      </w:r>
    </w:p>
  </w:footnote>
  <w:footnote w:id="36">
    <w:p>
      <w:pPr>
        <w:bidi/>
        <w:spacing w:after="40" w:line="240"/>
        <w:jc w:val="both"/>
      </w:pPr>
      <w:r>
        <w:rPr>
          <w:rStyle w:val="FootnoteReference"/>
        </w:rPr>
        <w:footnoteRef/>
      </w:r>
      <w:r>
        <w:rPr>
          <w:rFonts w:ascii="David" w:cs="David" w:eastAsia="David" w:hAnsi="David"/>
          <w:sz w:val="20"/>
          <w:szCs w:val="20"/>
          <w:rtl w:val="false"/>
        </w:rPr>
        <w:t xml:space="preserve"> Monica C. Bell, ‎</w:t>
      </w:r>
      <w:r>
        <w:rPr>
          <w:rFonts w:ascii="David" w:cs="David" w:eastAsia="David" w:hAnsi="David"/>
          <w:i/>
          <w:iCs/>
          <w:sz w:val="20"/>
          <w:szCs w:val="20"/>
          <w:rtl w:val="false"/>
        </w:rPr>
        <w:t xml:space="preserve">Police Reform and the Dismantling of Legal Estrangement‎</w:t>
      </w:r>
      <w:r>
        <w:rPr>
          <w:rFonts w:ascii="David" w:cs="David" w:eastAsia="David" w:hAnsi="David"/>
          <w:sz w:val="20"/>
          <w:szCs w:val="20"/>
          <w:rtl w:val="false"/>
        </w:rPr>
        <w:t xml:space="preserve">, 126 YALE L.J. 2054, 2054 (2017).‎</w:t>
      </w:r>
    </w:p>
  </w:footnote>
  <w:footnote w:id="3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3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Tyler, Goff &amp; MacCoun‎</w:t>
      </w:r>
      <w:r>
        <w:rPr>
          <w:rFonts w:ascii="David" w:cs="David" w:eastAsia="David" w:hAnsi="David"/>
          <w:sz w:val="20"/>
          <w:szCs w:val="20"/>
          <w:rtl/>
        </w:rPr>
        <w:t xml:space="preserve">, לעיל ה"ש 17, בעמ' 75.</w:t>
      </w:r>
    </w:p>
  </w:footnote>
  <w:footnote w:id="3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592.</w:t>
      </w:r>
    </w:p>
  </w:footnote>
  <w:footnote w:id="40">
    <w:p>
      <w:pPr>
        <w:bidi/>
        <w:spacing w:after="40" w:line="240"/>
        <w:jc w:val="both"/>
      </w:pPr>
      <w:r>
        <w:rPr>
          <w:rStyle w:val="FootnoteReference"/>
        </w:rPr>
        <w:footnoteRef/>
      </w:r>
      <w:r>
        <w:rPr>
          <w:rFonts w:ascii="David" w:cs="David" w:eastAsia="David" w:hAnsi="David"/>
          <w:sz w:val="20"/>
          <w:szCs w:val="20"/>
          <w:rtl w:val="false"/>
        </w:rPr>
        <w:t xml:space="preserve"> Wesley G. Skogan, ‎</w:t>
      </w:r>
      <w:r>
        <w:rPr>
          <w:rFonts w:ascii="David" w:cs="David" w:eastAsia="David" w:hAnsi="David"/>
          <w:i/>
          <w:iCs/>
          <w:sz w:val="20"/>
          <w:szCs w:val="20"/>
          <w:rtl w:val="false"/>
        </w:rPr>
        <w:t xml:space="preserve">Asymmetry in the Impact of Encounters with Police‎</w:t>
      </w:r>
      <w:r>
        <w:rPr>
          <w:rFonts w:ascii="David" w:cs="David" w:eastAsia="David" w:hAnsi="David"/>
          <w:sz w:val="20"/>
          <w:szCs w:val="20"/>
          <w:rtl w:val="false"/>
        </w:rPr>
        <w:t xml:space="preserve">, 16 POLICING &amp; SOC'Y 99, 112-113, 117-118 (2006).‎</w:t>
      </w:r>
    </w:p>
  </w:footnote>
  <w:footnote w:id="41">
    <w:p>
      <w:pPr>
        <w:bidi/>
        <w:spacing w:after="40" w:line="240"/>
        <w:jc w:val="both"/>
      </w:pPr>
      <w:r>
        <w:rPr>
          <w:rStyle w:val="FootnoteReference"/>
        </w:rPr>
        <w:footnoteRef/>
      </w:r>
      <w:r>
        <w:rPr>
          <w:rFonts w:ascii="David" w:cs="David" w:eastAsia="David" w:hAnsi="David"/>
          <w:sz w:val="20"/>
          <w:szCs w:val="20"/>
          <w:rtl w:val="false"/>
        </w:rPr>
        <w:t xml:space="preserve"> Matthew Desmond, Andrew V. Papachristos &amp; David S. Kirk, ‎</w:t>
      </w:r>
      <w:r>
        <w:rPr>
          <w:rFonts w:ascii="David" w:cs="David" w:eastAsia="David" w:hAnsi="David"/>
          <w:i/>
          <w:iCs/>
          <w:sz w:val="20"/>
          <w:szCs w:val="20"/>
          <w:rtl w:val="false"/>
        </w:rPr>
        <w:t xml:space="preserve">Police Violence and Citizen Crime Reporting in the Black Community‎</w:t>
      </w:r>
      <w:r>
        <w:rPr>
          <w:rFonts w:ascii="David" w:cs="David" w:eastAsia="David" w:hAnsi="David"/>
          <w:sz w:val="20"/>
          <w:szCs w:val="20"/>
          <w:rtl w:val="false"/>
        </w:rPr>
        <w:t xml:space="preserve">, 81 AM. SOCIO. REV. 857, 865-868 (2016).‎</w:t>
      </w:r>
    </w:p>
  </w:footnote>
  <w:footnote w:id="42">
    <w:p>
      <w:pPr>
        <w:bidi/>
        <w:spacing w:after="40" w:line="240"/>
        <w:jc w:val="both"/>
      </w:pPr>
      <w:r>
        <w:rPr>
          <w:rStyle w:val="FootnoteReference"/>
        </w:rPr>
        <w:footnoteRef/>
      </w:r>
      <w:r>
        <w:rPr>
          <w:rFonts w:ascii="David" w:cs="David" w:eastAsia="David" w:hAnsi="David"/>
          <w:sz w:val="20"/>
          <w:szCs w:val="20"/>
          <w:rtl/>
        </w:rPr>
        <w:t xml:space="preserve"> ע"פ 9878/09 </w:t>
      </w:r>
      <w:r>
        <w:rPr>
          <w:rFonts w:ascii="David" w:cs="David" w:eastAsia="David" w:hAnsi="David"/>
          <w:b/>
          <w:bCs/>
          <w:sz w:val="20"/>
          <w:szCs w:val="20"/>
          <w:rtl/>
        </w:rPr>
        <w:t xml:space="preserve">מדינת ישראל נ' מוסא</w:t>
      </w:r>
      <w:r>
        <w:rPr>
          <w:rFonts w:ascii="David" w:cs="David" w:eastAsia="David" w:hAnsi="David"/>
          <w:sz w:val="20"/>
          <w:szCs w:val="20"/>
          <w:rtl/>
        </w:rPr>
        <w:t xml:space="preserve">, פס' 29 (נבו 20.9.2010).</w:t>
      </w:r>
    </w:p>
  </w:footnote>
  <w:footnote w:id="43">
    <w:p>
      <w:pPr>
        <w:bidi/>
        <w:spacing w:after="40" w:line="240"/>
        <w:jc w:val="both"/>
      </w:pPr>
      <w:r>
        <w:rPr>
          <w:rStyle w:val="FootnoteReference"/>
        </w:rPr>
        <w:footnoteRef/>
      </w:r>
      <w:r>
        <w:rPr>
          <w:rFonts w:ascii="David" w:cs="David" w:eastAsia="David" w:hAnsi="David"/>
          <w:sz w:val="20"/>
          <w:szCs w:val="20"/>
          <w:rtl/>
        </w:rPr>
        <w:t xml:space="preserve"> בג"ץ 2605/05 </w:t>
      </w:r>
      <w:r>
        <w:rPr>
          <w:rFonts w:ascii="David" w:cs="David" w:eastAsia="David" w:hAnsi="David"/>
          <w:b/>
          <w:bCs/>
          <w:sz w:val="20"/>
          <w:szCs w:val="20"/>
          <w:rtl/>
        </w:rPr>
        <w:t xml:space="preserve">המרכז האקדמי למשפט ולעסקים, חטיבת זכויות האדם נ' שר האוצר</w:t>
      </w:r>
      <w:r>
        <w:rPr>
          <w:rFonts w:ascii="David" w:cs="David" w:eastAsia="David" w:hAnsi="David"/>
          <w:sz w:val="20"/>
          <w:szCs w:val="20"/>
          <w:rtl/>
        </w:rPr>
        <w:t xml:space="preserve">, פ"ד סג(2) 545, 630-629, פס' 9-10 לפסק דינה של השופטת פרוקצ'יה (2009).</w:t>
      </w:r>
    </w:p>
  </w:footnote>
  <w:footnote w:id="44">
    <w:p>
      <w:pPr>
        <w:bidi/>
        <w:spacing w:after="40" w:line="240"/>
        <w:jc w:val="both"/>
      </w:pPr>
      <w:r>
        <w:rPr>
          <w:rStyle w:val="FootnoteReference"/>
        </w:rPr>
        <w:footnoteRef/>
      </w:r>
      <w:r>
        <w:rPr>
          <w:rFonts w:ascii="David" w:cs="David" w:eastAsia="David" w:hAnsi="David"/>
          <w:sz w:val="20"/>
          <w:szCs w:val="20"/>
          <w:rtl/>
        </w:rPr>
        <w:t xml:space="preserve"> ס' 2 לחוק החזקת תעודת זהות והצגתה, התשמ"ג–1982;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22, 36-35 לפסק דינה של הנשיאה חיות.</w:t>
      </w:r>
    </w:p>
  </w:footnote>
  <w:footnote w:id="45">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46">
    <w:p>
      <w:pPr>
        <w:bidi/>
        <w:spacing w:after="40" w:line="240"/>
        <w:jc w:val="both"/>
      </w:pPr>
      <w:r>
        <w:rPr>
          <w:rStyle w:val="FootnoteReference"/>
        </w:rPr>
        <w:footnoteRef/>
      </w:r>
      <w:r>
        <w:rPr>
          <w:rFonts w:ascii="David" w:cs="David" w:eastAsia="David" w:hAnsi="David"/>
          <w:sz w:val="20"/>
          <w:szCs w:val="20"/>
          <w:rtl/>
        </w:rPr>
        <w:t xml:space="preserve"> ס' 3 לפקודת המשטרה [נוסח חדש], התשל"א–1971.</w:t>
      </w:r>
    </w:p>
  </w:footnote>
  <w:footnote w:id="47">
    <w:p>
      <w:pPr>
        <w:bidi/>
        <w:spacing w:after="40" w:line="240"/>
        <w:jc w:val="both"/>
      </w:pPr>
      <w:r>
        <w:rPr>
          <w:rStyle w:val="FootnoteReference"/>
        </w:rPr>
        <w:footnoteRef/>
      </w:r>
      <w:r>
        <w:rPr>
          <w:rFonts w:ascii="David" w:cs="David" w:eastAsia="David" w:hAnsi="David"/>
          <w:sz w:val="20"/>
          <w:szCs w:val="20"/>
          <w:rtl/>
        </w:rPr>
        <w:t xml:space="preserve"> בג"ץ 2557/05 </w:t>
      </w:r>
      <w:r>
        <w:rPr>
          <w:rFonts w:ascii="David" w:cs="David" w:eastAsia="David" w:hAnsi="David"/>
          <w:b/>
          <w:bCs/>
          <w:sz w:val="20"/>
          <w:szCs w:val="20"/>
          <w:rtl/>
        </w:rPr>
        <w:t xml:space="preserve">מטה הרוב נ' משטרת ישראל</w:t>
      </w:r>
      <w:r>
        <w:rPr>
          <w:rFonts w:ascii="David" w:cs="David" w:eastAsia="David" w:hAnsi="David"/>
          <w:sz w:val="20"/>
          <w:szCs w:val="20"/>
          <w:rtl/>
        </w:rPr>
        <w:t xml:space="preserve">, פ"ד סב(1) 200 (2006).</w:t>
      </w:r>
    </w:p>
  </w:footnote>
  <w:footnote w:id="48">
    <w:p>
      <w:pPr>
        <w:bidi/>
        <w:spacing w:after="40" w:line="240"/>
        <w:jc w:val="both"/>
      </w:pPr>
      <w:r>
        <w:rPr>
          <w:rStyle w:val="FootnoteReference"/>
        </w:rPr>
        <w:footnoteRef/>
      </w:r>
      <w:r>
        <w:rPr>
          <w:rFonts w:ascii="David" w:cs="David" w:eastAsia="David" w:hAnsi="David"/>
          <w:sz w:val="20"/>
          <w:szCs w:val="20"/>
          <w:rtl/>
        </w:rPr>
        <w:t xml:space="preserve"> בג"ץ 6824/07 </w:t>
      </w:r>
      <w:r>
        <w:rPr>
          <w:rFonts w:ascii="David" w:cs="David" w:eastAsia="David" w:hAnsi="David"/>
          <w:b/>
          <w:bCs/>
          <w:sz w:val="20"/>
          <w:szCs w:val="20"/>
          <w:rtl/>
        </w:rPr>
        <w:t xml:space="preserve">מנאע נ' רשות המסים</w:t>
      </w:r>
      <w:r>
        <w:rPr>
          <w:rFonts w:ascii="David" w:cs="David" w:eastAsia="David" w:hAnsi="David"/>
          <w:sz w:val="20"/>
          <w:szCs w:val="20"/>
          <w:rtl/>
        </w:rPr>
        <w:t xml:space="preserve">, פ"ד סד(2) 479, 525-524 (2010); בג"ץ 5887/17 </w:t>
      </w:r>
      <w:r>
        <w:rPr>
          <w:rFonts w:ascii="David" w:cs="David" w:eastAsia="David" w:hAnsi="David"/>
          <w:b/>
          <w:bCs/>
          <w:sz w:val="20"/>
          <w:szCs w:val="20"/>
          <w:rtl/>
        </w:rPr>
        <w:t xml:space="preserve">ג'בארין נ' משטרת ישראל</w:t>
      </w:r>
      <w:r>
        <w:rPr>
          <w:rFonts w:ascii="David" w:cs="David" w:eastAsia="David" w:hAnsi="David"/>
          <w:sz w:val="20"/>
          <w:szCs w:val="20"/>
          <w:rtl/>
        </w:rPr>
        <w:t xml:space="preserve"> (נבו 25.7.2017).</w:t>
      </w:r>
    </w:p>
  </w:footnote>
  <w:footnote w:id="49">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7 לפסק דינו של השופט שטיין.</w:t>
      </w:r>
    </w:p>
  </w:footnote>
  <w:footnote w:id="50">
    <w:p>
      <w:pPr>
        <w:bidi/>
        <w:spacing w:after="40" w:line="240"/>
        <w:jc w:val="both"/>
      </w:pPr>
      <w:r>
        <w:rPr>
          <w:rStyle w:val="FootnoteReference"/>
        </w:rPr>
        <w:footnoteRef/>
      </w:r>
      <w:r>
        <w:rPr>
          <w:rFonts w:ascii="David" w:cs="David" w:eastAsia="David" w:hAnsi="David"/>
          <w:sz w:val="20"/>
          <w:szCs w:val="20"/>
          <w:rtl/>
        </w:rPr>
        <w:t xml:space="preserve"> ס' 74-67 לחוק סדר הדין הפלילי (סמכויות אכיפה – מעצרים), התשנ"ו–1996.</w:t>
      </w:r>
    </w:p>
  </w:footnote>
  <w:footnote w:id="51">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36 לפסק דינה של הנשיאה חיות.</w:t>
      </w:r>
    </w:p>
  </w:footnote>
  <w:footnote w:id="52">
    <w:p>
      <w:pPr>
        <w:bidi/>
        <w:spacing w:after="40" w:line="240"/>
        <w:jc w:val="both"/>
      </w:pPr>
      <w:r>
        <w:rPr>
          <w:rStyle w:val="FootnoteReference"/>
        </w:rPr>
        <w:footnoteRef/>
      </w:r>
      <w:r>
        <w:rPr>
          <w:rFonts w:ascii="David" w:cs="David" w:eastAsia="David" w:hAnsi="David"/>
          <w:sz w:val="20"/>
          <w:szCs w:val="20"/>
          <w:rtl/>
        </w:rPr>
        <w:t xml:space="preserve"> רע"פ 2161/21 </w:t>
      </w:r>
      <w:r>
        <w:rPr>
          <w:rFonts w:ascii="David" w:cs="David" w:eastAsia="David" w:hAnsi="David"/>
          <w:b/>
          <w:bCs/>
          <w:sz w:val="20"/>
          <w:szCs w:val="20"/>
          <w:rtl/>
        </w:rPr>
        <w:t xml:space="preserve">משאיך נ' מדינת ישראל</w:t>
      </w:r>
      <w:r>
        <w:rPr>
          <w:rFonts w:ascii="David" w:cs="David" w:eastAsia="David" w:hAnsi="David"/>
          <w:sz w:val="20"/>
          <w:szCs w:val="20"/>
          <w:rtl/>
        </w:rPr>
        <w:t xml:space="preserve">, פס' 16 להחלטתו של השופט קרא (נבו 18.7.2021).</w:t>
      </w:r>
    </w:p>
  </w:footnote>
  <w:footnote w:id="53">
    <w:p>
      <w:pPr>
        <w:bidi/>
        <w:spacing w:after="40" w:line="240"/>
        <w:jc w:val="both"/>
      </w:pPr>
      <w:r>
        <w:rPr>
          <w:rStyle w:val="FootnoteReference"/>
        </w:rPr>
        <w:footnoteRef/>
      </w:r>
      <w:r>
        <w:rPr>
          <w:rFonts w:ascii="David" w:cs="David" w:eastAsia="David" w:hAnsi="David"/>
          <w:sz w:val="20"/>
          <w:szCs w:val="20"/>
          <w:rtl/>
        </w:rPr>
        <w:t xml:space="preserve"> רע"פ 3829/15 </w:t>
      </w:r>
      <w:r>
        <w:rPr>
          <w:rFonts w:ascii="David" w:cs="David" w:eastAsia="David" w:hAnsi="David"/>
          <w:b/>
          <w:bCs/>
          <w:sz w:val="20"/>
          <w:szCs w:val="20"/>
          <w:rtl/>
        </w:rPr>
        <w:t xml:space="preserve">קסאי נ' מדינת ישראל</w:t>
      </w:r>
      <w:r>
        <w:rPr>
          <w:rFonts w:ascii="David" w:cs="David" w:eastAsia="David" w:hAnsi="David"/>
          <w:sz w:val="20"/>
          <w:szCs w:val="20"/>
          <w:rtl/>
        </w:rPr>
        <w:t xml:space="preserve"> (נבו 20.12.2018).</w:t>
      </w:r>
    </w:p>
  </w:footnote>
  <w:footnote w:id="54">
    <w:p>
      <w:pPr>
        <w:bidi/>
        <w:spacing w:after="40" w:line="240"/>
        <w:jc w:val="both"/>
      </w:pPr>
      <w:r>
        <w:rPr>
          <w:rStyle w:val="FootnoteReference"/>
        </w:rPr>
        <w:footnoteRef/>
      </w:r>
      <w:r>
        <w:rPr>
          <w:rFonts w:ascii="David" w:cs="David" w:eastAsia="David" w:hAnsi="David"/>
          <w:sz w:val="20"/>
          <w:szCs w:val="20"/>
          <w:rtl/>
        </w:rPr>
        <w:t xml:space="preserve"> רע"פ 3199/20 </w:t>
      </w:r>
      <w:r>
        <w:rPr>
          <w:rFonts w:ascii="David" w:cs="David" w:eastAsia="David" w:hAnsi="David"/>
          <w:b/>
          <w:bCs/>
          <w:sz w:val="20"/>
          <w:szCs w:val="20"/>
          <w:rtl/>
        </w:rPr>
        <w:t xml:space="preserve">זייצב נ' מדינת ישראל</w:t>
      </w:r>
      <w:r>
        <w:rPr>
          <w:rFonts w:ascii="David" w:cs="David" w:eastAsia="David" w:hAnsi="David"/>
          <w:sz w:val="20"/>
          <w:szCs w:val="20"/>
          <w:rtl/>
        </w:rPr>
        <w:t xml:space="preserve">, פס' 16 לפסק דינו של השופט אלרון (נבו 12.8.2021).</w:t>
      </w:r>
    </w:p>
  </w:footnote>
  <w:footnote w:id="55">
    <w:p>
      <w:pPr>
        <w:bidi/>
        <w:spacing w:after="40" w:line="240"/>
        <w:jc w:val="both"/>
      </w:pPr>
      <w:r>
        <w:rPr>
          <w:rStyle w:val="FootnoteReference"/>
        </w:rPr>
        <w:footnoteRef/>
      </w:r>
      <w:r>
        <w:rPr>
          <w:rFonts w:ascii="David" w:cs="David" w:eastAsia="David" w:hAnsi="David"/>
          <w:sz w:val="20"/>
          <w:szCs w:val="20"/>
          <w:rtl/>
        </w:rPr>
        <w:t xml:space="preserve"> ס' 3 לחוק סמכויות לשם שמירה על ביטחון הציבור, התשס"ה–2005.</w:t>
      </w:r>
    </w:p>
  </w:footnote>
  <w:footnote w:id="56">
    <w:p>
      <w:pPr>
        <w:bidi/>
        <w:spacing w:after="40" w:line="240"/>
        <w:jc w:val="both"/>
      </w:pPr>
      <w:r>
        <w:rPr>
          <w:rStyle w:val="FootnoteReference"/>
        </w:rPr>
        <w:footnoteRef/>
      </w:r>
      <w:r>
        <w:rPr>
          <w:rFonts w:ascii="David" w:cs="David" w:eastAsia="David" w:hAnsi="David"/>
          <w:sz w:val="20"/>
          <w:szCs w:val="20"/>
          <w:rtl/>
        </w:rPr>
        <w:t xml:space="preserve"> רע"פ 10141/09 </w:t>
      </w:r>
      <w:r>
        <w:rPr>
          <w:rFonts w:ascii="David" w:cs="David" w:eastAsia="David" w:hAnsi="David"/>
          <w:b/>
          <w:bCs/>
          <w:sz w:val="20"/>
          <w:szCs w:val="20"/>
          <w:rtl/>
        </w:rPr>
        <w:t xml:space="preserve">בן חיים נ' מדינת ישראל</w:t>
      </w:r>
      <w:r>
        <w:rPr>
          <w:rFonts w:ascii="David" w:cs="David" w:eastAsia="David" w:hAnsi="David"/>
          <w:sz w:val="20"/>
          <w:szCs w:val="20"/>
          <w:rtl/>
        </w:rPr>
        <w:t xml:space="preserve">, פ"ד סה(3) 305, 330 (2012).</w:t>
      </w:r>
    </w:p>
  </w:footnote>
  <w:footnote w:id="57">
    <w:p>
      <w:pPr>
        <w:bidi/>
        <w:spacing w:after="40" w:line="240"/>
        <w:jc w:val="both"/>
      </w:pPr>
      <w:r>
        <w:rPr>
          <w:rStyle w:val="FootnoteReference"/>
        </w:rPr>
        <w:footnoteRef/>
      </w:r>
      <w:r>
        <w:rPr>
          <w:rFonts w:ascii="David" w:cs="David" w:eastAsia="David" w:hAnsi="David"/>
          <w:sz w:val="20"/>
          <w:szCs w:val="20"/>
          <w:rtl/>
        </w:rPr>
        <w:t xml:space="preserve"> איתי הרמלין "אומרים הסכמה (לחיפוש) יש בעולם. מה זאת הסכמה?" </w:t>
      </w:r>
      <w:r>
        <w:rPr>
          <w:rFonts w:ascii="David" w:cs="David" w:eastAsia="David" w:hAnsi="David"/>
          <w:b/>
          <w:bCs/>
          <w:sz w:val="20"/>
          <w:szCs w:val="20"/>
          <w:rtl/>
        </w:rPr>
        <w:t xml:space="preserve">75 שנות עצמאות במשפט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[עורכים]</w:t>
      </w:r>
      <w:r>
        <w:rPr>
          <w:rFonts w:ascii="David" w:cs="David" w:eastAsia="David" w:hAnsi="David"/>
          <w:sz w:val="20"/>
          <w:szCs w:val="20"/>
          <w:rtl w:val="false"/>
        </w:rPr>
        <w:t xml:space="preserve">, 2023).</w:t>
      </w:r>
    </w:p>
  </w:footnote>
  <w:footnote w:id="58">
    <w:p>
      <w:pPr>
        <w:bidi/>
        <w:spacing w:after="40" w:line="240"/>
        <w:jc w:val="both"/>
      </w:pPr>
      <w:r>
        <w:rPr>
          <w:rStyle w:val="FootnoteReference"/>
        </w:rPr>
        <w:footnoteRef/>
      </w:r>
      <w:r>
        <w:rPr>
          <w:rFonts w:ascii="David" w:cs="David" w:eastAsia="David" w:hAnsi="David"/>
          <w:sz w:val="20"/>
          <w:szCs w:val="20"/>
          <w:rtl/>
        </w:rPr>
        <w:t xml:space="preserve"> הרדוף </w:t>
      </w:r>
      <w:r>
        <w:rPr>
          <w:rFonts w:ascii="David" w:cs="David" w:eastAsia="David" w:hAnsi="David"/>
          <w:b/>
          <w:bCs/>
          <w:sz w:val="20"/>
          <w:szCs w:val="20"/>
          <w:rtl/>
        </w:rPr>
        <w:t xml:space="preserve">סדר הדין הפלילי</w:t>
      </w:r>
      <w:r>
        <w:rPr>
          <w:rFonts w:ascii="David" w:cs="David" w:eastAsia="David" w:hAnsi="David"/>
          <w:sz w:val="20"/>
          <w:szCs w:val="20"/>
          <w:rtl/>
        </w:rPr>
        <w:t xml:space="preserve">, לעיל ה"ש 35.</w:t>
      </w:r>
    </w:p>
  </w:footnote>
  <w:footnote w:id="59">
    <w:p>
      <w:pPr>
        <w:bidi/>
        <w:spacing w:after="40" w:line="240"/>
        <w:jc w:val="both"/>
      </w:pPr>
      <w:r>
        <w:rPr>
          <w:rStyle w:val="FootnoteReference"/>
        </w:rPr>
        <w:footnoteRef/>
      </w:r>
      <w:r>
        <w:rPr>
          <w:rFonts w:ascii="David" w:cs="David" w:eastAsia="David" w:hAnsi="David"/>
          <w:sz w:val="20"/>
          <w:szCs w:val="20"/>
          <w:rtl/>
        </w:rPr>
        <w:t xml:space="preserve"> דנג"ץ 2707/21 </w:t>
      </w:r>
      <w:r>
        <w:rPr>
          <w:rFonts w:ascii="David" w:cs="David" w:eastAsia="David" w:hAnsi="David"/>
          <w:b/>
          <w:bCs/>
          <w:sz w:val="20"/>
          <w:szCs w:val="20"/>
          <w:rtl/>
        </w:rPr>
        <w:t xml:space="preserve">משטרת ישראל נ' עמותת טבקה – צדק ושוויון ליוצאי אתיופיה</w:t>
      </w:r>
      <w:r>
        <w:rPr>
          <w:rFonts w:ascii="David" w:cs="David" w:eastAsia="David" w:hAnsi="David"/>
          <w:sz w:val="20"/>
          <w:szCs w:val="20"/>
          <w:rtl/>
        </w:rPr>
        <w:t xml:space="preserve">, פס' 14-11 (נבו 29.12.2021).</w:t>
      </w:r>
    </w:p>
  </w:footnote>
  <w:footnote w:id="60">
    <w:p>
      <w:pPr>
        <w:bidi/>
        <w:spacing w:after="40" w:line="240"/>
        <w:jc w:val="both"/>
      </w:pPr>
      <w:r>
        <w:rPr>
          <w:rStyle w:val="FootnoteReference"/>
        </w:rPr>
        <w:footnoteRef/>
      </w:r>
      <w:r>
        <w:rPr>
          <w:rFonts w:ascii="David" w:cs="David" w:eastAsia="David" w:hAnsi="David"/>
          <w:sz w:val="20"/>
          <w:szCs w:val="20"/>
          <w:rtl/>
        </w:rPr>
        <w:t xml:space="preserve"> בג"ץ 244/23 </w:t>
      </w:r>
      <w:r>
        <w:rPr>
          <w:rFonts w:ascii="David" w:cs="David" w:eastAsia="David" w:hAnsi="David"/>
          <w:b/>
          <w:bCs/>
          <w:sz w:val="20"/>
          <w:szCs w:val="20"/>
          <w:rtl/>
        </w:rPr>
        <w:t xml:space="preserve">האגודה לזכויות האזרח בישראל נ' משטרת ישראל</w:t>
      </w:r>
      <w:r>
        <w:rPr>
          <w:rFonts w:ascii="David" w:cs="David" w:eastAsia="David" w:hAnsi="David"/>
          <w:sz w:val="20"/>
          <w:szCs w:val="20"/>
          <w:rtl/>
        </w:rPr>
        <w:t xml:space="preserve"> (נבו 14.12.2025).</w:t>
      </w:r>
    </w:p>
  </w:footnote>
  <w:footnote w:id="61">
    <w:p>
      <w:pPr>
        <w:bidi/>
        <w:spacing w:after="40" w:line="240"/>
        <w:jc w:val="both"/>
      </w:pPr>
      <w:r>
        <w:rPr>
          <w:rStyle w:val="FootnoteReference"/>
        </w:rPr>
        <w:footnoteRef/>
      </w:r>
      <w:r>
        <w:rPr>
          <w:rFonts w:ascii="David" w:cs="David" w:eastAsia="David" w:hAnsi="David"/>
          <w:sz w:val="20"/>
          <w:szCs w:val="20"/>
          <w:rtl/>
        </w:rPr>
        <w:t xml:space="preserve"> בג"ץ 6396/96 </w:t>
      </w:r>
      <w:r>
        <w:rPr>
          <w:rFonts w:ascii="David" w:cs="David" w:eastAsia="David" w:hAnsi="David"/>
          <w:b/>
          <w:bCs/>
          <w:sz w:val="20"/>
          <w:szCs w:val="20"/>
          <w:rtl/>
        </w:rPr>
        <w:t xml:space="preserve">זקין נ' ראש עיריית באר-שבע</w:t>
      </w:r>
      <w:r>
        <w:rPr>
          <w:rFonts w:ascii="David" w:cs="David" w:eastAsia="David" w:hAnsi="David"/>
          <w:sz w:val="20"/>
          <w:szCs w:val="20"/>
          <w:rtl/>
        </w:rPr>
        <w:t xml:space="preserve">, פ"ד נג(3) 289 (1999).</w:t>
      </w:r>
    </w:p>
  </w:footnote>
  <w:footnote w:id="62">
    <w:p>
      <w:pPr>
        <w:bidi/>
        <w:spacing w:after="40" w:line="240"/>
        <w:jc w:val="both"/>
      </w:pPr>
      <w:r>
        <w:rPr>
          <w:rStyle w:val="FootnoteReference"/>
        </w:rPr>
        <w:footnoteRef/>
      </w:r>
      <w:r>
        <w:rPr>
          <w:rFonts w:ascii="David" w:cs="David" w:eastAsia="David" w:hAnsi="David"/>
          <w:sz w:val="20"/>
          <w:szCs w:val="20"/>
          <w:rtl/>
        </w:rPr>
        <w:t xml:space="preserve"> ע"פ 4855/02 </w:t>
      </w:r>
      <w:r>
        <w:rPr>
          <w:rFonts w:ascii="David" w:cs="David" w:eastAsia="David" w:hAnsi="David"/>
          <w:b/>
          <w:bCs/>
          <w:sz w:val="20"/>
          <w:szCs w:val="20"/>
          <w:rtl/>
        </w:rPr>
        <w:t xml:space="preserve">מדינת ישראל נ' בורוביץ</w:t>
      </w:r>
      <w:r>
        <w:rPr>
          <w:rFonts w:ascii="David" w:cs="David" w:eastAsia="David" w:hAnsi="David"/>
          <w:sz w:val="20"/>
          <w:szCs w:val="20"/>
          <w:rtl/>
        </w:rPr>
        <w:t xml:space="preserve">, פ"ד נט(6) 776 (2005).</w:t>
      </w:r>
    </w:p>
  </w:footnote>
  <w:footnote w:id="63">
    <w:p>
      <w:pPr>
        <w:bidi/>
        <w:spacing w:after="40" w:line="240"/>
        <w:jc w:val="both"/>
      </w:pPr>
      <w:r>
        <w:rPr>
          <w:rStyle w:val="FootnoteReference"/>
        </w:rPr>
        <w:footnoteRef/>
      </w:r>
      <w:r>
        <w:rPr>
          <w:rFonts w:ascii="David" w:cs="David" w:eastAsia="David" w:hAnsi="David"/>
          <w:sz w:val="20"/>
          <w:szCs w:val="20"/>
          <w:rtl/>
        </w:rPr>
        <w:t xml:space="preserve"> ע"פ 6328/12 </w:t>
      </w:r>
      <w:r>
        <w:rPr>
          <w:rFonts w:ascii="David" w:cs="David" w:eastAsia="David" w:hAnsi="David"/>
          <w:b/>
          <w:bCs/>
          <w:sz w:val="20"/>
          <w:szCs w:val="20"/>
          <w:rtl/>
        </w:rPr>
        <w:t xml:space="preserve">מדינת ישראל נ' פרץ</w:t>
      </w:r>
      <w:r>
        <w:rPr>
          <w:rFonts w:ascii="David" w:cs="David" w:eastAsia="David" w:hAnsi="David"/>
          <w:sz w:val="20"/>
          <w:szCs w:val="20"/>
          <w:rtl/>
        </w:rPr>
        <w:t xml:space="preserve"> (נבו 10.9.2013).</w:t>
      </w:r>
    </w:p>
  </w:footnote>
  <w:footnote w:id="64">
    <w:p>
      <w:pPr>
        <w:bidi/>
        <w:spacing w:after="40" w:line="240"/>
        <w:jc w:val="both"/>
      </w:pPr>
      <w:r>
        <w:rPr>
          <w:rStyle w:val="FootnoteReference"/>
        </w:rPr>
        <w:footnoteRef/>
      </w:r>
      <w:r>
        <w:rPr>
          <w:rFonts w:ascii="David" w:cs="David" w:eastAsia="David" w:hAnsi="David"/>
          <w:sz w:val="20"/>
          <w:szCs w:val="20"/>
          <w:rtl/>
        </w:rPr>
        <w:t xml:space="preserve"> בג"ץ 7839/19 </w:t>
      </w:r>
      <w:r>
        <w:rPr>
          <w:rFonts w:ascii="David" w:cs="David" w:eastAsia="David" w:hAnsi="David"/>
          <w:b/>
          <w:bCs/>
          <w:sz w:val="20"/>
          <w:szCs w:val="20"/>
          <w:rtl/>
        </w:rPr>
        <w:t xml:space="preserve">פלוני נ' משטרת ישראל</w:t>
      </w:r>
      <w:r>
        <w:rPr>
          <w:rFonts w:ascii="David" w:cs="David" w:eastAsia="David" w:hAnsi="David"/>
          <w:sz w:val="20"/>
          <w:szCs w:val="20"/>
          <w:rtl/>
        </w:rPr>
        <w:t xml:space="preserve"> (נבו 19.10.2020).</w:t>
      </w:r>
    </w:p>
  </w:footnote>
  <w:footnote w:id="65">
    <w:p>
      <w:pPr>
        <w:bidi/>
        <w:spacing w:after="40" w:line="240"/>
        <w:jc w:val="both"/>
      </w:pPr>
      <w:r>
        <w:rPr>
          <w:rStyle w:val="FootnoteReference"/>
        </w:rPr>
        <w:footnoteRef/>
      </w:r>
      <w:r>
        <w:rPr>
          <w:rFonts w:ascii="David" w:cs="David" w:eastAsia="David" w:hAnsi="David"/>
          <w:sz w:val="20"/>
          <w:szCs w:val="20"/>
          <w:rtl/>
        </w:rPr>
        <w:t xml:space="preserve"> בג"ץ 4475/17 </w:t>
      </w:r>
      <w:r>
        <w:rPr>
          <w:rFonts w:ascii="David" w:cs="David" w:eastAsia="David" w:hAnsi="David"/>
          <w:b/>
          <w:bCs/>
          <w:sz w:val="20"/>
          <w:szCs w:val="20"/>
          <w:rtl/>
        </w:rPr>
        <w:t xml:space="preserve">פרידמן נ' משטרת ישראל</w:t>
      </w:r>
      <w:r>
        <w:rPr>
          <w:rFonts w:ascii="David" w:cs="David" w:eastAsia="David" w:hAnsi="David"/>
          <w:sz w:val="20"/>
          <w:szCs w:val="20"/>
          <w:rtl/>
        </w:rPr>
        <w:t xml:space="preserve"> (נבו 17.2.2019).</w:t>
      </w:r>
    </w:p>
  </w:footnote>
  <w:footnote w:id="66">
    <w:p>
      <w:pPr>
        <w:bidi/>
        <w:spacing w:after="40" w:line="240"/>
        <w:jc w:val="both"/>
      </w:pPr>
      <w:r>
        <w:rPr>
          <w:rStyle w:val="FootnoteReference"/>
        </w:rPr>
        <w:footnoteRef/>
      </w:r>
      <w:r>
        <w:rPr>
          <w:rFonts w:ascii="David" w:cs="David" w:eastAsia="David" w:hAnsi="David"/>
          <w:sz w:val="20"/>
          <w:szCs w:val="20"/>
          <w:rtl w:val="false"/>
        </w:rPr>
        <w:t xml:space="preserve"> Tal Jonathan-Zamir &amp; Gali Perry, ‎</w:t>
      </w:r>
      <w:r>
        <w:rPr>
          <w:rFonts w:ascii="David" w:cs="David" w:eastAsia="David" w:hAnsi="David"/>
          <w:i/>
          <w:iCs/>
          <w:sz w:val="20"/>
          <w:szCs w:val="20"/>
          <w:rtl w:val="false"/>
        </w:rPr>
        <w:t xml:space="preserve">A Landmark in the Study of Proactive Policing: Commentary on Proactive Policing: Effects on Crime and Communities‎</w:t>
      </w:r>
      <w:r>
        <w:rPr>
          <w:rFonts w:ascii="David" w:cs="David" w:eastAsia="David" w:hAnsi="David"/>
          <w:sz w:val="20"/>
          <w:szCs w:val="20"/>
          <w:rtl w:val="false"/>
        </w:rPr>
        <w:t xml:space="preserve">, 24 JERUSALEM REV. LEGAL STUD. 1, 1 (2021).‎</w:t>
      </w:r>
    </w:p>
  </w:footnote>
  <w:footnote w:id="67">
    <w:p>
      <w:pPr>
        <w:bidi/>
        <w:spacing w:after="40" w:line="240"/>
        <w:jc w:val="both"/>
      </w:pPr>
      <w:r>
        <w:rPr>
          <w:rStyle w:val="FootnoteReference"/>
        </w:rPr>
        <w:footnoteRef/>
      </w:r>
      <w:r>
        <w:rPr>
          <w:rFonts w:ascii="David" w:cs="David" w:eastAsia="David" w:hAnsi="David"/>
          <w:sz w:val="20"/>
          <w:szCs w:val="20"/>
          <w:rtl/>
        </w:rPr>
        <w:t xml:space="preserve"> ארז פדן </w:t>
      </w:r>
      <w:r>
        <w:rPr>
          <w:rFonts w:ascii="David" w:cs="David" w:eastAsia="David" w:hAnsi="David"/>
          <w:b/>
          <w:bCs/>
          <w:sz w:val="20"/>
          <w:szCs w:val="20"/>
          <w:rtl/>
        </w:rPr>
        <w:t xml:space="preserve">פרקליטות 3.0: הפרקליטות כפי שהייתה, כפי שהינה וכפי שצריכה להיות</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68">
    <w:p>
      <w:pPr>
        <w:bidi/>
        <w:spacing w:after="40" w:line="240"/>
        <w:jc w:val="both"/>
      </w:pPr>
      <w:r>
        <w:rPr>
          <w:rStyle w:val="FootnoteReference"/>
        </w:rPr>
        <w:footnoteRef/>
      </w:r>
      <w:r>
        <w:rPr>
          <w:rFonts w:ascii="David" w:cs="David" w:eastAsia="David" w:hAnsi="David"/>
          <w:sz w:val="20"/>
          <w:szCs w:val="20"/>
          <w:rtl/>
        </w:rPr>
        <w:t xml:space="preserve"> משטרת ישראל, אגף התכנון והארגון "רפורמת אמו"ן במשטרת ישראל: מרעיון מסדר לשינוי עומק"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 11 (2017).</w:t>
      </w:r>
    </w:p>
  </w:footnote>
  <w:footnote w:id="69">
    <w:p>
      <w:pPr>
        <w:bidi/>
        <w:spacing w:after="40" w:line="240"/>
        <w:jc w:val="both"/>
      </w:pPr>
      <w:r>
        <w:rPr>
          <w:rStyle w:val="FootnoteReference"/>
        </w:rPr>
        <w:footnoteRef/>
      </w:r>
      <w:r>
        <w:rPr>
          <w:rFonts w:ascii="David" w:cs="David" w:eastAsia="David" w:hAnsi="David"/>
          <w:sz w:val="20"/>
          <w:szCs w:val="20"/>
          <w:rtl/>
        </w:rPr>
        <w:t xml:space="preserve"> שם, בעמ' 12.</w:t>
      </w:r>
    </w:p>
  </w:footnote>
  <w:footnote w:id="70">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75, 77 (2018).</w:t>
      </w:r>
    </w:p>
  </w:footnote>
  <w:footnote w:id="7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154.</w:t>
      </w:r>
    </w:p>
  </w:footnote>
  <w:footnote w:id="72">
    <w:p>
      <w:pPr>
        <w:bidi/>
        <w:spacing w:after="40" w:line="240"/>
        <w:jc w:val="both"/>
      </w:pPr>
      <w:r>
        <w:rPr>
          <w:rStyle w:val="FootnoteReference"/>
        </w:rPr>
        <w:footnoteRef/>
      </w:r>
      <w:r>
        <w:rPr>
          <w:rFonts w:ascii="David" w:cs="David" w:eastAsia="David" w:hAnsi="David"/>
          <w:sz w:val="20"/>
          <w:szCs w:val="20"/>
          <w:rtl/>
        </w:rPr>
        <w:t xml:space="preserve"> יהודה קייסי "השיטור הקלאסי: הבסיס המחקרי לרפורמת אמו"ן במשטרת ישראל"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13, 13 (2017).</w:t>
      </w:r>
    </w:p>
  </w:footnote>
  <w:footnote w:id="7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156-155.</w:t>
      </w:r>
    </w:p>
  </w:footnote>
  <w:footnote w:id="74">
    <w:p>
      <w:pPr>
        <w:bidi/>
        <w:spacing w:after="40" w:line="240"/>
        <w:jc w:val="both"/>
      </w:pPr>
      <w:r>
        <w:rPr>
          <w:rStyle w:val="FootnoteReference"/>
        </w:rPr>
        <w:footnoteRef/>
      </w:r>
      <w:r>
        <w:rPr>
          <w:rFonts w:ascii="David" w:cs="David" w:eastAsia="David" w:hAnsi="David"/>
          <w:sz w:val="20"/>
          <w:szCs w:val="20"/>
          <w:rtl/>
        </w:rPr>
        <w:t xml:space="preserve"> שם, בעמ' 156.</w:t>
      </w:r>
    </w:p>
  </w:footnote>
  <w:footnote w:id="7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7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77">
    <w:p>
      <w:pPr>
        <w:bidi/>
        <w:spacing w:after="40" w:line="240"/>
        <w:jc w:val="both"/>
      </w:pPr>
      <w:r>
        <w:rPr>
          <w:rStyle w:val="FootnoteReference"/>
        </w:rPr>
        <w:footnoteRef/>
      </w:r>
      <w:r>
        <w:rPr>
          <w:rFonts w:ascii="David" w:cs="David" w:eastAsia="David" w:hAnsi="David"/>
          <w:sz w:val="20"/>
          <w:szCs w:val="20"/>
          <w:rtl/>
        </w:rPr>
        <w:t xml:space="preserve"> מאיר אלרן, אפרים לביא, מני יצחקי ומוחמד ותד </w:t>
      </w:r>
      <w:r>
        <w:rPr>
          <w:rFonts w:ascii="David" w:cs="David" w:eastAsia="David" w:hAnsi="David"/>
          <w:b/>
          <w:bCs/>
          <w:sz w:val="20"/>
          <w:szCs w:val="20"/>
          <w:rtl/>
        </w:rPr>
        <w:t xml:space="preserve">המלצות למדיניות התמודדות לאומית עם האלימות והפשיעה בחברה הערבית בישראל</w:t>
      </w:r>
      <w:r>
        <w:rPr>
          <w:rFonts w:ascii="David" w:cs="David" w:eastAsia="David" w:hAnsi="David"/>
          <w:sz w:val="20"/>
          <w:szCs w:val="20"/>
          <w:rtl/>
        </w:rPr>
        <w:t xml:space="preserve"> 4-3 (המכון למחקרי ביטחון לאומי, 2021).</w:t>
      </w:r>
    </w:p>
  </w:footnote>
  <w:footnote w:id="78">
    <w:p>
      <w:pPr>
        <w:bidi/>
        <w:spacing w:after="40" w:line="240"/>
        <w:jc w:val="both"/>
      </w:pPr>
      <w:r>
        <w:rPr>
          <w:rStyle w:val="FootnoteReference"/>
        </w:rPr>
        <w:footnoteRef/>
      </w:r>
      <w:r>
        <w:rPr>
          <w:rFonts w:ascii="David" w:cs="David" w:eastAsia="David" w:hAnsi="David"/>
          <w:sz w:val="20"/>
          <w:szCs w:val="20"/>
          <w:rtl/>
        </w:rPr>
        <w:t xml:space="preserve"> מיכאל בירנהק </w:t>
      </w:r>
      <w:r>
        <w:rPr>
          <w:rFonts w:ascii="David" w:cs="David" w:eastAsia="David" w:hAnsi="David"/>
          <w:b/>
          <w:bCs/>
          <w:sz w:val="20"/>
          <w:szCs w:val="20"/>
          <w:rtl/>
        </w:rPr>
        <w:t xml:space="preserve">פרטיות חוקתית</w:t>
      </w:r>
      <w:r>
        <w:rPr>
          <w:rFonts w:ascii="David" w:cs="David" w:eastAsia="David" w:hAnsi="David"/>
          <w:sz w:val="20"/>
          <w:szCs w:val="20"/>
          <w:rtl w:val="false"/>
        </w:rPr>
        <w:t xml:space="preserve"> 400 (2023).</w:t>
      </w:r>
    </w:p>
  </w:footnote>
  <w:footnote w:id="7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80">
    <w:p>
      <w:pPr>
        <w:bidi/>
        <w:spacing w:after="40" w:line="240"/>
        <w:jc w:val="both"/>
      </w:pPr>
      <w:r>
        <w:rPr>
          <w:rStyle w:val="FootnoteReference"/>
        </w:rPr>
        <w:footnoteRef/>
      </w:r>
      <w:r>
        <w:rPr>
          <w:rFonts w:ascii="David" w:cs="David" w:eastAsia="David" w:hAnsi="David"/>
          <w:sz w:val="20"/>
          <w:szCs w:val="20"/>
          <w:rtl/>
        </w:rPr>
        <w:t xml:space="preserve"> שם, בעמ' 158.</w:t>
      </w:r>
    </w:p>
  </w:footnote>
  <w:footnote w:id="8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8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84">
    <w:p>
      <w:pPr>
        <w:bidi/>
        <w:spacing w:after="40" w:line="240"/>
        <w:jc w:val="both"/>
      </w:pPr>
      <w:r>
        <w:rPr>
          <w:rStyle w:val="FootnoteReference"/>
        </w:rPr>
        <w:footnoteRef/>
      </w:r>
      <w:r>
        <w:rPr>
          <w:rFonts w:ascii="David" w:cs="David" w:eastAsia="David" w:hAnsi="David"/>
          <w:sz w:val="20"/>
          <w:szCs w:val="20"/>
          <w:rtl/>
        </w:rPr>
        <w:t xml:space="preserve"> בג"ץ 8987/22 </w:t>
      </w:r>
      <w:r>
        <w:rPr>
          <w:rFonts w:ascii="David" w:cs="David" w:eastAsia="David" w:hAnsi="David"/>
          <w:b/>
          <w:bCs/>
          <w:sz w:val="20"/>
          <w:szCs w:val="20"/>
          <w:rtl/>
        </w:rPr>
        <w:t xml:space="preserve">התנועה למען איכות השלטון בישראל נ' הכנסת</w:t>
      </w:r>
      <w:r>
        <w:rPr>
          <w:rFonts w:ascii="David" w:cs="David" w:eastAsia="David" w:hAnsi="David"/>
          <w:sz w:val="20"/>
          <w:szCs w:val="20"/>
          <w:rtl/>
        </w:rPr>
        <w:t xml:space="preserve"> (נבו 2.1.2025).</w:t>
      </w:r>
    </w:p>
  </w:footnote>
  <w:footnote w:id="85">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6-3.</w:t>
      </w:r>
    </w:p>
  </w:footnote>
  <w:footnote w:id="86">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9, 5-3.</w:t>
      </w:r>
    </w:p>
  </w:footnote>
  <w:footnote w:id="87">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88">
    <w:p>
      <w:pPr>
        <w:bidi/>
        <w:spacing w:after="40" w:line="240"/>
        <w:jc w:val="both"/>
      </w:pPr>
      <w:r>
        <w:rPr>
          <w:rStyle w:val="FootnoteReference"/>
        </w:rPr>
        <w:footnoteRef/>
      </w:r>
      <w:r>
        <w:rPr>
          <w:rFonts w:ascii="David" w:cs="David" w:eastAsia="David" w:hAnsi="David"/>
          <w:sz w:val="20"/>
          <w:szCs w:val="20"/>
          <w:rtl/>
        </w:rPr>
        <w:t xml:space="preserve"> שי שטרן </w:t>
      </w:r>
      <w:r>
        <w:rPr>
          <w:rFonts w:ascii="David" w:cs="David" w:eastAsia="David" w:hAnsi="David"/>
          <w:b/>
          <w:bCs/>
          <w:sz w:val="20"/>
          <w:szCs w:val="20"/>
          <w:rtl/>
        </w:rPr>
        <w:t xml:space="preserve">קהילות במשפט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(2026).</w:t>
      </w:r>
    </w:p>
  </w:footnote>
  <w:footnote w:id="89">
    <w:p>
      <w:pPr>
        <w:bidi/>
        <w:spacing w:after="40" w:line="240"/>
        <w:jc w:val="both"/>
      </w:pPr>
      <w:r>
        <w:rPr>
          <w:rStyle w:val="FootnoteReference"/>
        </w:rPr>
        <w:footnoteRef/>
      </w:r>
      <w:r>
        <w:rPr>
          <w:rFonts w:ascii="David" w:cs="David" w:eastAsia="David" w:hAnsi="David"/>
          <w:sz w:val="20"/>
          <w:szCs w:val="20"/>
          <w:rtl/>
        </w:rPr>
        <w:t xml:space="preserve"> בג"ץ 1386/22 </w:t>
      </w:r>
      <w:r>
        <w:rPr>
          <w:rFonts w:ascii="David" w:cs="David" w:eastAsia="David" w:hAnsi="David"/>
          <w:b/>
          <w:bCs/>
          <w:sz w:val="20"/>
          <w:szCs w:val="20"/>
          <w:rtl/>
        </w:rPr>
        <w:t xml:space="preserve">דיאב נ' מפכ"ל משטרת ישראל</w:t>
      </w:r>
      <w:r>
        <w:rPr>
          <w:rFonts w:ascii="David" w:cs="David" w:eastAsia="David" w:hAnsi="David"/>
          <w:sz w:val="20"/>
          <w:szCs w:val="20"/>
          <w:rtl/>
        </w:rPr>
        <w:t xml:space="preserve"> (נבו 7.11.2022); בג"ץ 5442/23 </w:t>
      </w:r>
      <w:r>
        <w:rPr>
          <w:rFonts w:ascii="David" w:cs="David" w:eastAsia="David" w:hAnsi="David"/>
          <w:b/>
          <w:bCs/>
          <w:sz w:val="20"/>
          <w:szCs w:val="20"/>
          <w:rtl/>
        </w:rPr>
        <w:t xml:space="preserve">עבאס נ' מפכ"ל משטרת ישראל</w:t>
      </w:r>
      <w:r>
        <w:rPr>
          <w:rFonts w:ascii="David" w:cs="David" w:eastAsia="David" w:hAnsi="David"/>
          <w:sz w:val="20"/>
          <w:szCs w:val="20"/>
          <w:rtl/>
        </w:rPr>
        <w:t xml:space="preserve"> (נבו 20.7.2023).</w:t>
      </w:r>
    </w:p>
  </w:footnote>
  <w:footnote w:id="9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226.</w:t>
      </w:r>
    </w:p>
  </w:footnote>
  <w:footnote w:id="9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4.</w:t>
      </w:r>
    </w:p>
  </w:footnote>
  <w:footnote w:id="9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Weisburd &amp; Turchan‎</w:t>
      </w:r>
      <w:r>
        <w:rPr>
          <w:rFonts w:ascii="David" w:cs="David" w:eastAsia="David" w:hAnsi="David"/>
          <w:sz w:val="20"/>
          <w:szCs w:val="20"/>
          <w:rtl/>
        </w:rPr>
        <w:t xml:space="preserve">, לעיל ה"ש 27, בס' 1.4.1-1.4.2.</w:t>
      </w:r>
    </w:p>
  </w:footnote>
  <w:footnote w:id="9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w:t>
      </w:r>
    </w:p>
  </w:footnote>
  <w:footnote w:id="94">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95">
    <w:p>
      <w:pPr>
        <w:bidi/>
        <w:spacing w:after="40" w:line="240"/>
        <w:jc w:val="both"/>
      </w:pPr>
      <w:r>
        <w:rPr>
          <w:rStyle w:val="FootnoteReference"/>
        </w:rPr>
        <w:footnoteRef/>
      </w:r>
      <w:r>
        <w:rPr>
          <w:rFonts w:ascii="David" w:cs="David" w:eastAsia="David" w:hAnsi="David"/>
          <w:sz w:val="20"/>
          <w:szCs w:val="20"/>
          <w:rtl/>
        </w:rPr>
        <w:t xml:space="preserve"> ס' 144, 144(ז) לחוק העונשין, התשל"ז–1977.</w:t>
      </w:r>
    </w:p>
  </w:footnote>
  <w:footnote w:id="96">
    <w:p>
      <w:pPr>
        <w:bidi/>
        <w:spacing w:after="40" w:line="240"/>
        <w:jc w:val="both"/>
      </w:pPr>
      <w:r>
        <w:rPr>
          <w:rStyle w:val="FootnoteReference"/>
        </w:rPr>
        <w:footnoteRef/>
      </w:r>
      <w:r>
        <w:rPr>
          <w:rFonts w:ascii="David" w:cs="David" w:eastAsia="David" w:hAnsi="David"/>
          <w:sz w:val="20"/>
          <w:szCs w:val="20"/>
          <w:rtl/>
        </w:rPr>
        <w:t xml:space="preserve"> ס' 340א לחוק העונשין, התשל"ז–1977.</w:t>
      </w:r>
    </w:p>
  </w:footnote>
  <w:footnote w:id="97">
    <w:p>
      <w:pPr>
        <w:bidi/>
        <w:spacing w:after="40" w:line="240"/>
        <w:jc w:val="both"/>
      </w:pPr>
      <w:r>
        <w:rPr>
          <w:rStyle w:val="FootnoteReference"/>
        </w:rPr>
        <w:footnoteRef/>
      </w:r>
      <w:r>
        <w:rPr>
          <w:rFonts w:ascii="David" w:cs="David" w:eastAsia="David" w:hAnsi="David"/>
          <w:sz w:val="20"/>
          <w:szCs w:val="20"/>
          <w:rtl/>
        </w:rPr>
        <w:t xml:space="preserve"> רון שפירא, איתי ברסלר-גונן ואילנית הלל </w:t>
      </w:r>
      <w:r>
        <w:rPr>
          <w:rFonts w:ascii="David" w:cs="David" w:eastAsia="David" w:hAnsi="David"/>
          <w:b/>
          <w:bCs/>
          <w:sz w:val="20"/>
          <w:szCs w:val="20"/>
          <w:rtl/>
        </w:rPr>
        <w:t xml:space="preserve">הליכי מעצר: מורה נבוכים</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(2025).</w:t>
      </w:r>
    </w:p>
  </w:footnote>
  <w:footnote w:id="98">
    <w:p>
      <w:pPr>
        <w:bidi/>
        <w:spacing w:after="40" w:line="240"/>
        <w:jc w:val="both"/>
      </w:pPr>
      <w:r>
        <w:rPr>
          <w:rStyle w:val="FootnoteReference"/>
        </w:rPr>
        <w:footnoteRef/>
      </w:r>
      <w:r>
        <w:rPr>
          <w:rFonts w:ascii="David" w:cs="David" w:eastAsia="David" w:hAnsi="David"/>
          <w:sz w:val="20"/>
          <w:szCs w:val="20"/>
          <w:rtl/>
        </w:rPr>
        <w:t xml:space="preserve"> ע"פ 2482/22 </w:t>
      </w:r>
      <w:r>
        <w:rPr>
          <w:rFonts w:ascii="David" w:cs="David" w:eastAsia="David" w:hAnsi="David"/>
          <w:b/>
          <w:bCs/>
          <w:sz w:val="20"/>
          <w:szCs w:val="20"/>
          <w:rtl/>
        </w:rPr>
        <w:t xml:space="preserve">מדינת ישראל נ' קדורה</w:t>
      </w:r>
      <w:r>
        <w:rPr>
          <w:rFonts w:ascii="David" w:cs="David" w:eastAsia="David" w:hAnsi="David"/>
          <w:sz w:val="20"/>
          <w:szCs w:val="20"/>
          <w:rtl/>
        </w:rPr>
        <w:t xml:space="preserve"> (נבו 14.4.2022); ע"פ 2165/23 </w:t>
      </w:r>
      <w:r>
        <w:rPr>
          <w:rFonts w:ascii="David" w:cs="David" w:eastAsia="David" w:hAnsi="David"/>
          <w:b/>
          <w:bCs/>
          <w:sz w:val="20"/>
          <w:szCs w:val="20"/>
          <w:rtl/>
        </w:rPr>
        <w:t xml:space="preserve">מדינת ישראל נ' בלאל</w:t>
      </w:r>
      <w:r>
        <w:rPr>
          <w:rFonts w:ascii="David" w:cs="David" w:eastAsia="David" w:hAnsi="David"/>
          <w:sz w:val="20"/>
          <w:szCs w:val="20"/>
          <w:rtl/>
        </w:rPr>
        <w:t xml:space="preserve"> (נבו 4.5.2023); ע"פ 4406/19 </w:t>
      </w:r>
      <w:r>
        <w:rPr>
          <w:rFonts w:ascii="David" w:cs="David" w:eastAsia="David" w:hAnsi="David"/>
          <w:b/>
          <w:bCs/>
          <w:sz w:val="20"/>
          <w:szCs w:val="20"/>
          <w:rtl/>
        </w:rPr>
        <w:t xml:space="preserve">מדינת ישראל נ' סובח</w:t>
      </w:r>
      <w:r>
        <w:rPr>
          <w:rFonts w:ascii="David" w:cs="David" w:eastAsia="David" w:hAnsi="David"/>
          <w:sz w:val="20"/>
          <w:szCs w:val="20"/>
          <w:rtl/>
        </w:rPr>
        <w:t xml:space="preserve"> (נבו 5.11.2019).</w:t>
      </w:r>
    </w:p>
  </w:footnote>
  <w:footnote w:id="99">
    <w:p>
      <w:pPr>
        <w:bidi/>
        <w:spacing w:after="40" w:line="240"/>
        <w:jc w:val="both"/>
      </w:pPr>
      <w:r>
        <w:rPr>
          <w:rStyle w:val="FootnoteReference"/>
        </w:rPr>
        <w:footnoteRef/>
      </w:r>
      <w:r>
        <w:rPr>
          <w:rFonts w:ascii="David" w:cs="David" w:eastAsia="David" w:hAnsi="David"/>
          <w:sz w:val="20"/>
          <w:szCs w:val="20"/>
          <w:rtl/>
        </w:rPr>
        <w:t xml:space="preserve"> ת"פ (שלום חד') 34366-04-24 </w:t>
      </w:r>
      <w:r>
        <w:rPr>
          <w:rFonts w:ascii="David" w:cs="David" w:eastAsia="David" w:hAnsi="David"/>
          <w:b/>
          <w:bCs/>
          <w:sz w:val="20"/>
          <w:szCs w:val="20"/>
          <w:rtl/>
        </w:rPr>
        <w:t xml:space="preserve">מדינת ישראל נ' אוסיפוב</w:t>
      </w:r>
      <w:r>
        <w:rPr>
          <w:rFonts w:ascii="David" w:cs="David" w:eastAsia="David" w:hAnsi="David"/>
          <w:sz w:val="20"/>
          <w:szCs w:val="20"/>
          <w:rtl/>
        </w:rPr>
        <w:t xml:space="preserve"> (נבו 6.3.2025).</w:t>
      </w:r>
    </w:p>
  </w:footnote>
  <w:footnote w:id="10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w:t>
      </w:r>
    </w:p>
  </w:footnote>
  <w:footnote w:id="101">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2.</w:t>
      </w:r>
    </w:p>
  </w:footnote>
  <w:footnote w:id="102">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10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10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5">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106">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Natapoff‎</w:t>
      </w:r>
      <w:r>
        <w:rPr>
          <w:rFonts w:ascii="David" w:cs="David" w:eastAsia="David" w:hAnsi="David"/>
          <w:sz w:val="20"/>
          <w:szCs w:val="20"/>
          <w:rtl/>
        </w:rPr>
        <w:t xml:space="preserve">, לעיל ה"ש 32, בעמ' 1718-1719.</w:t>
      </w:r>
    </w:p>
  </w:footnote>
  <w:footnote w:id="10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31.</w:t>
      </w:r>
    </w:p>
  </w:footnote>
  <w:footnote w:id="10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 (תרשים 1).</w:t>
      </w:r>
    </w:p>
  </w:footnote>
  <w:footnote w:id="110">
    <w:p>
      <w:pPr>
        <w:bidi/>
        <w:spacing w:after="40" w:line="240"/>
        <w:jc w:val="both"/>
      </w:pPr>
      <w:r>
        <w:rPr>
          <w:rStyle w:val="FootnoteReference"/>
        </w:rPr>
        <w:footnoteRef/>
      </w:r>
      <w:r>
        <w:rPr>
          <w:rFonts w:ascii="David" w:cs="David" w:eastAsia="David" w:hAnsi="David"/>
          <w:sz w:val="20"/>
          <w:szCs w:val="20"/>
          <w:rtl/>
        </w:rPr>
        <w:t xml:space="preserve"> בג"ץ 1504/20 </w:t>
      </w:r>
      <w:r>
        <w:rPr>
          <w:rFonts w:ascii="David" w:cs="David" w:eastAsia="David" w:hAnsi="David"/>
          <w:b/>
          <w:bCs/>
          <w:sz w:val="20"/>
          <w:szCs w:val="20"/>
          <w:rtl/>
        </w:rPr>
        <w:t xml:space="preserve">אבו אלקיעאן נ' פרקליט המדינה</w:t>
      </w:r>
      <w:r>
        <w:rPr>
          <w:rFonts w:ascii="David" w:cs="David" w:eastAsia="David" w:hAnsi="David"/>
          <w:sz w:val="20"/>
          <w:szCs w:val="20"/>
          <w:rtl/>
        </w:rPr>
        <w:t xml:space="preserve">, פס' 7 לפסק דינו של השופט עמית (נבו 20.10.2021).</w:t>
      </w:r>
    </w:p>
  </w:footnote>
  <w:footnote w:id="111">
    <w:p>
      <w:pPr>
        <w:bidi/>
        <w:spacing w:after="40" w:line="240"/>
        <w:jc w:val="both"/>
      </w:pPr>
      <w:r>
        <w:rPr>
          <w:rStyle w:val="FootnoteReference"/>
        </w:rPr>
        <w:footnoteRef/>
      </w:r>
      <w:r>
        <w:rPr>
          <w:rFonts w:ascii="David" w:cs="David" w:eastAsia="David" w:hAnsi="David"/>
          <w:sz w:val="20"/>
          <w:szCs w:val="20"/>
          <w:rtl w:val="false"/>
        </w:rPr>
        <w:t xml:space="preserve"> Badi Hasisi, ‎</w:t>
      </w:r>
      <w:r>
        <w:rPr>
          <w:rFonts w:ascii="David" w:cs="David" w:eastAsia="David" w:hAnsi="David"/>
          <w:i/>
          <w:iCs/>
          <w:sz w:val="20"/>
          <w:szCs w:val="20"/>
          <w:rtl w:val="false"/>
        </w:rPr>
        <w:t xml:space="preserve">Police, Politics, and Culture in a Deeply Divided Society‎</w:t>
      </w:r>
      <w:r>
        <w:rPr>
          <w:rFonts w:ascii="David" w:cs="David" w:eastAsia="David" w:hAnsi="David"/>
          <w:sz w:val="20"/>
          <w:szCs w:val="20"/>
          <w:rtl w:val="false"/>
        </w:rPr>
        <w:t xml:space="preserve">, 98 J. CRIM. L. &amp; CRIMINOLOGY 1119, 1119 (2008).‎</w:t>
      </w:r>
    </w:p>
  </w:footnote>
  <w:footnote w:id="11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231-230.</w:t>
      </w:r>
    </w:p>
  </w:footnote>
  <w:footnote w:id="113">
    <w:p>
      <w:pPr>
        <w:bidi/>
        <w:spacing w:after="40" w:line="240"/>
        <w:jc w:val="both"/>
      </w:pPr>
      <w:r>
        <w:rPr>
          <w:rStyle w:val="FootnoteReference"/>
        </w:rPr>
        <w:footnoteRef/>
      </w:r>
      <w:r>
        <w:rPr>
          <w:rFonts w:ascii="David" w:cs="David" w:eastAsia="David" w:hAnsi="David"/>
          <w:sz w:val="20"/>
          <w:szCs w:val="20"/>
          <w:rtl/>
        </w:rPr>
        <w:t xml:space="preserve"> חסייסי וליטמנוביץ, לעיל ה"ש 33, בעמ' 124.</w:t>
      </w:r>
    </w:p>
  </w:footnote>
  <w:footnote w:id="114">
    <w:p>
      <w:pPr>
        <w:bidi/>
        <w:spacing w:after="40" w:line="240"/>
        <w:jc w:val="both"/>
      </w:pPr>
      <w:r>
        <w:rPr>
          <w:rStyle w:val="FootnoteReference"/>
        </w:rPr>
        <w:footnoteRef/>
      </w:r>
      <w:r>
        <w:rPr>
          <w:rFonts w:ascii="David" w:cs="David" w:eastAsia="David" w:hAnsi="David"/>
          <w:sz w:val="20"/>
          <w:szCs w:val="20"/>
          <w:rtl w:val="false"/>
        </w:rPr>
        <w:t xml:space="preserve"> Badi Hasisi &amp; Ronald Weitzer, ‎</w:t>
      </w:r>
      <w:r>
        <w:rPr>
          <w:rFonts w:ascii="David" w:cs="David" w:eastAsia="David" w:hAnsi="David"/>
          <w:i/>
          <w:iCs/>
          <w:sz w:val="20"/>
          <w:szCs w:val="20"/>
          <w:rtl w:val="false"/>
        </w:rPr>
        <w:t xml:space="preserve">Police Relations with Arabs and Jews in Israel‎</w:t>
      </w:r>
      <w:r>
        <w:rPr>
          <w:rFonts w:ascii="David" w:cs="David" w:eastAsia="David" w:hAnsi="David"/>
          <w:sz w:val="20"/>
          <w:szCs w:val="20"/>
          <w:rtl w:val="false"/>
        </w:rPr>
        <w:t xml:space="preserve">, 47 BRIT. J. CRIMINOLOGY 728, 731-732, 739, 741-742 (2007).‎</w:t>
      </w:r>
    </w:p>
  </w:footnote>
  <w:footnote w:id="115">
    <w:p>
      <w:pPr>
        <w:bidi/>
        <w:spacing w:after="40" w:line="240"/>
        <w:jc w:val="both"/>
      </w:pPr>
      <w:r>
        <w:rPr>
          <w:rStyle w:val="FootnoteReference"/>
        </w:rPr>
        <w:footnoteRef/>
      </w:r>
      <w:r>
        <w:rPr>
          <w:rFonts w:ascii="David" w:cs="David" w:eastAsia="David" w:hAnsi="David"/>
          <w:sz w:val="20"/>
          <w:szCs w:val="20"/>
          <w:rtl/>
        </w:rPr>
        <w:t xml:space="preserve"> רינת קיטאי סנג'רו </w:t>
      </w:r>
      <w:r>
        <w:rPr>
          <w:rFonts w:ascii="David" w:cs="David" w:eastAsia="David" w:hAnsi="David"/>
          <w:b/>
          <w:bCs/>
          <w:sz w:val="20"/>
          <w:szCs w:val="20"/>
          <w:rtl/>
        </w:rPr>
        <w:t xml:space="preserve">הזכות לאי-הפללה עצמית</w:t>
      </w:r>
      <w:r>
        <w:rPr>
          <w:rFonts w:ascii="David" w:cs="David" w:eastAsia="David" w:hAnsi="David"/>
          <w:sz w:val="20"/>
          <w:szCs w:val="20"/>
          <w:rtl w:val="false"/>
        </w:rPr>
        <w:t xml:space="preserve"> 275 (2026).</w:t>
      </w:r>
    </w:p>
  </w:footnote>
  <w:footnote w:id="116">
    <w:p>
      <w:pPr>
        <w:bidi/>
        <w:spacing w:after="40" w:line="240"/>
        <w:jc w:val="both"/>
      </w:pPr>
      <w:r>
        <w:rPr>
          <w:rStyle w:val="FootnoteReference"/>
        </w:rPr>
        <w:footnoteRef/>
      </w:r>
      <w:r>
        <w:rPr>
          <w:rFonts w:ascii="David" w:cs="David" w:eastAsia="David" w:hAnsi="David"/>
          <w:sz w:val="20"/>
          <w:szCs w:val="20"/>
          <w:rtl/>
        </w:rPr>
        <w:t xml:space="preserve"> אפרת פודם, אסף דרעי ושיר טולדנו "אם לא תמחק יבוא שוטר: דמותו של השוטר בחברה בראי מגמת תביעות הדיבה מצד שוטרים" </w:t>
      </w:r>
      <w:r>
        <w:rPr>
          <w:rFonts w:ascii="David" w:cs="David" w:eastAsia="David" w:hAnsi="David"/>
          <w:b/>
          <w:bCs/>
          <w:sz w:val="20"/>
          <w:szCs w:val="20"/>
          <w:rtl/>
        </w:rPr>
        <w:t xml:space="preserve">מעשי 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(2023).</w:t>
      </w:r>
    </w:p>
  </w:footnote>
  <w:footnote w:id="117">
    <w:p>
      <w:pPr>
        <w:bidi/>
        <w:spacing w:after="40" w:line="240"/>
        <w:jc w:val="both"/>
      </w:pPr>
      <w:r>
        <w:rPr>
          <w:rStyle w:val="FootnoteReference"/>
        </w:rPr>
        <w:footnoteRef/>
      </w:r>
      <w:r>
        <w:rPr>
          <w:rFonts w:ascii="David" w:cs="David" w:eastAsia="David" w:hAnsi="David"/>
          <w:sz w:val="20"/>
          <w:szCs w:val="20"/>
          <w:rtl/>
        </w:rPr>
        <w:t xml:space="preserve"> שי דרומי "מה המחיר של החופש להפגין? ההגנה על זכות ההפגנה בדיני הנזיקין"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כ 207, 234 (2025).</w:t>
      </w:r>
    </w:p>
  </w:footnote>
  <w:footnote w:id="118">
    <w:p>
      <w:pPr>
        <w:bidi/>
        <w:spacing w:after="40" w:line="240"/>
        <w:jc w:val="both"/>
      </w:pPr>
      <w:r>
        <w:rPr>
          <w:rStyle w:val="FootnoteReference"/>
        </w:rPr>
        <w:footnoteRef/>
      </w:r>
      <w:r>
        <w:rPr>
          <w:rFonts w:ascii="David" w:cs="David" w:eastAsia="David" w:hAnsi="David"/>
          <w:sz w:val="20"/>
          <w:szCs w:val="20"/>
          <w:rtl/>
        </w:rPr>
        <w:t xml:space="preserve"> דפנה ברק-ארז </w:t>
      </w:r>
      <w:r>
        <w:rPr>
          <w:rFonts w:ascii="David" w:cs="David" w:eastAsia="David" w:hAnsi="David"/>
          <w:b/>
          <w:bCs/>
          <w:sz w:val="20"/>
          <w:szCs w:val="20"/>
          <w:rtl/>
        </w:rPr>
        <w:t xml:space="preserve">משפט מינהלי</w:t>
      </w:r>
      <w:r>
        <w:rPr>
          <w:rFonts w:ascii="David" w:cs="David" w:eastAsia="David" w:hAnsi="David"/>
          <w:sz w:val="20"/>
          <w:szCs w:val="20"/>
          <w:rtl/>
        </w:rPr>
        <w:t xml:space="preserve"> כרך א 573 (2010); בג"ץ 64/91 </w:t>
      </w:r>
      <w:r>
        <w:rPr>
          <w:rFonts w:ascii="David" w:cs="David" w:eastAsia="David" w:hAnsi="David"/>
          <w:b/>
          <w:bCs/>
          <w:sz w:val="20"/>
          <w:szCs w:val="20"/>
          <w:rtl/>
        </w:rPr>
        <w:t xml:space="preserve">חילף נ' משטרת ישראל</w:t>
      </w:r>
      <w:r>
        <w:rPr>
          <w:rFonts w:ascii="David" w:cs="David" w:eastAsia="David" w:hAnsi="David"/>
          <w:sz w:val="20"/>
          <w:szCs w:val="20"/>
          <w:rtl/>
        </w:rPr>
        <w:t xml:space="preserve">, פ"ד מז(5) 653 (1993).</w:t>
      </w:r>
    </w:p>
  </w:footnote>
  <w:footnote w:id="119">
    <w:p>
      <w:pPr>
        <w:bidi/>
        <w:spacing w:after="40" w:line="240"/>
        <w:jc w:val="both"/>
      </w:pPr>
      <w:r>
        <w:rPr>
          <w:rStyle w:val="FootnoteReference"/>
        </w:rPr>
        <w:footnoteRef/>
      </w:r>
      <w:r>
        <w:rPr>
          <w:rFonts w:ascii="David" w:cs="David" w:eastAsia="David" w:hAnsi="David"/>
          <w:sz w:val="20"/>
          <w:szCs w:val="20"/>
          <w:rtl/>
        </w:rPr>
        <w:t xml:space="preserve"> ברק-ארז, לעיל ה"ש 118, בעמ' 574.</w:t>
      </w:r>
    </w:p>
  </w:footnote>
  <w:footnote w:id="120">
    <w:p>
      <w:pPr>
        <w:bidi/>
        <w:spacing w:after="40" w:line="240"/>
        <w:jc w:val="both"/>
      </w:pPr>
      <w:r>
        <w:rPr>
          <w:rStyle w:val="FootnoteReference"/>
        </w:rPr>
        <w:footnoteRef/>
      </w:r>
      <w:r>
        <w:rPr>
          <w:rFonts w:ascii="David" w:cs="David" w:eastAsia="David" w:hAnsi="David"/>
          <w:sz w:val="20"/>
          <w:szCs w:val="20"/>
          <w:rtl/>
        </w:rPr>
        <w:t xml:space="preserve"> אסף הרדוף "זכות מפלה ופריווילגיות של מדינה: חיסיון לטובת הציבור ונסיגה לטובת התקפה" </w:t>
      </w:r>
      <w:r>
        <w:rPr>
          <w:rFonts w:ascii="David" w:cs="David" w:eastAsia="David" w:hAnsi="David"/>
          <w:b/>
          <w:bCs/>
          <w:sz w:val="20"/>
          <w:szCs w:val="20"/>
          <w:rtl/>
        </w:rPr>
        <w:t xml:space="preserve">מחקרי 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(2023).</w:t>
      </w:r>
    </w:p>
  </w:footnote>
  <w:footnote w:id="121">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593.</w:t>
      </w:r>
    </w:p>
  </w:footnote>
  <w:footnote w:id="12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123">
    <w:p>
      <w:pPr>
        <w:bidi/>
        <w:spacing w:after="40" w:line="240"/>
        <w:jc w:val="both"/>
      </w:pPr>
      <w:r>
        <w:rPr>
          <w:rStyle w:val="FootnoteReference"/>
        </w:rPr>
        <w:footnoteRef/>
      </w:r>
      <w:r>
        <w:rPr>
          <w:rFonts w:ascii="David" w:cs="David" w:eastAsia="David" w:hAnsi="David"/>
          <w:sz w:val="20"/>
          <w:szCs w:val="20"/>
          <w:rtl/>
        </w:rPr>
        <w:t xml:space="preserve"> שם, בעמ' 152.</w:t>
      </w:r>
    </w:p>
  </w:footnote>
  <w:footnote w:id="124">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167, 167 (2020).</w:t>
      </w:r>
    </w:p>
  </w:footnote>
  <w:footnote w:id="12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26">
    <w:p>
      <w:pPr>
        <w:bidi/>
        <w:spacing w:after="40" w:line="240"/>
        <w:jc w:val="both"/>
      </w:pPr>
      <w:r>
        <w:rPr>
          <w:rStyle w:val="FootnoteReference"/>
        </w:rPr>
        <w:footnoteRef/>
      </w:r>
      <w:r>
        <w:rPr>
          <w:rFonts w:ascii="David" w:cs="David" w:eastAsia="David" w:hAnsi="David"/>
          <w:sz w:val="20"/>
          <w:szCs w:val="20"/>
          <w:rtl/>
        </w:rPr>
        <w:t xml:space="preserve"> שם, בעמ' 160-159.</w:t>
      </w:r>
    </w:p>
  </w:footnote>
  <w:footnote w:id="12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2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29">
    <w:p>
      <w:pPr>
        <w:bidi/>
        <w:spacing w:after="40" w:line="240"/>
        <w:jc w:val="both"/>
      </w:pPr>
      <w:r>
        <w:rPr>
          <w:rStyle w:val="FootnoteReference"/>
        </w:rPr>
        <w:footnoteRef/>
      </w:r>
      <w:r>
        <w:rPr>
          <w:rFonts w:ascii="David" w:cs="David" w:eastAsia="David" w:hAnsi="David"/>
          <w:sz w:val="20"/>
          <w:szCs w:val="20"/>
          <w:rt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247, 276 (2020).</w:t>
      </w:r>
    </w:p>
  </w:footnote>
  <w:footnote w:id="130">
    <w:p>
      <w:pPr>
        <w:bidi/>
        <w:spacing w:after="40" w:line="240"/>
        <w:jc w:val="both"/>
      </w:pPr>
      <w:r>
        <w:rPr>
          <w:rStyle w:val="FootnoteReference"/>
        </w:rPr>
        <w:footnoteRef/>
      </w:r>
      <w:r>
        <w:rPr>
          <w:rFonts w:ascii="David" w:cs="David" w:eastAsia="David" w:hAnsi="David"/>
          <w:sz w:val="20"/>
          <w:szCs w:val="20"/>
          <w:rtl/>
        </w:rPr>
        <w:t xml:space="preserve"> שם, בעמ' 277-276, 248.</w:t>
      </w:r>
    </w:p>
  </w:footnote>
  <w:footnote w:id="13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233.</w:t>
      </w:r>
    </w:p>
  </w:footnote>
  <w:footnote w:id="132">
    <w:p>
      <w:pPr>
        <w:bidi/>
        <w:spacing w:after="40" w:line="240"/>
        <w:jc w:val="both"/>
      </w:pPr>
      <w:r>
        <w:rPr>
          <w:rStyle w:val="FootnoteReference"/>
        </w:rPr>
        <w:footnoteRef/>
      </w:r>
      <w:r>
        <w:rPr>
          <w:rFonts w:ascii="David" w:cs="David" w:eastAsia="David" w:hAnsi="David"/>
          <w:sz w:val="20"/>
          <w:szCs w:val="20"/>
          <w:rtl/>
        </w:rPr>
        <w:t xml:space="preserve"> שם, בעמ' 238.</w:t>
      </w:r>
    </w:p>
  </w:footnote>
  <w:footnote w:id="133">
    <w:p>
      <w:pPr>
        <w:bidi/>
        <w:spacing w:after="40" w:line="240"/>
        <w:jc w:val="both"/>
      </w:pPr>
      <w:r>
        <w:rPr>
          <w:rStyle w:val="FootnoteReference"/>
        </w:rPr>
        <w:footnoteRef/>
      </w:r>
      <w:r>
        <w:rPr>
          <w:rFonts w:ascii="David" w:cs="David" w:eastAsia="David" w:hAnsi="David"/>
          <w:sz w:val="20"/>
          <w:szCs w:val="20"/>
          <w:rtl/>
        </w:rPr>
        <w:t xml:space="preserve"> שם, בעמ' 240, 236.</w:t>
      </w:r>
    </w:p>
  </w:footnote>
  <w:footnote w:id="134">
    <w:p>
      <w:pPr>
        <w:bidi/>
        <w:spacing w:after="40" w:line="240"/>
        <w:jc w:val="both"/>
      </w:pPr>
      <w:r>
        <w:rPr>
          <w:rStyle w:val="FootnoteReference"/>
        </w:rPr>
        <w:footnoteRef/>
      </w:r>
      <w:r>
        <w:rPr>
          <w:rFonts w:ascii="David" w:cs="David" w:eastAsia="David" w:hAnsi="David"/>
          <w:sz w:val="20"/>
          <w:szCs w:val="20"/>
          <w:rtl/>
        </w:rPr>
        <w:t xml:space="preserve"> שם, בעמ' 239.</w:t>
      </w:r>
    </w:p>
  </w:footnote>
  <w:footnote w:id="13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152.</w:t>
      </w:r>
    </w:p>
  </w:footnote>
  <w:footnote w:id="136">
    <w:p>
      <w:pPr>
        <w:bidi/>
        <w:spacing w:after="40" w:line="240"/>
        <w:jc w:val="both"/>
      </w:pPr>
      <w:r>
        <w:rPr>
          <w:rStyle w:val="FootnoteReference"/>
        </w:rPr>
        <w:footnoteRef/>
      </w:r>
      <w:r>
        <w:rPr>
          <w:rFonts w:ascii="David" w:cs="David" w:eastAsia="David" w:hAnsi="David"/>
          <w:sz w:val="20"/>
          <w:szCs w:val="20"/>
          <w:rtl/>
        </w:rPr>
        <w:t xml:space="preserve"> שם, בעמ' 163.</w:t>
      </w:r>
    </w:p>
  </w:footnote>
  <w:footnote w:id="13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13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39">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40">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41">
    <w:p>
      <w:pPr>
        <w:bidi/>
        <w:spacing w:after="40" w:line="240"/>
        <w:jc w:val="both"/>
      </w:pPr>
      <w:r>
        <w:rPr>
          <w:rStyle w:val="FootnoteReference"/>
        </w:rPr>
        <w:footnoteRef/>
      </w:r>
      <w:r>
        <w:rPr>
          <w:rFonts w:ascii="David" w:cs="David" w:eastAsia="David" w:hAnsi="David"/>
          <w:sz w:val="20"/>
          <w:szCs w:val="20"/>
          <w:rt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283, 305, 302 (2020).</w:t>
      </w:r>
    </w:p>
  </w:footnote>
  <w:footnote w:id="142">
    <w:p>
      <w:pPr>
        <w:bidi/>
        <w:spacing w:after="40" w:line="240"/>
        <w:jc w:val="both"/>
      </w:pPr>
      <w:r>
        <w:rPr>
          <w:rStyle w:val="FootnoteReference"/>
        </w:rPr>
        <w:footnoteRef/>
      </w:r>
      <w:r>
        <w:rPr>
          <w:rFonts w:ascii="David" w:cs="David" w:eastAsia="David" w:hAnsi="David"/>
          <w:sz w:val="20"/>
          <w:szCs w:val="20"/>
          <w:rtl/>
        </w:rPr>
        <w:t xml:space="preserve"> שם, בעמ' 304, 302.</w:t>
      </w:r>
    </w:p>
  </w:footnote>
  <w:footnote w:id="143">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129, בעמ' 279; וייסבורד ואחרים "סל עבירות פע"ר", לעיל ה"ש 124, בעמ' 167.</w:t>
      </w:r>
    </w:p>
  </w:footnote>
  <w:footnote w:id="144">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243.</w:t>
      </w:r>
    </w:p>
  </w:footnote>
  <w:footnote w:id="14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146">
    <w:p>
      <w:pPr>
        <w:bidi/>
        <w:spacing w:after="40" w:line="240"/>
        <w:jc w:val="both"/>
      </w:pPr>
      <w:r>
        <w:rPr>
          <w:rStyle w:val="FootnoteReference"/>
        </w:rPr>
        <w:footnoteRef/>
      </w:r>
      <w:r>
        <w:rPr>
          <w:rFonts w:ascii="David" w:cs="David" w:eastAsia="David" w:hAnsi="David"/>
          <w:sz w:val="20"/>
          <w:szCs w:val="20"/>
          <w:rtl w:val="false"/>
        </w:rPr>
        <w:t xml:space="preserve"> Home Office, Police and Criminal Evidence Act 1984 Code A: Revised Code of Practice for the Exercise by Police Officers of Statutory Powers of Stop and Search, para. 1.1 (2023).‎</w:t>
      </w:r>
    </w:p>
  </w:footnote>
  <w:footnote w:id="147">
    <w:p>
      <w:pPr>
        <w:bidi/>
        <w:spacing w:after="40" w:line="240"/>
        <w:jc w:val="both"/>
      </w:pPr>
      <w:r>
        <w:rPr>
          <w:rStyle w:val="FootnoteReference"/>
        </w:rPr>
        <w:footnoteRef/>
      </w:r>
      <w:r>
        <w:rPr>
          <w:rFonts w:ascii="David" w:cs="David" w:eastAsia="David" w:hAnsi="David"/>
          <w:sz w:val="20"/>
          <w:szCs w:val="20"/>
          <w:rtl w:val="false"/>
        </w:rPr>
        <w:t xml:space="preserve"> U.S. CONST. amend. IV.‎</w:t>
      </w:r>
    </w:p>
  </w:footnote>
  <w:footnote w:id="14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Terry v. Ohio‎</w:t>
      </w:r>
      <w:r>
        <w:rPr>
          <w:rFonts w:ascii="David" w:cs="David" w:eastAsia="David" w:hAnsi="David"/>
          <w:sz w:val="20"/>
          <w:szCs w:val="20"/>
          <w:rtl w:val="false"/>
        </w:rPr>
        <w:t xml:space="preserve">, 392 U.S. 1, 21, 27 (1968).‎</w:t>
      </w:r>
    </w:p>
  </w:footnote>
  <w:footnote w:id="14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Brown v. Texas‎</w:t>
      </w:r>
      <w:r>
        <w:rPr>
          <w:rFonts w:ascii="David" w:cs="David" w:eastAsia="David" w:hAnsi="David"/>
          <w:sz w:val="20"/>
          <w:szCs w:val="20"/>
          <w:rtl w:val="false"/>
        </w:rPr>
        <w:t xml:space="preserve">, 443 U.S. 47 (1979).‎</w:t>
      </w:r>
    </w:p>
  </w:footnote>
  <w:footnote w:id="15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Mendenhall‎</w:t>
      </w:r>
      <w:r>
        <w:rPr>
          <w:rFonts w:ascii="David" w:cs="David" w:eastAsia="David" w:hAnsi="David"/>
          <w:sz w:val="20"/>
          <w:szCs w:val="20"/>
          <w:rtl w:val="false"/>
        </w:rPr>
        <w:t xml:space="preserve">, 446 U.S. 544, 554 (1980).‎</w:t>
      </w:r>
    </w:p>
  </w:footnote>
  <w:footnote w:id="15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Miranda v. Arizona‎</w:t>
      </w:r>
      <w:r>
        <w:rPr>
          <w:rFonts w:ascii="David" w:cs="David" w:eastAsia="David" w:hAnsi="David"/>
          <w:sz w:val="20"/>
          <w:szCs w:val="20"/>
          <w:rtl/>
        </w:rPr>
        <w:t xml:space="preserve">, </w:t>
      </w:r>
      <w:r>
        <w:rPr>
          <w:rFonts w:ascii="David" w:cs="David" w:eastAsia="David" w:hAnsi="David"/>
          <w:sz w:val="20"/>
          <w:szCs w:val="20"/>
          <w:rtl w:val="false"/>
        </w:rPr>
        <w:t xml:space="preserve">384 U.S. 436 (1966)‎</w:t>
      </w:r>
      <w:r>
        <w:rPr>
          <w:rFonts w:ascii="David" w:cs="David" w:eastAsia="David" w:hAnsi="David"/>
          <w:sz w:val="20"/>
          <w:szCs w:val="20"/>
          <w:rtl/>
        </w:rPr>
        <w:t xml:space="preserve">; קיטאי סנג'רו, לעיל ה"ש 115, בעמ' 272.</w:t>
      </w:r>
    </w:p>
  </w:footnote>
  <w:footnote w:id="15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Whren v. United States‎</w:t>
      </w:r>
      <w:r>
        <w:rPr>
          <w:rFonts w:ascii="David" w:cs="David" w:eastAsia="David" w:hAnsi="David"/>
          <w:sz w:val="20"/>
          <w:szCs w:val="20"/>
          <w:rtl w:val="false"/>
        </w:rPr>
        <w:t xml:space="preserve">, 517 U.S. 806, 813 (1996).‎</w:t>
      </w:r>
    </w:p>
  </w:footnote>
  <w:footnote w:id="15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Illinois v. Wardlow‎</w:t>
      </w:r>
      <w:r>
        <w:rPr>
          <w:rFonts w:ascii="David" w:cs="David" w:eastAsia="David" w:hAnsi="David"/>
          <w:sz w:val="20"/>
          <w:szCs w:val="20"/>
          <w:rtl w:val="false"/>
        </w:rPr>
        <w:t xml:space="preserve">, 528 U.S. 119, 124 (2000).‎</w:t>
      </w:r>
    </w:p>
  </w:footnote>
  <w:footnote w:id="15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Armstrong‎</w:t>
      </w:r>
      <w:r>
        <w:rPr>
          <w:rFonts w:ascii="David" w:cs="David" w:eastAsia="David" w:hAnsi="David"/>
          <w:sz w:val="20"/>
          <w:szCs w:val="20"/>
          <w:rtl w:val="false"/>
        </w:rPr>
        <w:t xml:space="preserve">, 517 U.S. 456, 465 (1996).‎</w:t>
      </w:r>
    </w:p>
  </w:footnote>
  <w:footnote w:id="155">
    <w:p>
      <w:pPr>
        <w:bidi/>
        <w:spacing w:after="40" w:line="240"/>
        <w:jc w:val="both"/>
      </w:pPr>
      <w:r>
        <w:rPr>
          <w:rStyle w:val="FootnoteReference"/>
        </w:rPr>
        <w:footnoteRef/>
      </w:r>
      <w:r>
        <w:rPr>
          <w:rFonts w:ascii="David" w:cs="David" w:eastAsia="David" w:hAnsi="David"/>
          <w:sz w:val="20"/>
          <w:szCs w:val="20"/>
          <w:rtl w:val="false"/>
        </w:rPr>
        <w:t xml:space="preserve"> U.S. Department of Justice, Civil Rights Division, Investigation of the Ferguson Police Department 2, 4 (2015).‎</w:t>
      </w:r>
    </w:p>
  </w:footnote>
  <w:footnote w:id="156">
    <w:p>
      <w:pPr>
        <w:bidi/>
        <w:spacing w:after="40" w:line="240"/>
        <w:jc w:val="both"/>
      </w:pPr>
      <w:r>
        <w:rPr>
          <w:rStyle w:val="FootnoteReference"/>
        </w:rPr>
        <w:footnoteRef/>
      </w:r>
      <w:r>
        <w:rPr>
          <w:rFonts w:ascii="David" w:cs="David" w:eastAsia="David" w:hAnsi="David"/>
          <w:sz w:val="20"/>
          <w:szCs w:val="20"/>
          <w:rtl w:val="false"/>
        </w:rPr>
        <w:t xml:space="preserve"> 42 U.S.C. § 1983; ‎</w:t>
      </w:r>
      <w:r>
        <w:rPr>
          <w:rFonts w:ascii="David" w:cs="David" w:eastAsia="David" w:hAnsi="David"/>
          <w:i/>
          <w:iCs/>
          <w:sz w:val="20"/>
          <w:szCs w:val="20"/>
          <w:rtl w:val="false"/>
        </w:rPr>
        <w:t xml:space="preserve">Monell v. Department of Social Services‎</w:t>
      </w:r>
      <w:r>
        <w:rPr>
          <w:rFonts w:ascii="David" w:cs="David" w:eastAsia="David" w:hAnsi="David"/>
          <w:sz w:val="20"/>
          <w:szCs w:val="20"/>
          <w:rtl w:val="false"/>
        </w:rPr>
        <w:t xml:space="preserve">, 436 U.S. 658, 694 (1978).‎</w:t>
      </w:r>
    </w:p>
  </w:footnote>
  <w:footnote w:id="157">
    <w:p>
      <w:pPr>
        <w:bidi/>
        <w:spacing w:after="40" w:line="240"/>
        <w:jc w:val="both"/>
      </w:pPr>
      <w:r>
        <w:rPr>
          <w:rStyle w:val="FootnoteReference"/>
        </w:rPr>
        <w:footnoteRef/>
      </w:r>
      <w:r>
        <w:rPr>
          <w:rFonts w:ascii="David" w:cs="David" w:eastAsia="David" w:hAnsi="David"/>
          <w:sz w:val="20"/>
          <w:szCs w:val="20"/>
          <w:rtl w:val="false"/>
        </w:rPr>
        <w:t xml:space="preserve"> 34 U.S.C. § 12601.‎</w:t>
      </w:r>
    </w:p>
  </w:footnote>
  <w:footnote w:id="158">
    <w:p>
      <w:pPr>
        <w:bidi/>
        <w:spacing w:after="40" w:line="240"/>
        <w:jc w:val="both"/>
      </w:pPr>
      <w:r>
        <w:rPr>
          <w:rStyle w:val="FootnoteReference"/>
        </w:rPr>
        <w:footnoteRef/>
      </w:r>
      <w:r>
        <w:rPr>
          <w:rFonts w:ascii="David" w:cs="David" w:eastAsia="David" w:hAnsi="David"/>
          <w:sz w:val="20"/>
          <w:szCs w:val="20"/>
          <w:rtl w:val="false"/>
        </w:rPr>
        <w:t xml:space="preserve"> Statement of Interest of the United States at 5, ‎</w:t>
      </w:r>
      <w:r>
        <w:rPr>
          <w:rFonts w:ascii="David" w:cs="David" w:eastAsia="David" w:hAnsi="David"/>
          <w:i/>
          <w:iCs/>
          <w:sz w:val="20"/>
          <w:szCs w:val="20"/>
          <w:rtl w:val="false"/>
        </w:rPr>
        <w:t xml:space="preserve">Floyd v. City of New York‎</w:t>
      </w:r>
      <w:r>
        <w:rPr>
          <w:rFonts w:ascii="David" w:cs="David" w:eastAsia="David" w:hAnsi="David"/>
          <w:sz w:val="20"/>
          <w:szCs w:val="20"/>
          <w:rtl w:val="false"/>
        </w:rPr>
        <w:t xml:space="preserve">, No. 08-cv-01034 (S.D.N.Y. June 12, 2013).‎</w:t>
      </w:r>
    </w:p>
  </w:footnote>
  <w:footnote w:id="15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DeShaney v. Winnebago County Department of Social Services‎</w:t>
      </w:r>
      <w:r>
        <w:rPr>
          <w:rFonts w:ascii="David" w:cs="David" w:eastAsia="David" w:hAnsi="David"/>
          <w:sz w:val="20"/>
          <w:szCs w:val="20"/>
          <w:rtl w:val="false"/>
        </w:rPr>
        <w:t xml:space="preserve">, 489 U.S. 189, 196 (1989).‎</w:t>
      </w:r>
    </w:p>
  </w:footnote>
  <w:footnote w:id="16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Town of Castle Rock v. Gonzales‎</w:t>
      </w:r>
      <w:r>
        <w:rPr>
          <w:rFonts w:ascii="David" w:cs="David" w:eastAsia="David" w:hAnsi="David"/>
          <w:sz w:val="20"/>
          <w:szCs w:val="20"/>
          <w:rtl w:val="false"/>
        </w:rPr>
        <w:t xml:space="preserve">, 545 U.S. 748, 768 (2005).‎</w:t>
      </w:r>
    </w:p>
  </w:footnote>
  <w:footnote w:id="16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White v. Beasley‎</w:t>
      </w:r>
      <w:r>
        <w:rPr>
          <w:rFonts w:ascii="David" w:cs="David" w:eastAsia="David" w:hAnsi="David"/>
          <w:sz w:val="20"/>
          <w:szCs w:val="20"/>
          <w:rtl w:val="false"/>
        </w:rPr>
        <w:t xml:space="preserve">, 453 Mich. 308 (1996); ‎</w:t>
      </w:r>
      <w:r>
        <w:rPr>
          <w:rFonts w:ascii="David" w:cs="David" w:eastAsia="David" w:hAnsi="David"/>
          <w:i/>
          <w:iCs/>
          <w:sz w:val="20"/>
          <w:szCs w:val="20"/>
          <w:rtl w:val="false"/>
        </w:rPr>
        <w:t xml:space="preserve">Cuffy v. City of New York‎</w:t>
      </w:r>
      <w:r>
        <w:rPr>
          <w:rFonts w:ascii="David" w:cs="David" w:eastAsia="David" w:hAnsi="David"/>
          <w:sz w:val="20"/>
          <w:szCs w:val="20"/>
          <w:rtl/>
        </w:rPr>
        <w:t xml:space="preserve">, </w:t>
      </w:r>
      <w:r>
        <w:rPr>
          <w:rFonts w:ascii="David" w:cs="David" w:eastAsia="David" w:hAnsi="David"/>
          <w:sz w:val="20"/>
          <w:szCs w:val="20"/>
          <w:rtl w:val="false"/>
        </w:rPr>
        <w:t xml:space="preserve">69 N.Y.2d 255 (1987)‎</w:t>
      </w:r>
      <w:r>
        <w:rPr>
          <w:rFonts w:ascii="David" w:cs="David" w:eastAsia="David" w:hAnsi="David"/>
          <w:sz w:val="20"/>
          <w:szCs w:val="20"/>
          <w:rtl/>
        </w:rPr>
        <w:t xml:space="preserve">; בעז סגל "נזיקין של רשויות במבט השוואתי: הפיצוי הנזיקי – מטרה או אמצעי?" </w:t>
      </w:r>
      <w:r>
        <w:rPr>
          <w:rFonts w:ascii="David" w:cs="David" w:eastAsia="David" w:hAnsi="David"/>
          <w:b/>
          <w:bCs/>
          <w:sz w:val="20"/>
          <w:szCs w:val="20"/>
          <w:rtl/>
        </w:rPr>
        <w:t xml:space="preserve">הפרקליט</w:t>
      </w:r>
      <w:r>
        <w:rPr>
          <w:rFonts w:ascii="David" w:cs="David" w:eastAsia="David" w:hAnsi="David"/>
          <w:sz w:val="20"/>
          <w:szCs w:val="20"/>
          <w:rtl/>
        </w:rPr>
        <w:t xml:space="preserve"> נו 111, 163-162 (התשפ"ד).</w:t>
      </w:r>
    </w:p>
  </w:footnote>
  <w:footnote w:id="162">
    <w:p>
      <w:pPr>
        <w:bidi/>
        <w:spacing w:after="40" w:line="240"/>
        <w:jc w:val="both"/>
      </w:pPr>
      <w:r>
        <w:rPr>
          <w:rStyle w:val="FootnoteReference"/>
        </w:rPr>
        <w:footnoteRef/>
      </w:r>
      <w:r>
        <w:rPr>
          <w:rFonts w:ascii="David" w:cs="David" w:eastAsia="David" w:hAnsi="David"/>
          <w:sz w:val="20"/>
          <w:szCs w:val="20"/>
          <w:rtl/>
        </w:rPr>
        <w:t xml:space="preserve"> סגל, לעיל ה"ש 161, בעמ' 155.</w:t>
      </w:r>
    </w:p>
  </w:footnote>
  <w:footnote w:id="163">
    <w:p>
      <w:pPr>
        <w:bidi/>
        <w:spacing w:after="40" w:line="240"/>
        <w:jc w:val="both"/>
      </w:pPr>
      <w:r>
        <w:rPr>
          <w:rStyle w:val="FootnoteReference"/>
        </w:rPr>
        <w:footnoteRef/>
      </w:r>
      <w:r>
        <w:rPr>
          <w:rFonts w:ascii="David" w:cs="David" w:eastAsia="David" w:hAnsi="David"/>
          <w:sz w:val="20"/>
          <w:szCs w:val="20"/>
          <w:rtl/>
        </w:rPr>
        <w:t xml:space="preserve"> ישראל גלעד </w:t>
      </w:r>
      <w:r>
        <w:rPr>
          <w:rFonts w:ascii="David" w:cs="David" w:eastAsia="David" w:hAnsi="David"/>
          <w:b/>
          <w:bCs/>
          <w:sz w:val="20"/>
          <w:szCs w:val="20"/>
          <w:rtl/>
        </w:rPr>
        <w:t xml:space="preserve">דיני נזיקין: גבולות האחריות</w:t>
      </w:r>
      <w:r>
        <w:rPr>
          <w:rFonts w:ascii="David" w:cs="David" w:eastAsia="David" w:hAnsi="David"/>
          <w:sz w:val="20"/>
          <w:szCs w:val="20"/>
          <w:rtl/>
        </w:rPr>
        <w:t xml:space="preserve"> כרך ב 1069 (2012).</w:t>
      </w:r>
    </w:p>
  </w:footnote>
  <w:footnote w:id="16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 1 (UK).‎</w:t>
      </w:r>
    </w:p>
  </w:footnote>
  <w:footnote w:id="16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Criminal Justice and Public Order Act 1994‎</w:t>
      </w:r>
      <w:r>
        <w:rPr>
          <w:rFonts w:ascii="David" w:cs="David" w:eastAsia="David" w:hAnsi="David"/>
          <w:sz w:val="20"/>
          <w:szCs w:val="20"/>
          <w:rtl w:val="false"/>
        </w:rPr>
        <w:t xml:space="preserve">, c. 33, s. 60 (UK).‎</w:t>
      </w:r>
    </w:p>
  </w:footnote>
  <w:footnote w:id="16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146, בפס' </w:t>
      </w:r>
      <w:r>
        <w:rPr>
          <w:rFonts w:ascii="David" w:cs="David" w:eastAsia="David" w:hAnsi="David"/>
          <w:sz w:val="20"/>
          <w:szCs w:val="20"/>
          <w:rtl w:val="false"/>
        </w:rPr>
        <w:t xml:space="preserve">2.2B.‎</w:t>
      </w:r>
    </w:p>
  </w:footnote>
  <w:footnote w:id="16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Equality Act 2010‎</w:t>
      </w:r>
      <w:r>
        <w:rPr>
          <w:rFonts w:ascii="David" w:cs="David" w:eastAsia="David" w:hAnsi="David"/>
          <w:sz w:val="20"/>
          <w:szCs w:val="20"/>
          <w:rtl w:val="false"/>
        </w:rPr>
        <w:t xml:space="preserve">, c. 15, s. 149 (UK).‎</w:t>
      </w:r>
    </w:p>
  </w:footnote>
  <w:footnote w:id="16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146, בפס' 5.1-5.4.</w:t>
      </w:r>
    </w:p>
  </w:footnote>
  <w:footnote w:id="16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ss. 2-3 (UK).‎</w:t>
      </w:r>
    </w:p>
  </w:footnote>
  <w:footnote w:id="170">
    <w:p>
      <w:pPr>
        <w:bidi/>
        <w:spacing w:after="40" w:line="240"/>
        <w:jc w:val="both"/>
      </w:pPr>
      <w:r>
        <w:rPr>
          <w:rStyle w:val="FootnoteReference"/>
        </w:rPr>
        <w:footnoteRef/>
      </w:r>
      <w:r>
        <w:rPr>
          <w:rFonts w:ascii="David" w:cs="David" w:eastAsia="David" w:hAnsi="David"/>
          <w:sz w:val="20"/>
          <w:szCs w:val="20"/>
          <w:rtl w:val="false"/>
        </w:rPr>
        <w:t xml:space="preserve"> The Stephen Lawrence Inquiry: Report of an Inquiry by Sir William Macpherson of Cluny, Cm 4262-I, para. 6.34 (1999).‎</w:t>
      </w:r>
    </w:p>
  </w:footnote>
  <w:footnote w:id="171">
    <w:p>
      <w:pPr>
        <w:bidi/>
        <w:spacing w:after="40" w:line="240"/>
        <w:jc w:val="both"/>
      </w:pPr>
      <w:r>
        <w:rPr>
          <w:rStyle w:val="FootnoteReference"/>
        </w:rPr>
        <w:footnoteRef/>
      </w:r>
      <w:r>
        <w:rPr>
          <w:rFonts w:ascii="David" w:cs="David" w:eastAsia="David" w:hAnsi="David"/>
          <w:sz w:val="20"/>
          <w:szCs w:val="20"/>
          <w:rtl/>
        </w:rPr>
        <w:t xml:space="preserve"> שם, בהמלצה 61.</w:t>
      </w:r>
    </w:p>
  </w:footnote>
  <w:footnote w:id="17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 (Roberts) v. Commissioner of Police of the Metropolis‎</w:t>
      </w:r>
      <w:r>
        <w:rPr>
          <w:rFonts w:ascii="David" w:cs="David" w:eastAsia="David" w:hAnsi="David"/>
          <w:sz w:val="20"/>
          <w:szCs w:val="20"/>
          <w:rtl w:val="false"/>
        </w:rPr>
        <w:t xml:space="preserve"> [2015] UKSC 79, [41-45].‎</w:t>
      </w:r>
    </w:p>
  </w:footnote>
  <w:footnote w:id="173">
    <w:p>
      <w:pPr>
        <w:bidi/>
        <w:spacing w:after="40" w:line="240"/>
        <w:jc w:val="both"/>
      </w:pPr>
      <w:r>
        <w:rPr>
          <w:rStyle w:val="FootnoteReference"/>
        </w:rPr>
        <w:footnoteRef/>
      </w:r>
      <w:r>
        <w:rPr>
          <w:rFonts w:ascii="David" w:cs="David" w:eastAsia="David" w:hAnsi="David"/>
          <w:sz w:val="20"/>
          <w:szCs w:val="20"/>
          <w:rtl/>
        </w:rPr>
        <w:t xml:space="preserve"> שם, בפס' 46.</w:t>
      </w:r>
    </w:p>
  </w:footnote>
  <w:footnote w:id="174">
    <w:p>
      <w:pPr>
        <w:bidi/>
        <w:spacing w:after="40" w:line="240"/>
        <w:jc w:val="both"/>
      </w:pPr>
      <w:r>
        <w:rPr>
          <w:rStyle w:val="FootnoteReference"/>
        </w:rPr>
        <w:footnoteRef/>
      </w:r>
      <w:r>
        <w:rPr>
          <w:rFonts w:ascii="David" w:cs="David" w:eastAsia="David" w:hAnsi="David"/>
          <w:sz w:val="20"/>
          <w:szCs w:val="20"/>
          <w:rtl w:val="false"/>
        </w:rPr>
        <w:t xml:space="preserve"> HM Inspectorate of Constabulary and Fire &amp; Rescue Services, Disproportionate Use of Police Powers: A Spotlight on Stop and Search and the Use of Force 5-6 (2021).‎</w:t>
      </w:r>
    </w:p>
  </w:footnote>
  <w:footnote w:id="175">
    <w:p>
      <w:pPr>
        <w:bidi/>
        <w:spacing w:after="40" w:line="240"/>
        <w:jc w:val="both"/>
      </w:pPr>
      <w:r>
        <w:rPr>
          <w:rStyle w:val="FootnoteReference"/>
        </w:rPr>
        <w:footnoteRef/>
      </w:r>
      <w:r>
        <w:rPr>
          <w:rFonts w:ascii="David" w:cs="David" w:eastAsia="David" w:hAnsi="David"/>
          <w:sz w:val="20"/>
          <w:szCs w:val="20"/>
          <w:rtl w:val="false"/>
        </w:rPr>
        <w:t xml:space="preserve"> Paul Dawson, Anthony DuGuay, Ryan Flanagan &amp; Abigail McNeill, Investigating Disproportionality in Stop and Search in London 8 (2026).‎</w:t>
      </w:r>
    </w:p>
  </w:footnote>
  <w:footnote w:id="176">
    <w:p>
      <w:pPr>
        <w:bidi/>
        <w:spacing w:after="40" w:line="240"/>
        <w:jc w:val="both"/>
      </w:pPr>
      <w:r>
        <w:rPr>
          <w:rStyle w:val="FootnoteReference"/>
        </w:rPr>
        <w:footnoteRef/>
      </w:r>
      <w:r>
        <w:rPr>
          <w:rFonts w:ascii="David" w:cs="David" w:eastAsia="David" w:hAnsi="David"/>
          <w:sz w:val="20"/>
          <w:szCs w:val="20"/>
          <w:rtl w:val="false"/>
        </w:rPr>
        <w:t xml:space="preserve"> David Lammy, The Lammy Review: An Independent Review into the Treatment of, and Outcomes for, Black, Asian and Minority Ethnic Individuals in the Criminal Justice System 14 (2017).‎</w:t>
      </w:r>
    </w:p>
  </w:footnote>
  <w:footnote w:id="177">
    <w:p>
      <w:pPr>
        <w:bidi/>
        <w:spacing w:after="40" w:line="240"/>
        <w:jc w:val="both"/>
      </w:pPr>
      <w:r>
        <w:rPr>
          <w:rStyle w:val="FootnoteReference"/>
        </w:rPr>
        <w:footnoteRef/>
      </w:r>
      <w:r>
        <w:rPr>
          <w:rFonts w:ascii="David" w:cs="David" w:eastAsia="David" w:hAnsi="David"/>
          <w:sz w:val="20"/>
          <w:szCs w:val="20"/>
          <w:rtl/>
        </w:rPr>
        <w:t xml:space="preserve"> סגל, לעיל ה"ש 161, בעמ' 132-131; </w:t>
      </w:r>
      <w:r>
        <w:rPr>
          <w:rFonts w:ascii="David" w:cs="David" w:eastAsia="David" w:hAnsi="David"/>
          <w:i/>
          <w:iCs/>
          <w:sz w:val="20"/>
          <w:szCs w:val="20"/>
          <w:rtl w:val="false"/>
        </w:rPr>
        <w:t xml:space="preserve">Hill v. Chief Constable of West Yorkshire‎</w:t>
      </w:r>
      <w:r>
        <w:rPr>
          <w:rFonts w:ascii="David" w:cs="David" w:eastAsia="David" w:hAnsi="David"/>
          <w:sz w:val="20"/>
          <w:szCs w:val="20"/>
          <w:rtl w:val="false"/>
        </w:rPr>
        <w:t xml:space="preserve"> [1989] AC 53 (HL).‎</w:t>
      </w:r>
    </w:p>
  </w:footnote>
  <w:footnote w:id="178">
    <w:p>
      <w:pPr>
        <w:bidi/>
        <w:spacing w:after="40" w:line="240"/>
        <w:jc w:val="both"/>
      </w:pPr>
      <w:r>
        <w:rPr>
          <w:rStyle w:val="FootnoteReference"/>
        </w:rPr>
        <w:footnoteRef/>
      </w:r>
      <w:r>
        <w:rPr>
          <w:rFonts w:ascii="David" w:cs="David" w:eastAsia="David" w:hAnsi="David"/>
          <w:sz w:val="20"/>
          <w:szCs w:val="20"/>
          <w:rtl/>
        </w:rPr>
        <w:t xml:space="preserve"> גלעד, לעיל ה"ש 163, בעמ' 1089-1086.</w:t>
      </w:r>
    </w:p>
  </w:footnote>
  <w:footnote w:id="17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Rigby v. Chief Constable of Northamptonshire‎</w:t>
      </w:r>
      <w:r>
        <w:rPr>
          <w:rFonts w:ascii="David" w:cs="David" w:eastAsia="David" w:hAnsi="David"/>
          <w:sz w:val="20"/>
          <w:szCs w:val="20"/>
          <w:rtl/>
        </w:rPr>
        <w:t xml:space="preserve"> </w:t>
      </w:r>
      <w:r>
        <w:rPr>
          <w:rFonts w:ascii="David" w:cs="David" w:eastAsia="David" w:hAnsi="David"/>
          <w:sz w:val="20"/>
          <w:szCs w:val="20"/>
          <w:rtl w:val="false"/>
        </w:rPr>
        <w:t xml:space="preserve">[1985] 1 WLR 1242 (QB)‎</w:t>
      </w:r>
      <w:r>
        <w:rPr>
          <w:rFonts w:ascii="David" w:cs="David" w:eastAsia="David" w:hAnsi="David"/>
          <w:sz w:val="20"/>
          <w:szCs w:val="20"/>
          <w:rtl/>
        </w:rPr>
        <w:t xml:space="preserve">; גלעד, לעיל ה"ש 163, בעמ' 1085.</w:t>
      </w:r>
    </w:p>
  </w:footnote>
  <w:footnote w:id="18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Kirkham v. Chief Constable of the Greater Manchester Police‎</w:t>
      </w:r>
      <w:r>
        <w:rPr>
          <w:rFonts w:ascii="David" w:cs="David" w:eastAsia="David" w:hAnsi="David"/>
          <w:sz w:val="20"/>
          <w:szCs w:val="20"/>
          <w:rtl/>
        </w:rPr>
        <w:t xml:space="preserve"> </w:t>
      </w:r>
      <w:r>
        <w:rPr>
          <w:rFonts w:ascii="David" w:cs="David" w:eastAsia="David" w:hAnsi="David"/>
          <w:sz w:val="20"/>
          <w:szCs w:val="20"/>
          <w:rtl w:val="false"/>
        </w:rPr>
        <w:t xml:space="preserve">[1990] 2 WLR 987 (CA)‎</w:t>
      </w:r>
      <w:r>
        <w:rPr>
          <w:rFonts w:ascii="David" w:cs="David" w:eastAsia="David" w:hAnsi="David"/>
          <w:sz w:val="20"/>
          <w:szCs w:val="20"/>
          <w:rtl/>
        </w:rPr>
        <w:t xml:space="preserve">; סגל, לעיל ה"ש 161, בעמ' 181.</w:t>
      </w:r>
    </w:p>
  </w:footnote>
  <w:footnote w:id="18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Michael v. Chief Constable of South Wales Police‎</w:t>
      </w:r>
      <w:r>
        <w:rPr>
          <w:rFonts w:ascii="David" w:cs="David" w:eastAsia="David" w:hAnsi="David"/>
          <w:sz w:val="20"/>
          <w:szCs w:val="20"/>
          <w:rtl w:val="false"/>
        </w:rPr>
        <w:t xml:space="preserve"> [2015] UKSC 2, [115].‎</w:t>
      </w:r>
    </w:p>
  </w:footnote>
  <w:footnote w:id="1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Commissioner of Police of the Metropolis v. DSD‎</w:t>
      </w:r>
      <w:r>
        <w:rPr>
          <w:rFonts w:ascii="David" w:cs="David" w:eastAsia="David" w:hAnsi="David"/>
          <w:sz w:val="20"/>
          <w:szCs w:val="20"/>
          <w:rtl w:val="false"/>
        </w:rPr>
        <w:t xml:space="preserve"> [2018] UKSC 11, [29].‎</w:t>
      </w:r>
    </w:p>
  </w:footnote>
  <w:footnote w:id="183">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18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174, בעמ' 6.</w:t>
      </w:r>
    </w:p>
  </w:footnote>
  <w:footnote w:id="18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86">
    <w:p>
      <w:pPr>
        <w:bidi/>
        <w:spacing w:after="40" w:line="240"/>
        <w:jc w:val="both"/>
      </w:pPr>
      <w:r>
        <w:rPr>
          <w:rStyle w:val="FootnoteReference"/>
        </w:rPr>
        <w:footnoteRef/>
      </w:r>
      <w:r>
        <w:rPr>
          <w:rFonts w:ascii="David" w:cs="David" w:eastAsia="David" w:hAnsi="David"/>
          <w:sz w:val="20"/>
          <w:szCs w:val="20"/>
          <w:rtl/>
        </w:rPr>
        <w:t xml:space="preserve"> סגל, לעיל ה"ש 161, בעמ' 156.</w:t>
      </w:r>
    </w:p>
  </w:footnote>
  <w:footnote w:id="187">
    <w:p>
      <w:pPr>
        <w:bidi/>
        <w:spacing w:after="40" w:line="240"/>
        <w:jc w:val="both"/>
      </w:pPr>
      <w:r>
        <w:rPr>
          <w:rStyle w:val="FootnoteReference"/>
        </w:rPr>
        <w:footnoteRef/>
      </w:r>
      <w:r>
        <w:rPr>
          <w:rFonts w:ascii="David" w:cs="David" w:eastAsia="David" w:hAnsi="David"/>
          <w:sz w:val="20"/>
          <w:szCs w:val="20"/>
          <w:rtl/>
        </w:rPr>
        <w:t xml:space="preserve"> ע"א 3580/06 </w:t>
      </w:r>
      <w:r>
        <w:rPr>
          <w:rFonts w:ascii="David" w:cs="David" w:eastAsia="David" w:hAnsi="David"/>
          <w:b/>
          <w:bCs/>
          <w:sz w:val="20"/>
          <w:szCs w:val="20"/>
          <w:rtl/>
        </w:rPr>
        <w:t xml:space="preserve">עזבון יוסף נ' מדינת ישראל</w:t>
      </w:r>
      <w:r>
        <w:rPr>
          <w:rFonts w:ascii="David" w:cs="David" w:eastAsia="David" w:hAnsi="David"/>
          <w:sz w:val="20"/>
          <w:szCs w:val="20"/>
          <w:rtl/>
        </w:rPr>
        <w:t xml:space="preserve">, פס' 89 (נבו 21.3.2011); ע"א 1678/01 </w:t>
      </w:r>
      <w:r>
        <w:rPr>
          <w:rFonts w:ascii="David" w:cs="David" w:eastAsia="David" w:hAnsi="David"/>
          <w:b/>
          <w:bCs/>
          <w:sz w:val="20"/>
          <w:szCs w:val="20"/>
          <w:rtl/>
        </w:rPr>
        <w:t xml:space="preserve">מדינת ישראל נ' וייס</w:t>
      </w:r>
      <w:r>
        <w:rPr>
          <w:rFonts w:ascii="David" w:cs="David" w:eastAsia="David" w:hAnsi="David"/>
          <w:sz w:val="20"/>
          <w:szCs w:val="20"/>
          <w:rtl/>
        </w:rPr>
        <w:t xml:space="preserve">, פ"ד נח(5) 167, 181 (2004).</w:t>
      </w:r>
    </w:p>
  </w:footnote>
  <w:footnote w:id="188">
    <w:p>
      <w:pPr>
        <w:bidi/>
        <w:spacing w:after="40" w:line="240"/>
        <w:jc w:val="both"/>
      </w:pPr>
      <w:r>
        <w:rPr>
          <w:rStyle w:val="FootnoteReference"/>
        </w:rPr>
        <w:footnoteRef/>
      </w:r>
      <w:r>
        <w:rPr>
          <w:rFonts w:ascii="David" w:cs="David" w:eastAsia="David" w:hAnsi="David"/>
          <w:sz w:val="20"/>
          <w:szCs w:val="20"/>
          <w:rtl/>
        </w:rPr>
        <w:t xml:space="preserve"> ס' 3 לחוק הנזיקים האזרחיים (אחריות המדינה), התשי"ב–1952; סגל, לעיל ה"ש 161, בעמ' 141.</w:t>
      </w:r>
    </w:p>
  </w:footnote>
  <w:footnote w:id="189">
    <w:p>
      <w:pPr>
        <w:bidi/>
        <w:spacing w:after="40" w:line="240"/>
        <w:jc w:val="both"/>
      </w:pPr>
      <w:r>
        <w:rPr>
          <w:rStyle w:val="FootnoteReference"/>
        </w:rPr>
        <w:footnoteRef/>
      </w:r>
      <w:r>
        <w:rPr>
          <w:rFonts w:ascii="David" w:cs="David" w:eastAsia="David" w:hAnsi="David"/>
          <w:sz w:val="20"/>
          <w:szCs w:val="20"/>
          <w:rtl/>
        </w:rPr>
        <w:t xml:space="preserve"> ע"א 2394/18 </w:t>
      </w:r>
      <w:r>
        <w:rPr>
          <w:rFonts w:ascii="David" w:cs="David" w:eastAsia="David" w:hAnsi="David"/>
          <w:b/>
          <w:bCs/>
          <w:sz w:val="20"/>
          <w:szCs w:val="20"/>
          <w:rtl/>
        </w:rPr>
        <w:t xml:space="preserve">פלונים נ' משטרת ישראל</w:t>
      </w:r>
      <w:r>
        <w:rPr>
          <w:rFonts w:ascii="David" w:cs="David" w:eastAsia="David" w:hAnsi="David"/>
          <w:sz w:val="20"/>
          <w:szCs w:val="20"/>
          <w:rtl/>
        </w:rPr>
        <w:t xml:space="preserve"> (נבו 10.4.2019); סגל, לעיל ה"ש 161, בעמ' 209.</w:t>
      </w:r>
    </w:p>
  </w:footnote>
  <w:footnote w:id="190">
    <w:p>
      <w:pPr>
        <w:bidi/>
        <w:spacing w:after="40" w:line="240"/>
        <w:jc w:val="both"/>
      </w:pPr>
      <w:r>
        <w:rPr>
          <w:rStyle w:val="FootnoteReference"/>
        </w:rPr>
        <w:footnoteRef/>
      </w:r>
      <w:r>
        <w:rPr>
          <w:rFonts w:ascii="David" w:cs="David" w:eastAsia="David" w:hAnsi="David"/>
          <w:sz w:val="20"/>
          <w:szCs w:val="20"/>
          <w:rtl/>
        </w:rPr>
        <w:t xml:space="preserve"> גלעד, לעיל ה"ש 163, בעמ' 1062.</w:t>
      </w:r>
    </w:p>
  </w:footnote>
  <w:footnote w:id="191">
    <w:p>
      <w:pPr>
        <w:bidi/>
        <w:spacing w:after="40" w:line="240"/>
        <w:jc w:val="both"/>
      </w:pPr>
      <w:r>
        <w:rPr>
          <w:rStyle w:val="FootnoteReference"/>
        </w:rPr>
        <w:footnoteRef/>
      </w:r>
      <w:r>
        <w:rPr>
          <w:rFonts w:ascii="David" w:cs="David" w:eastAsia="David" w:hAnsi="David"/>
          <w:sz w:val="20"/>
          <w:szCs w:val="20"/>
          <w:rtl/>
        </w:rPr>
        <w:t xml:space="preserve"> דרומי, לעיל ה"ש 117, בעמ' 227.</w:t>
      </w:r>
    </w:p>
  </w:footnote>
  <w:footnote w:id="192">
    <w:p>
      <w:pPr>
        <w:bidi/>
        <w:spacing w:after="40" w:line="240"/>
        <w:jc w:val="both"/>
      </w:pPr>
      <w:r>
        <w:rPr>
          <w:rStyle w:val="FootnoteReference"/>
        </w:rPr>
        <w:footnoteRef/>
      </w:r>
      <w:r>
        <w:rPr>
          <w:rFonts w:ascii="David" w:cs="David" w:eastAsia="David" w:hAnsi="David"/>
          <w:sz w:val="20"/>
          <w:szCs w:val="20"/>
          <w:rtl/>
        </w:rPr>
        <w:t xml:space="preserve"> אהרן ברק </w:t>
      </w:r>
      <w:r>
        <w:rPr>
          <w:rFonts w:ascii="David" w:cs="David" w:eastAsia="David" w:hAnsi="David"/>
          <w:b/>
          <w:bCs/>
          <w:sz w:val="20"/>
          <w:szCs w:val="20"/>
          <w:rtl/>
        </w:rPr>
        <w:t xml:space="preserve">פרשנות במשפט</w:t>
      </w:r>
      <w:r>
        <w:rPr>
          <w:rFonts w:ascii="David" w:cs="David" w:eastAsia="David" w:hAnsi="David"/>
          <w:sz w:val="20"/>
          <w:szCs w:val="20"/>
          <w:rtl/>
        </w:rPr>
        <w:t xml:space="preserve"> כרך ג: פרשנות חוקתית 777 (1994).</w:t>
      </w:r>
    </w:p>
  </w:footnote>
  <w:footnote w:id="193">
    <w:p>
      <w:pPr>
        <w:bidi/>
        <w:spacing w:after="40" w:line="240"/>
        <w:jc w:val="both"/>
      </w:pPr>
      <w:r>
        <w:rPr>
          <w:rStyle w:val="FootnoteReference"/>
        </w:rPr>
        <w:footnoteRef/>
      </w:r>
      <w:r>
        <w:rPr>
          <w:rFonts w:ascii="David" w:cs="David" w:eastAsia="David" w:hAnsi="David"/>
          <w:sz w:val="20"/>
          <w:szCs w:val="20"/>
          <w:rtl/>
        </w:rPr>
        <w:t xml:space="preserve"> ע"א 337/81 </w:t>
      </w:r>
      <w:r>
        <w:rPr>
          <w:rFonts w:ascii="David" w:cs="David" w:eastAsia="David" w:hAnsi="David"/>
          <w:b/>
          <w:bCs/>
          <w:sz w:val="20"/>
          <w:szCs w:val="20"/>
          <w:rtl/>
        </w:rPr>
        <w:t xml:space="preserve">בוסקילה נ' מדינת ישראל</w:t>
      </w:r>
      <w:r>
        <w:rPr>
          <w:rFonts w:ascii="David" w:cs="David" w:eastAsia="David" w:hAnsi="David"/>
          <w:sz w:val="20"/>
          <w:szCs w:val="20"/>
          <w:rtl/>
        </w:rPr>
        <w:t xml:space="preserve">, פ"ד לח(3) 337 (1984); סגל, לעיל ה"ש 161, בעמ' 196.</w:t>
      </w:r>
    </w:p>
  </w:footnote>
  <w:footnote w:id="194">
    <w:p>
      <w:pPr>
        <w:bidi/>
        <w:spacing w:after="40" w:line="240"/>
        <w:jc w:val="both"/>
      </w:pPr>
      <w:r>
        <w:rPr>
          <w:rStyle w:val="FootnoteReference"/>
        </w:rPr>
        <w:footnoteRef/>
      </w:r>
      <w:r>
        <w:rPr>
          <w:rFonts w:ascii="David" w:cs="David" w:eastAsia="David" w:hAnsi="David"/>
          <w:sz w:val="20"/>
          <w:szCs w:val="20"/>
          <w:rtl/>
        </w:rPr>
        <w:t xml:space="preserve"> בג"ץ 5078/20 </w:t>
      </w:r>
      <w:r>
        <w:rPr>
          <w:rFonts w:ascii="David" w:cs="David" w:eastAsia="David" w:hAnsi="David"/>
          <w:b/>
          <w:bCs/>
          <w:sz w:val="20"/>
          <w:szCs w:val="20"/>
          <w:rtl/>
        </w:rPr>
        <w:t xml:space="preserve">פדידה נ' משטרת ישראל – מפקד מחוז ירושלים</w:t>
      </w:r>
      <w:r>
        <w:rPr>
          <w:rFonts w:ascii="David" w:cs="David" w:eastAsia="David" w:hAnsi="David"/>
          <w:sz w:val="20"/>
          <w:szCs w:val="20"/>
          <w:rtl/>
        </w:rPr>
        <w:t xml:space="preserve">, פסק דינה של השופטת וילנר (נבו 19.8.2020).</w:t>
      </w:r>
    </w:p>
  </w:footnote>
  <w:footnote w:id="19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170, בפס' 1.1-1.3.</w:t>
      </w:r>
    </w:p>
  </w:footnote>
  <w:footnote w:id="19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174, בעמ' 5.</w:t>
      </w:r>
    </w:p>
  </w:footnote>
  <w:footnote w:id="19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Hinkle et al.‎</w:t>
      </w:r>
      <w:r>
        <w:rPr>
          <w:rFonts w:ascii="David" w:cs="David" w:eastAsia="David" w:hAnsi="David"/>
          <w:sz w:val="20"/>
          <w:szCs w:val="20"/>
          <w:rtl/>
        </w:rPr>
        <w:t xml:space="preserve">, לעיל ה"ש 24, בס' 5.1, 5.5, 6.1.</w:t>
      </w:r>
    </w:p>
  </w:footnote>
  <w:footnote w:id="19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Papachristos &amp; Hureau‎</w:t>
      </w:r>
      <w:r>
        <w:rPr>
          <w:rFonts w:ascii="David" w:cs="David" w:eastAsia="David" w:hAnsi="David"/>
          <w:sz w:val="20"/>
          <w:szCs w:val="20"/>
          <w:rtl/>
        </w:rPr>
        <w:t xml:space="preserve">, לעיל ה"ש 26, בעמ' </w:t>
      </w:r>
      <w:r>
        <w:rPr>
          <w:rFonts w:ascii="David" w:cs="David" w:eastAsia="David" w:hAnsi="David"/>
          <w:sz w:val="20"/>
          <w:szCs w:val="20"/>
          <w:rtl w:val="false"/>
        </w:rPr>
        <w:t xml:space="preserve">24-26; Braga, Weisburd &amp; Turchan‎</w:t>
      </w:r>
      <w:r>
        <w:rPr>
          <w:rFonts w:ascii="David" w:cs="David" w:eastAsia="David" w:hAnsi="David"/>
          <w:sz w:val="20"/>
          <w:szCs w:val="20"/>
          <w:rtl/>
        </w:rPr>
        <w:t xml:space="preserve">, לעיל ה"ש 27, בס' 2.6, 7.1.</w:t>
      </w:r>
    </w:p>
  </w:footnote>
  <w:footnote w:id="19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00">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129, בעמ' 248; ליטמנוביץ ואחרים, לעיל ה"ש 34, בעמ' 240.</w:t>
      </w:r>
    </w:p>
  </w:footnote>
  <w:footnote w:id="20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118, 301.</w:t>
      </w:r>
    </w:p>
  </w:footnote>
  <w:footnote w:id="202">
    <w:p>
      <w:pPr>
        <w:bidi/>
        <w:spacing w:after="40" w:line="240"/>
        <w:jc w:val="both"/>
      </w:pPr>
      <w:r>
        <w:rPr>
          <w:rStyle w:val="FootnoteReference"/>
        </w:rPr>
        <w:footnoteRef/>
      </w:r>
      <w:r>
        <w:rPr>
          <w:rFonts w:ascii="David" w:cs="David" w:eastAsia="David" w:hAnsi="David"/>
          <w:sz w:val="20"/>
          <w:szCs w:val="20"/>
          <w:rtl/>
        </w:rPr>
        <w:t xml:space="preserve"> שם, בעמ' 209-210.</w:t>
      </w:r>
    </w:p>
  </w:footnote>
  <w:footnote w:id="20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5-4; חסייסי וליטמנוביץ, לעיל ה"ש 33, בעמ' 124.</w:t>
      </w:r>
    </w:p>
  </w:footnote>
  <w:footnote w:id="204">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20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163.</w:t>
      </w:r>
    </w:p>
  </w:footnote>
  <w:footnote w:id="20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20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238.</w:t>
      </w:r>
    </w:p>
  </w:footnote>
  <w:footnote w:id="208">
    <w:p>
      <w:pPr>
        <w:bidi/>
        <w:spacing w:after="40" w:line="240"/>
        <w:jc w:val="both"/>
      </w:pPr>
      <w:r>
        <w:rPr>
          <w:rStyle w:val="FootnoteReference"/>
        </w:rPr>
        <w:footnoteRef/>
      </w:r>
      <w:r>
        <w:rPr>
          <w:rFonts w:ascii="David" w:cs="David" w:eastAsia="David" w:hAnsi="David"/>
          <w:sz w:val="20"/>
          <w:szCs w:val="20"/>
          <w:rtl/>
        </w:rPr>
        <w:t xml:space="preserve"> שם, בעמ' 240.</w:t>
      </w:r>
    </w:p>
  </w:footnote>
  <w:footnote w:id="209">
    <w:p>
      <w:pPr>
        <w:bidi/>
        <w:spacing w:after="40" w:line="240"/>
        <w:jc w:val="both"/>
      </w:pPr>
      <w:r>
        <w:rPr>
          <w:rStyle w:val="FootnoteReference"/>
        </w:rPr>
        <w:footnoteRef/>
      </w:r>
      <w:r>
        <w:rPr>
          <w:rFonts w:ascii="David" w:cs="David" w:eastAsia="David" w:hAnsi="David"/>
          <w:sz w:val="20"/>
          <w:szCs w:val="20"/>
          <w:rtl w:val="false"/>
        </w:rPr>
        <w:t xml:space="preserve"> National Network for Safe Communities, Group Violence Intervention: An Implementation Guide 5 (2015).‎</w:t>
      </w:r>
    </w:p>
  </w:footnote>
  <w:footnote w:id="21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227.</w:t>
      </w:r>
    </w:p>
  </w:footnote>
  <w:footnote w:id="21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1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1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7-6.</w:t>
      </w:r>
    </w:p>
  </w:footnote>
  <w:footnote w:id="214">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215">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3.</w:t>
      </w:r>
    </w:p>
  </w:footnote>
  <w:footnote w:id="216">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217">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21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236.</w:t>
      </w:r>
    </w:p>
  </w:footnote>
  <w:footnote w:id="219">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20">
    <w:p>
      <w:pPr>
        <w:bidi/>
        <w:spacing w:after="40" w:line="240"/>
        <w:jc w:val="both"/>
      </w:pPr>
      <w:r>
        <w:rPr>
          <w:rStyle w:val="FootnoteReference"/>
        </w:rPr>
        <w:footnoteRef/>
      </w:r>
      <w:r>
        <w:rPr>
          <w:rFonts w:ascii="David" w:cs="David" w:eastAsia="David" w:hAnsi="David"/>
          <w:sz w:val="20"/>
          <w:szCs w:val="20"/>
          <w:rtl/>
        </w:rPr>
        <w:t xml:space="preserve"> שם, בעמ' 243.</w:t>
      </w:r>
    </w:p>
  </w:footnote>
  <w:footnote w:id="221">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6.</w:t>
      </w:r>
    </w:p>
  </w:footnote>
  <w:footnote w:id="222">
    <w:p>
      <w:pPr>
        <w:bidi/>
        <w:spacing w:after="40" w:line="240"/>
        <w:jc w:val="both"/>
      </w:pPr>
      <w:r>
        <w:rPr>
          <w:rStyle w:val="FootnoteReference"/>
        </w:rPr>
        <w:footnoteRef/>
      </w:r>
      <w:r>
        <w:rPr>
          <w:rFonts w:ascii="David" w:cs="David" w:eastAsia="David" w:hAnsi="David"/>
          <w:sz w:val="20"/>
          <w:szCs w:val="20"/>
          <w:rt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sz w:val="20"/>
          <w:szCs w:val="20"/>
          <w:rtl/>
        </w:rPr>
        <w:t xml:space="preserve">ספר אליקים רובינשטיין</w:t>
      </w:r>
      <w:r>
        <w:rPr>
          <w:rFonts w:ascii="David" w:cs="David" w:eastAsia="David" w:hAnsi="David"/>
          <w:sz w:val="20"/>
          <w:szCs w:val="20"/>
          <w:rtl/>
        </w:rPr>
        <w:t xml:space="preserve"> 1817, 1849 (מרים ביטון עורכת, 2020).</w:t>
      </w:r>
    </w:p>
  </w:footnote>
  <w:footnote w:id="223">
    <w:p>
      <w:pPr>
        <w:bidi/>
        <w:spacing w:after="40" w:line="240"/>
        <w:jc w:val="both"/>
      </w:pPr>
      <w:r>
        <w:rPr>
          <w:rStyle w:val="FootnoteReference"/>
        </w:rPr>
        <w:footnoteRef/>
      </w:r>
      <w:r>
        <w:rPr>
          <w:rFonts w:ascii="David" w:cs="David" w:eastAsia="David" w:hAnsi="David"/>
          <w:sz w:val="20"/>
          <w:szCs w:val="20"/>
          <w:rtl/>
        </w:rPr>
        <w:t xml:space="preserve"> חסייסי ואחרים "עמדות הציבור", לעיל ה"ש 141, בעמ' 304, 302.</w:t>
      </w:r>
    </w:p>
  </w:footnote>
  <w:footnote w:id="22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Bell‎</w:t>
      </w:r>
      <w:r>
        <w:rPr>
          <w:rFonts w:ascii="David" w:cs="David" w:eastAsia="David" w:hAnsi="David"/>
          <w:sz w:val="20"/>
          <w:szCs w:val="20"/>
          <w:rtl/>
        </w:rPr>
        <w:t xml:space="preserve">, לעיל ה"ש 36, בעמ' 2054.</w:t>
      </w:r>
    </w:p>
  </w:footnote>
  <w:footnote w:id="225">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226">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222, בעמ' 1843.</w:t>
      </w:r>
    </w:p>
  </w:footnote>
  <w:footnote w:id="22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146, בפס' </w:t>
      </w:r>
      <w:r>
        <w:rPr>
          <w:rFonts w:ascii="David" w:cs="David" w:eastAsia="David" w:hAnsi="David"/>
          <w:sz w:val="20"/>
          <w:szCs w:val="20"/>
          <w:rtl w:val="false"/>
        </w:rPr>
        <w:t xml:space="preserve">2.2B.‎</w:t>
      </w:r>
    </w:p>
  </w:footnote>
  <w:footnote w:id="22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170, בהמלצה 61.</w:t>
      </w:r>
    </w:p>
  </w:footnote>
  <w:footnote w:id="2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146, בפס' 5.1.</w:t>
      </w:r>
    </w:p>
  </w:footnote>
  <w:footnote w:id="23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Roberts‎</w:t>
      </w:r>
      <w:r>
        <w:rPr>
          <w:rFonts w:ascii="David" w:cs="David" w:eastAsia="David" w:hAnsi="David"/>
          <w:sz w:val="20"/>
          <w:szCs w:val="20"/>
          <w:rtl/>
        </w:rPr>
        <w:t xml:space="preserve">, לעיל ה"ש 172, בפס' 44-47.</w:t>
      </w:r>
    </w:p>
  </w:footnote>
  <w:footnote w:id="23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232">
    <w:p>
      <w:pPr>
        <w:bidi/>
        <w:spacing w:after="40" w:line="240"/>
        <w:jc w:val="both"/>
      </w:pPr>
      <w:r>
        <w:rPr>
          <w:rStyle w:val="FootnoteReference"/>
        </w:rPr>
        <w:footnoteRef/>
      </w:r>
      <w:r>
        <w:rPr>
          <w:rFonts w:ascii="David" w:cs="David" w:eastAsia="David" w:hAnsi="David"/>
          <w:sz w:val="20"/>
          <w:szCs w:val="20"/>
          <w:rtl/>
        </w:rPr>
        <w:t xml:space="preserve"> רותם קדוש נוסבאום "פגיעה בזכויות אדם בשל שימוש משטרתי באמצעים טכנולוגיים למעקב ושיטור מנבא" </w:t>
      </w:r>
      <w:r>
        <w:rPr>
          <w:rFonts w:ascii="David" w:cs="David" w:eastAsia="David" w:hAnsi="David"/>
          <w:b/>
          <w:bCs/>
          <w:sz w:val="20"/>
          <w:szCs w:val="20"/>
          <w:rtl/>
        </w:rPr>
        <w:t xml:space="preserve">המשפט</w:t>
      </w:r>
      <w:r>
        <w:rPr>
          <w:rFonts w:ascii="David" w:cs="David" w:eastAsia="David" w:hAnsi="David"/>
          <w:sz w:val="20"/>
          <w:szCs w:val="20"/>
          <w:rtl/>
        </w:rPr>
        <w:t xml:space="preserve"> לא 79, 112 (התשפ"ו).</w:t>
      </w:r>
    </w:p>
  </w:footnote>
  <w:footnote w:id="233">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598.</w:t>
      </w:r>
    </w:p>
  </w:footnote>
  <w:footnote w:id="234">
    <w:p>
      <w:pPr>
        <w:bidi/>
        <w:spacing w:after="40" w:line="240"/>
        <w:jc w:val="both"/>
      </w:pPr>
      <w:r>
        <w:rPr>
          <w:rStyle w:val="FootnoteReference"/>
        </w:rPr>
        <w:footnoteRef/>
      </w:r>
      <w:r>
        <w:rPr>
          <w:rFonts w:ascii="David" w:cs="David" w:eastAsia="David" w:hAnsi="David"/>
          <w:sz w:val="20"/>
          <w:szCs w:val="20"/>
          <w:rtl w:val="false"/>
        </w:rPr>
        <w:t xml:space="preserve"> Kent Roach, ‎</w:t>
      </w:r>
      <w:r>
        <w:rPr>
          <w:rFonts w:ascii="David" w:cs="David" w:eastAsia="David" w:hAnsi="David"/>
          <w:i/>
          <w:iCs/>
          <w:sz w:val="20"/>
          <w:szCs w:val="20"/>
          <w:rtl w:val="false"/>
        </w:rPr>
        <w:t xml:space="preserve">Models of Civilian Police Review: The Objectives and Mechanisms of Legal and Political Regulation of the Police‎</w:t>
      </w:r>
      <w:r>
        <w:rPr>
          <w:rFonts w:ascii="David" w:cs="David" w:eastAsia="David" w:hAnsi="David"/>
          <w:sz w:val="20"/>
          <w:szCs w:val="20"/>
          <w:rtl/>
        </w:rPr>
        <w:t xml:space="preserve">, </w:t>
      </w:r>
      <w:r>
        <w:rPr>
          <w:rFonts w:ascii="David" w:cs="David" w:eastAsia="David" w:hAnsi="David"/>
          <w:sz w:val="20"/>
          <w:szCs w:val="20"/>
          <w:rtl w:val="false"/>
        </w:rPr>
        <w:t xml:space="preserve">61 CRIM. L.Q. 29 (2014)‎</w:t>
      </w:r>
      <w:r>
        <w:rPr>
          <w:rFonts w:ascii="David" w:cs="David" w:eastAsia="David" w:hAnsi="David"/>
          <w:sz w:val="20"/>
          <w:szCs w:val="20"/>
          <w:rtl/>
        </w:rPr>
        <w:t xml:space="preserve">, כמובא אצל פורום המרצות והמרצים, לעיל ה"ש 19, בעמ' 600.</w:t>
      </w:r>
    </w:p>
  </w:footnote>
  <w:footnote w:id="235">
    <w:p>
      <w:pPr>
        <w:bidi/>
        <w:spacing w:after="40" w:line="240"/>
        <w:jc w:val="both"/>
      </w:pPr>
      <w:r>
        <w:rPr>
          <w:rStyle w:val="FootnoteReference"/>
        </w:rPr>
        <w:footnoteRef/>
      </w:r>
      <w:r>
        <w:rPr>
          <w:rFonts w:ascii="David" w:cs="David" w:eastAsia="David" w:hAnsi="David"/>
          <w:sz w:val="20"/>
          <w:szCs w:val="20"/>
          <w:rtl w:val="false"/>
        </w:rPr>
        <w:t xml:space="preserve"> Stephen Halpern, ‎</w:t>
      </w:r>
      <w:r>
        <w:rPr>
          <w:rFonts w:ascii="David" w:cs="David" w:eastAsia="David" w:hAnsi="David"/>
          <w:i/>
          <w:iCs/>
          <w:sz w:val="20"/>
          <w:szCs w:val="20"/>
          <w:rtl w:val="false"/>
        </w:rPr>
        <w:t xml:space="preserve">Police Employee Organizations and Accountability Procedures in Three Cities: Some Reflections on Police Policy-Making‎</w:t>
      </w:r>
      <w:r>
        <w:rPr>
          <w:rFonts w:ascii="David" w:cs="David" w:eastAsia="David" w:hAnsi="David"/>
          <w:sz w:val="20"/>
          <w:szCs w:val="20"/>
          <w:rtl/>
        </w:rPr>
        <w:t xml:space="preserve">, </w:t>
      </w:r>
      <w:r>
        <w:rPr>
          <w:rFonts w:ascii="David" w:cs="David" w:eastAsia="David" w:hAnsi="David"/>
          <w:sz w:val="20"/>
          <w:szCs w:val="20"/>
          <w:rtl w:val="false"/>
        </w:rPr>
        <w:t xml:space="preserve">8 LAW &amp; SOC'Y REV. 561 (1974)‎</w:t>
      </w:r>
      <w:r>
        <w:rPr>
          <w:rFonts w:ascii="David" w:cs="David" w:eastAsia="David" w:hAnsi="David"/>
          <w:sz w:val="20"/>
          <w:szCs w:val="20"/>
          <w:rtl/>
        </w:rPr>
        <w:t xml:space="preserve">, כמובא אצל נעמי לבנקרון "'אהיה אני המרטין לותר קינג של המשטרה': איסור ההתארגנות על השוטרים בישראל והשפעתו על זכויותיהם כעובדים" </w:t>
      </w:r>
      <w:r>
        <w:rPr>
          <w:rFonts w:ascii="David" w:cs="David" w:eastAsia="David" w:hAnsi="David"/>
          <w:b/>
          <w:bCs/>
          <w:sz w:val="20"/>
          <w:szCs w:val="20"/>
          <w:rtl/>
        </w:rPr>
        <w:t xml:space="preserve">עבודה, חברה ומשפט</w:t>
      </w:r>
      <w:r>
        <w:rPr>
          <w:rFonts w:ascii="David" w:cs="David" w:eastAsia="David" w:hAnsi="David"/>
          <w:sz w:val="20"/>
          <w:szCs w:val="20"/>
          <w:rtl/>
        </w:rPr>
        <w:t xml:space="preserve"> טז 27, 35 (2020).</w:t>
      </w:r>
    </w:p>
  </w:footnote>
  <w:footnote w:id="236">
    <w:p>
      <w:pPr>
        <w:bidi/>
        <w:spacing w:after="40" w:line="240"/>
        <w:jc w:val="both"/>
      </w:pPr>
      <w:r>
        <w:rPr>
          <w:rStyle w:val="FootnoteReference"/>
        </w:rPr>
        <w:footnoteRef/>
      </w:r>
      <w:r>
        <w:rPr>
          <w:rFonts w:ascii="David" w:cs="David" w:eastAsia="David" w:hAnsi="David"/>
          <w:sz w:val="20"/>
          <w:szCs w:val="20"/>
          <w:rtl/>
        </w:rPr>
        <w:t xml:space="preserve"> ס' 7 לחוק-יסוד: כבוד האדם וחירותו; חוק הגנת הפרטיות, התשמ"א–1981.</w:t>
      </w:r>
    </w:p>
  </w:footnote>
  <w:footnote w:id="237">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222, בעמ' 1844.</w:t>
      </w:r>
    </w:p>
  </w:footnote>
  <w:footnote w:id="23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23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Skogan‎</w:t>
      </w:r>
      <w:r>
        <w:rPr>
          <w:rFonts w:ascii="David" w:cs="David" w:eastAsia="David" w:hAnsi="David"/>
          <w:sz w:val="20"/>
          <w:szCs w:val="20"/>
          <w:rtl/>
        </w:rPr>
        <w:t xml:space="preserve">, לעיל ה"ש 40, בעמ' 112-113, 117-118.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2026-09-24T23:12:07.017Z</dcterms:created>
  <dcterms:modified xsi:type="dcterms:W3CDTF">2026-09-24T23:12:07.017Z</dcterms:modified>
</cp:coreProperties>
</file>

<file path=docProps/custom.xml><?xml version="1.0" encoding="utf-8"?>
<Properties xmlns="http://schemas.openxmlformats.org/officeDocument/2006/custom-properties" xmlns:vt="http://schemas.openxmlformats.org/officeDocument/2006/docPropsVTypes"/>
</file>