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480" w:lineRule="auto" w:after="0"/>
        <w:jc w:val="both"/>
      </w:pPr>
    </w:p>
    <w:p>
      <w:pPr>
        <w:bidi w:val="1"/>
        <w:spacing w:line="480" w:lineRule="auto" w:after="0"/>
        <w:jc w:val="both"/>
      </w:pPr>
    </w:p>
    <w:p>
      <w:pPr>
        <w:bidi w:val="1"/>
        <w:spacing w:line="480" w:lineRule="auto" w:after="0"/>
        <w:jc w:val="both"/>
      </w:pPr>
    </w:p>
    <w:p>
      <w:pPr>
        <w:bidi w:val="1"/>
        <w:spacing w:line="240" w:lineRule="auto" w:after="120"/>
        <w:jc w:val="center"/>
      </w:pPr>
      <w:r>
        <w:rPr>
          <w:rFonts w:ascii="David" w:hAnsi="David" w:cs="David"/>
          <w:b/>
          <w:i w:val="0"/>
          <w:sz w:val="28"/>
          <w:szCs w:val="28"/>
          <w:rtl w:val="1"/>
        </w:rPr>
        <w:t>אוניברסיטת בר-אילן | המחלקה לספרות משווה</w:t>
      </w:r>
    </w:p>
    <w:p>
      <w:pPr>
        <w:bidi w:val="1"/>
        <w:spacing w:line="240" w:lineRule="auto" w:after="80"/>
        <w:jc w:val="center"/>
      </w:pPr>
      <w:r>
        <w:rPr>
          <w:rFonts w:ascii="David" w:hAnsi="David" w:cs="David"/>
          <w:b w:val="0"/>
          <w:i w:val="0"/>
          <w:sz w:val="24"/>
          <w:szCs w:val="24"/>
          <w:rtl w:val="1"/>
        </w:rPr>
        <w:t>מיתוס ודרמה בגרמניה (Myth and Drama in Germany) | 33938-01</w:t>
      </w:r>
    </w:p>
    <w:p>
      <w:pPr>
        <w:bidi w:val="1"/>
        <w:spacing w:line="240" w:lineRule="auto" w:after="600"/>
        <w:jc w:val="center"/>
      </w:pPr>
      <w:r>
        <w:rPr>
          <w:rFonts w:ascii="David" w:hAnsi="David" w:cs="David"/>
          <w:b w:val="0"/>
          <w:i w:val="0"/>
          <w:sz w:val="24"/>
          <w:szCs w:val="24"/>
          <w:rtl w:val="1"/>
        </w:rPr>
        <w:t>מרצה: פרופ' מיכל בן-חורין</w:t>
      </w:r>
    </w:p>
    <w:p>
      <w:pPr>
        <w:bidi w:val="1"/>
        <w:spacing w:line="240" w:lineRule="auto" w:after="80"/>
        <w:jc w:val="center"/>
      </w:pPr>
      <w:r>
        <w:rPr>
          <w:rFonts w:ascii="David" w:hAnsi="David" w:cs="David"/>
          <w:b/>
          <w:i w:val="0"/>
          <w:sz w:val="36"/>
          <w:szCs w:val="36"/>
          <w:rtl w:val="1"/>
        </w:rPr>
        <w:t>בין המרד הטרגי לפיוס ההומני</w:t>
      </w:r>
    </w:p>
    <w:p>
      <w:pPr>
        <w:bidi w:val="1"/>
        <w:spacing w:line="240" w:lineRule="auto" w:after="600"/>
        <w:jc w:val="center"/>
      </w:pPr>
      <w:r>
        <w:rPr>
          <w:rFonts w:ascii="David" w:hAnsi="David" w:cs="David"/>
          <w:b/>
          <w:i w:val="0"/>
          <w:sz w:val="28"/>
          <w:szCs w:val="28"/>
          <w:rtl w:val="1"/>
        </w:rPr>
        <w:t>הגיבורה מול השליט ב"אנטיגונה" של ברכט וב"איפיגניה בטאוריס" של גיתה</w:t>
      </w:r>
    </w:p>
    <w:p>
      <w:pPr>
        <w:bidi w:val="1"/>
        <w:spacing w:line="240" w:lineRule="auto" w:after="520"/>
        <w:jc w:val="center"/>
      </w:pPr>
      <w:r>
        <w:rPr>
          <w:rFonts w:ascii="David" w:hAnsi="David" w:cs="David"/>
          <w:b w:val="0"/>
          <w:i w:val="0"/>
          <w:sz w:val="26"/>
          <w:szCs w:val="26"/>
          <w:rtl w:val="1"/>
        </w:rPr>
        <w:t>עבודת סיכום</w:t>
      </w:r>
    </w:p>
    <w:p>
      <w:pPr>
        <w:bidi w:val="1"/>
        <w:spacing w:line="240" w:lineRule="auto" w:after="400"/>
        <w:jc w:val="center"/>
      </w:pPr>
      <w:r>
        <w:rPr>
          <w:rFonts w:ascii="David" w:hAnsi="David" w:cs="David"/>
          <w:b w:val="0"/>
          <w:i w:val="0"/>
          <w:sz w:val="24"/>
          <w:szCs w:val="24"/>
          <w:rtl w:val="1"/>
        </w:rPr>
        <w:t>מגיש/ה: ___________________          ת.ז: ___________________</w:t>
      </w:r>
    </w:p>
    <w:p>
      <w:pPr>
        <w:bidi w:val="1"/>
        <w:spacing w:line="240" w:lineRule="auto" w:after="40"/>
        <w:jc w:val="center"/>
      </w:pPr>
      <w:r>
        <w:rPr>
          <w:rFonts w:ascii="David" w:hAnsi="David" w:cs="David"/>
          <w:b w:val="0"/>
          <w:i w:val="0"/>
          <w:sz w:val="24"/>
          <w:szCs w:val="24"/>
          <w:rtl w:val="1"/>
        </w:rPr>
        <w:t>אב תשפ"ו | אוגוסט 2026</w:t>
      </w:r>
    </w:p>
    <w:p>
      <w:r>
        <w:br w:type="page"/>
      </w:r>
    </w:p>
    <w:p>
      <w:pPr>
        <w:bidi w:val="1"/>
        <w:spacing w:line="480" w:lineRule="auto" w:after="200"/>
        <w:jc w:val="right"/>
      </w:pPr>
      <w:r>
        <w:rPr>
          <w:rFonts w:ascii="David" w:hAnsi="David" w:cs="David"/>
          <w:b/>
          <w:i w:val="0"/>
          <w:sz w:val="26"/>
          <w:szCs w:val="26"/>
          <w:rtl w:val="1"/>
        </w:rPr>
        <w:t>מבוא</w:t>
      </w:r>
    </w:p>
    <w:p>
      <w:pPr>
        <w:bidi w:val="1"/>
        <w:spacing w:line="480" w:lineRule="auto" w:after="160"/>
        <w:jc w:val="both"/>
      </w:pPr>
      <w:r>
        <w:rPr>
          <w:rFonts w:ascii="David" w:hAnsi="David" w:cs="David"/>
          <w:b w:val="0"/>
          <w:i w:val="0"/>
          <w:sz w:val="24"/>
          <w:szCs w:val="24"/>
          <w:rtl w:val="1"/>
        </w:rPr>
        <w:t>הקורס מיתוס ודרמה בגרמניה בוחן כיצד יוצרים ויוצרות בגרמניה פונים אל המיתוס, ואילו סוגיות תרבותיות ואתיות הפנייה הזאת מעלה (בן-חורין, תשפ"ו). עבודה זו מעמידה זו מול זו שתי יצירות שמושכות את אותו חומר מיתי לשני קטבים מנוגדים. "איפיגניה בטאוריס" של גיתה (1787/1981) ו"אנטיגונה" של ברטולט ברכט (1948/2022) שתיהן עיבודים גרמניים לטרגדיה יוונית, ושתיהן מעמידות במרכזן אישה שמסרבת לציית לצו של שליט. אך בעוד גיתה מיישב את הסכסוך בפיוס הומני, ברכט מותיר אותו פצע פתוח וטעון פוליטית. הטענה המרכזית בעבודה היא ששתי היצירות מגלמות שני אופנים הפוכים שבהם הדרמה הגרמנית מתייחסת אל המיתוס, האחד גואל אותו והשני מפרק אותו, ושדווקא ההעמדה שלהן זו מול זו חושפת מהו היחס שבין מיתוס לדרמה (בן-חורין, תשפ"ו).</w:t>
      </w:r>
    </w:p>
    <w:p>
      <w:pPr>
        <w:bidi w:val="1"/>
        <w:spacing w:line="480" w:lineRule="auto" w:after="160"/>
        <w:jc w:val="both"/>
      </w:pPr>
      <w:r>
        <w:rPr>
          <w:rFonts w:ascii="David" w:hAnsi="David" w:cs="David"/>
          <w:b w:val="0"/>
          <w:i w:val="0"/>
          <w:sz w:val="24"/>
          <w:szCs w:val="24"/>
          <w:rtl w:val="1"/>
        </w:rPr>
        <w:t>הדיון מתקדם בשלושה מהלכים. תחילה מתואר כיצד כל מחזה ניגש אל המקור המיתי שלו ואל יסוד הגורל. לאחר מכן מועמדות שתי סצנות היסוד, הגיבורה מול השליט, זו מול זו. לבסוף נבחן הפתרון המנוגד של שני המחזות, הטרגי-פוליטי מול ההומני, ומה שאפשר ללמוד מן ההבדל על עצם המפגש בין מיתוס לדרמה.</w:t>
      </w:r>
    </w:p>
    <w:p>
      <w:pPr>
        <w:bidi w:val="1"/>
        <w:spacing w:line="480" w:lineRule="auto" w:after="200"/>
        <w:jc w:val="right"/>
      </w:pPr>
      <w:r>
        <w:rPr>
          <w:rFonts w:ascii="David" w:hAnsi="David" w:cs="David"/>
          <w:b/>
          <w:i w:val="0"/>
          <w:sz w:val="26"/>
          <w:szCs w:val="26"/>
          <w:rtl w:val="1"/>
        </w:rPr>
        <w:t>א. שני עיבודים, שתי גישות אל המיתוס</w:t>
      </w:r>
    </w:p>
    <w:p>
      <w:pPr>
        <w:bidi w:val="1"/>
        <w:spacing w:line="480" w:lineRule="auto" w:after="160"/>
        <w:jc w:val="both"/>
      </w:pPr>
      <w:r>
        <w:rPr>
          <w:rFonts w:ascii="David" w:hAnsi="David" w:cs="David"/>
          <w:b w:val="0"/>
          <w:i w:val="0"/>
          <w:sz w:val="24"/>
          <w:szCs w:val="24"/>
          <w:rtl w:val="1"/>
        </w:rPr>
        <w:t>המיתוס אינו סיפור קבוע אלא חומר שנמסר מחדש בכל דור, וכל עיבוד הוא כבר פרשנות. זו נקודת המוצא של הקורס באשר לפנייה של הדרמה הגרמנית אל המיתוס (בן-חורין, תשפ"ו). מאמרה של הלן שו ב"ניו יורק טיימס" ממחיש זאת: אנטיגונה חוזרת ומועלית על הבמה שוב ושוב, ובשנת 2026 לבדה הועלתה בניו יורק בכמה הפקות שונות זו לצד זו, עדות לכך שהדמות אינה מתיישנת אלא נקראת מחדש בכל תקופה (שו, 2026).</w:t>
      </w:r>
    </w:p>
    <w:p>
      <w:pPr>
        <w:bidi w:val="1"/>
        <w:spacing w:line="480" w:lineRule="auto" w:after="160"/>
        <w:jc w:val="both"/>
      </w:pPr>
      <w:r>
        <w:rPr>
          <w:rFonts w:ascii="David" w:hAnsi="David" w:cs="David"/>
          <w:b w:val="0"/>
          <w:i w:val="0"/>
          <w:sz w:val="24"/>
          <w:szCs w:val="24"/>
          <w:rtl w:val="1"/>
        </w:rPr>
        <w:t>גיתה נשען על המיתוס של איפיגניה, בתו של אגממנון, שהוקרבה בידי אביה, ניצלה בידי האלה ארטמיס והועברה לטאוריס לשמש כוהנת. אצל אוריפידס, המקור היווני שהקורס מעמיד מולו את העיבוד הגרמני, נפתר המתח בהתערבות אלוהית, בדאוס אקס מכינה (בן-חורין, תשפ"ו). גיתה מסלק את המנגנון הזה. הוא מעביר את מרכז הכובד מן האלים אל האדם, ואת ההצלה הוא מפקיד לא בידי אלה שיורדת מן המכונה אלא במוסריותה של הגיבורה, באידאל האנושיות (Humanität) שעומד במרכז המחזה ומנוסח בשורותיו שלו (גיתה, 1787/1981).</w:t>
      </w:r>
    </w:p>
    <w:p>
      <w:pPr>
        <w:bidi w:val="1"/>
        <w:spacing w:line="480" w:lineRule="auto" w:after="160"/>
        <w:jc w:val="both"/>
      </w:pPr>
      <w:r>
        <w:rPr>
          <w:rFonts w:ascii="David" w:hAnsi="David" w:cs="David"/>
          <w:b w:val="0"/>
          <w:i w:val="0"/>
          <w:sz w:val="24"/>
          <w:szCs w:val="24"/>
          <w:rtl w:val="1"/>
        </w:rPr>
        <w:t>ברכט הולך בכיוון ההפוך. הוא נשען על תרגומו הבלתי שגרתי של הלדרלין לסופוקלס, ומוציא מן הטרגדיה את מה שראה כ"ערפל האידאולוגי" שלה, כלומר את יסוד הגורל, ומחליף אותו בסיבתיות פוליטית (ברכט, 1948/2022). הוא פותח את המחזה בפרולוג שמתרחש בברלין באפריל 1945, שבו שתי אחיות חוזרות ממקלט מפני הפצצות ומגלות את אחיהן תלוי בידי איש אס-אס (ברכט, 1948/2022, עמ' 3). כך, עוד לפני שהמיתוס היווני מתחיל, הוא כבר מעוגן בזמן ההיסטורי הקונקרטי של גרמניה הנאצית. כפי שמראה זטי, במאה העשרים באירופה הופכת אנטיגונה לכלי של זיכרון, פוליטיקה והתנגדות, לא לסיפור על גורל (Zetti, 2017).</w:t>
      </w:r>
    </w:p>
    <w:p>
      <w:pPr>
        <w:bidi w:val="1"/>
        <w:spacing w:line="480" w:lineRule="auto" w:after="200"/>
        <w:jc w:val="right"/>
      </w:pPr>
      <w:r>
        <w:rPr>
          <w:rFonts w:ascii="David" w:hAnsi="David" w:cs="David"/>
          <w:b/>
          <w:i w:val="0"/>
          <w:sz w:val="26"/>
          <w:szCs w:val="26"/>
          <w:rtl w:val="1"/>
        </w:rPr>
        <w:t>ב. הגיבורה מול השליט</w:t>
      </w:r>
    </w:p>
    <w:p>
      <w:pPr>
        <w:bidi w:val="1"/>
        <w:spacing w:line="480" w:lineRule="auto" w:after="160"/>
        <w:jc w:val="both"/>
      </w:pPr>
      <w:r>
        <w:rPr>
          <w:rFonts w:ascii="David" w:hAnsi="David" w:cs="David"/>
          <w:b w:val="0"/>
          <w:i w:val="0"/>
          <w:sz w:val="24"/>
          <w:szCs w:val="24"/>
          <w:rtl w:val="1"/>
        </w:rPr>
        <w:t>בשני המחזות עומדת אישה מול שליט גבר שדורש ממנה כניעה, ובשני המקרים הסירוב נובע מנאמנות לערך שגבוה מצו המלך, אך אופי הסירוב שונה לגמרי (בן-חורין, תשפ"ו).</w:t>
      </w:r>
    </w:p>
    <w:p>
      <w:pPr>
        <w:bidi w:val="1"/>
        <w:spacing w:line="480" w:lineRule="auto" w:after="160"/>
        <w:jc w:val="both"/>
      </w:pPr>
      <w:r>
        <w:rPr>
          <w:rFonts w:ascii="David" w:hAnsi="David" w:cs="David"/>
          <w:b w:val="0"/>
          <w:i w:val="0"/>
          <w:sz w:val="24"/>
          <w:szCs w:val="24"/>
          <w:rtl w:val="1"/>
        </w:rPr>
        <w:t>אנטיגונה של ברכט מתעמתת עם קראון בשפה של כוח ושל פוליטיקה. כשהוא מזכיר לה שהפרה את חוקי המדינה, היא משיבה שהחוקים האלה אינם נצחיים אלא אנושיים ולכן שבירים: "מכיוון שהם שלך, של בן תמותה, בן תמותה יכול להפר אותם, ואני רק קצת מעט פחות בת תמותה ממך" (ברכט, 1948/2022, עמ' 22).</w:t>
      </w:r>
    </w:p>
    <w:p>
      <w:pPr>
        <w:bidi w:val="1"/>
        <w:spacing w:line="480" w:lineRule="auto" w:after="160"/>
        <w:jc w:val="both"/>
      </w:pPr>
      <w:r>
        <w:rPr>
          <w:rFonts w:ascii="David" w:hAnsi="David" w:cs="David"/>
          <w:b w:val="0"/>
          <w:i w:val="0"/>
          <w:sz w:val="24"/>
          <w:szCs w:val="24"/>
          <w:rtl w:val="1"/>
        </w:rPr>
        <w:t>הרגע החד ביותר הוא כשהעימות נחשף כעימות על מלחמה. אנטיגונה מבחינה בין מוות למען המולדת לבין מוות למען השליט עצמו, ומאשימה את קראון שהוא מנהל מלחמת כיבוש בארץ זרה: "שני דברים שונים הם למות בעד הארץ ולמות בשבילָך [...] דווקא יש, שלָך [...] ארץ זרה" (ברכט, 1948/2022, עמ' 24). זהו השינוי המהותי שברכט מכניס. אצלו הסכסוך אינו רק בין חוק המשפחה לחוק המדינה, הקריאה הקלאסית המזוהה עם הגל שהקורס בוחן בהקשר של התקבלות המחזה, אלא בין הפרט לשלטון תוקפני שמוביל את עמו למלחמת שווא (בן-חורין, תשפ"ו). אנטיגונה אינה קדושה מיתית אלא קול פוליטי מתריס.</w:t>
      </w:r>
    </w:p>
    <w:p>
      <w:pPr>
        <w:bidi w:val="1"/>
        <w:spacing w:line="480" w:lineRule="auto" w:after="160"/>
        <w:jc w:val="both"/>
      </w:pPr>
      <w:r>
        <w:rPr>
          <w:rFonts w:ascii="David" w:hAnsi="David" w:cs="David"/>
          <w:b w:val="0"/>
          <w:i w:val="0"/>
          <w:sz w:val="24"/>
          <w:szCs w:val="24"/>
          <w:rtl w:val="1"/>
        </w:rPr>
        <w:t>איפיגניה של גיתה עומדת במצב דומה במבנהו אך שונה לחלוטין בטונו. גם היא זרה בארץ נכר, נתונה לרצונו של מלך, תואס, שמבקש לשאת אותה לאישה. המונולוג הפותח שלה הוא קינה של אישה עקורה, שכנועה מבחוץ אך אינו נשבר מבפנים: "כָּךְ זֶה שָׁנִים שׁוֹמְרֵנִי פֹּה בַּסֵּתֶר / רָצוֹן עֶלְיוֹן, וְלוֹ אֲנִי נִכְנַעַת; / אוּלָם זָרָה נוֹתַרְתִּי כְּבַתְּחִלָּה" (גיתה, 1787/1981, שורות 7-9). היא מתגעגעת הביתה ומקוננת על גורל האישה הבודדה (גיתה, 1787/1981, שורות 15-16). אך בניגוד לאנטיגונה, איפיגניה אינה נלחמת בשליט בשפה של כוח, אלא בכוח האמת: ברגע המכריע היא מסרבת לרמות את תואס ולגנוב את פסל האלה כפי שאחיה מציע, ובוחרת לומר לו את האמת במלואה (גיתה, 1787/1981).</w:t>
      </w:r>
    </w:p>
    <w:p>
      <w:pPr>
        <w:bidi w:val="1"/>
        <w:spacing w:line="480" w:lineRule="auto" w:after="200"/>
        <w:jc w:val="right"/>
      </w:pPr>
      <w:r>
        <w:rPr>
          <w:rFonts w:ascii="David" w:hAnsi="David" w:cs="David"/>
          <w:b/>
          <w:i w:val="0"/>
          <w:sz w:val="26"/>
          <w:szCs w:val="26"/>
          <w:rtl w:val="1"/>
        </w:rPr>
        <w:t>ג. הפתרון: טרגי-פוליטי מול הומני</w:t>
      </w:r>
    </w:p>
    <w:p>
      <w:pPr>
        <w:bidi w:val="1"/>
        <w:spacing w:line="480" w:lineRule="auto" w:after="160"/>
        <w:jc w:val="both"/>
      </w:pPr>
      <w:r>
        <w:rPr>
          <w:rFonts w:ascii="David" w:hAnsi="David" w:cs="David"/>
          <w:b w:val="0"/>
          <w:i w:val="0"/>
          <w:sz w:val="24"/>
          <w:szCs w:val="24"/>
          <w:rtl w:val="1"/>
        </w:rPr>
        <w:t>כאן, בסיום, נפרדות הדרכים לגמרי. אצל ברכט אין גאולה. פירוק הגורל אינו מוביל אל פיוס אלא אל חורבן. קראון מאבד את בנו ואת מלחמתו, והמחזה מסתיים בהתרסקות השלטון בלי שום נחמה. ברכט אינו רוצה שהצופה יצא מטוהר בקתרזיס אלא שיצא מפוכח: פירוק המיתוס הוא עצמו האמירה, שאין גורל שמצדיק את הזוועה, יש רק בני אדם והחלטותיהם, ואת אלה אפשר וצריך לשפוט (ברכט, 1948/2022).</w:t>
      </w:r>
    </w:p>
    <w:p>
      <w:pPr>
        <w:bidi w:val="1"/>
        <w:spacing w:line="480" w:lineRule="auto" w:after="160"/>
        <w:jc w:val="both"/>
      </w:pPr>
      <w:r>
        <w:rPr>
          <w:rFonts w:ascii="David" w:hAnsi="David" w:cs="David"/>
          <w:b w:val="0"/>
          <w:i w:val="0"/>
          <w:sz w:val="24"/>
          <w:szCs w:val="24"/>
          <w:rtl w:val="1"/>
        </w:rPr>
        <w:t>אצל גיתה קורה ההפך. במקום שהמכונה האלוהית תתיר את הקשר, האמת האנושית של איפיגניה היא שממיסה את לב המלך. היא קוראת לתואס לפעול מן הלב ולא מן החישוב, "רַק הַסָּפֵק הוֹפֵךְ הַטּוֹב לְרָע. / אַל שְׁקוּלִים! קַיֵּם מִצְוַת לִבֶּךָ" (גיתה, 1787/1981, שורה 1990), ובשיא היא מנסחת את עקרון האנושיות, שהטוב אינו זקוק לחישובי תועלת, "לַעֲשׂוֹת הַטּוֹב, בִּשְׁקוּלִים אֵין צֹרֶךְ" (גיתה, 1787/1981, שורה 2000). תואס, הברברי לכאורה, נענה דווקא הוא לקריאה האנושית ומושיט יד לשלום, "הוֹשֶׁט נָא לִי יָדְךָ לְאוֹת שָׁלוֹם" (גיתה, 1787/1981, שורה 1985). הסכסוך המיתי, שאצל אוריפידס נפתר בכוח אלוהי, נפתר כאן בכוחו המוסרי של האדם.</w:t>
      </w:r>
    </w:p>
    <w:p>
      <w:pPr>
        <w:bidi w:val="1"/>
        <w:spacing w:line="480" w:lineRule="auto" w:after="160"/>
        <w:jc w:val="both"/>
      </w:pPr>
      <w:r>
        <w:rPr>
          <w:rFonts w:ascii="David" w:hAnsi="David" w:cs="David"/>
          <w:b w:val="0"/>
          <w:i w:val="0"/>
          <w:sz w:val="24"/>
          <w:szCs w:val="24"/>
          <w:rtl w:val="1"/>
        </w:rPr>
        <w:t>שני הסיומים האלה הם שתי תשובות הפוכות לאותה שאלה שהקורס מציב על הפנייה אל המיתוס, מה עושים עם המיתוס (בן-חורין, תשפ"ו). גיתה גואל אותו: הוא לוקח סיפור אכזרי של קורבן אדם והופך אותו לעדות ליכולתו של האדם להשתחרר מן האלימות בכוח האנושיות שבו. ברכט מסרב לגאולה הזאת. הוא חושף את המיתוס כמסך שמסתיר יחסי כוח, ומפרק אותו כדי שייחשף המנגנון הפוליטי שמאחוריו (ברכט, 1948/2022).</w:t>
      </w:r>
    </w:p>
    <w:p>
      <w:pPr>
        <w:bidi w:val="1"/>
        <w:spacing w:line="480" w:lineRule="auto" w:after="200"/>
        <w:jc w:val="right"/>
      </w:pPr>
      <w:r>
        <w:rPr>
          <w:rFonts w:ascii="David" w:hAnsi="David" w:cs="David"/>
          <w:b/>
          <w:i w:val="0"/>
          <w:sz w:val="26"/>
          <w:szCs w:val="26"/>
          <w:rtl w:val="1"/>
        </w:rPr>
        <w:t>ד. מה לומדים מן ההשוואה</w:t>
      </w:r>
    </w:p>
    <w:p>
      <w:pPr>
        <w:bidi w:val="1"/>
        <w:spacing w:line="480" w:lineRule="auto" w:after="160"/>
        <w:jc w:val="both"/>
      </w:pPr>
      <w:r>
        <w:rPr>
          <w:rFonts w:ascii="David" w:hAnsi="David" w:cs="David"/>
          <w:b w:val="0"/>
          <w:i w:val="0"/>
          <w:sz w:val="24"/>
          <w:szCs w:val="24"/>
          <w:rtl w:val="1"/>
        </w:rPr>
        <w:t>ההעמדה של שני המחזות זו מול זו מלמדת שהמיתוס אינו נושא בתוכו משמעות אחת קבועה, אלא הוא מעין מסך שעליו כל דרמטורג מקרין את שאלת התקופה שלו (בן-חורין, תשפ"ו). גיתה, בן הקלאסיקה של ויימאר, מקרין על המיתוס את האמונה הנאורה ביכולת האדם להשתלם ולגבור על הברבריות. ברכט, אחרי אושוויץ ואחרי המלחמה, כבר אינו יכול להאמין בגאולה הזאת, ולכן הופך את המיתוס לכלי ביקורת פוליטי (Zetti, 2017).</w:t>
      </w:r>
    </w:p>
    <w:p>
      <w:pPr>
        <w:bidi w:val="1"/>
        <w:spacing w:line="480" w:lineRule="auto" w:after="160"/>
        <w:jc w:val="both"/>
      </w:pPr>
      <w:r>
        <w:rPr>
          <w:rFonts w:ascii="David" w:hAnsi="David" w:cs="David"/>
          <w:b w:val="0"/>
          <w:i w:val="0"/>
          <w:sz w:val="24"/>
          <w:szCs w:val="24"/>
          <w:rtl w:val="1"/>
        </w:rPr>
        <w:t>ההבדל הזה נוגע ישירות בשאלה שהמחזות מציבים על הגיבורה. אנטיגונה של ברכט ואיפיגניה של גיתה שתיהן נשים שמתייצבות מול סמכות גברית בשם ערך עליון, אך אצל ברכט הערך הוא צדק פוליטי שמוביל אל מוות, ואצל גיתה הוא אנושיות שמובילה אל חיים. שתי הגיבורות מגלמות שני חלומות שונים על התנגדות, אחת מנצחת דרך מותה ומחאתה, והשנייה דרך כוחה לשנות את האחר בלי אלימות (בן-חורין, תשפ"ו).</w:t>
      </w:r>
    </w:p>
    <w:p>
      <w:pPr>
        <w:bidi w:val="1"/>
        <w:spacing w:line="480" w:lineRule="auto" w:after="160"/>
        <w:jc w:val="both"/>
      </w:pPr>
      <w:r>
        <w:rPr>
          <w:rFonts w:ascii="David" w:hAnsi="David" w:cs="David"/>
          <w:b w:val="0"/>
          <w:i w:val="0"/>
          <w:sz w:val="24"/>
          <w:szCs w:val="24"/>
          <w:rtl w:val="1"/>
        </w:rPr>
        <w:t>ובחזרה אל שו, שהצביעה על שיבתה המתמדת של אנטיגונה אל הבמה בכל מקום שבו מתקיים דיון מחודש בסמכות ובצדק (שו, 2026). איפיגניה, בהיפוך, מופיעה במקום שבו יש אמונה שאפשר לרפא את הפצע. שתיהן יחד מתוות את שני הקטבים של הדרמה הגרמנית מול המיתוס, קוטב המחאה הטרגית וקוטב הריפוי ההומני.</w:t>
      </w:r>
    </w:p>
    <w:p>
      <w:pPr>
        <w:bidi w:val="1"/>
        <w:spacing w:line="480" w:lineRule="auto" w:after="200"/>
        <w:jc w:val="right"/>
      </w:pPr>
      <w:r>
        <w:rPr>
          <w:rFonts w:ascii="David" w:hAnsi="David" w:cs="David"/>
          <w:b/>
          <w:i w:val="0"/>
          <w:sz w:val="26"/>
          <w:szCs w:val="26"/>
          <w:rtl w:val="1"/>
        </w:rPr>
        <w:t>סיכום ומסקנות</w:t>
      </w:r>
    </w:p>
    <w:p>
      <w:pPr>
        <w:bidi w:val="1"/>
        <w:spacing w:line="480" w:lineRule="auto" w:after="160"/>
        <w:jc w:val="both"/>
      </w:pPr>
      <w:r>
        <w:rPr>
          <w:rFonts w:ascii="David" w:hAnsi="David" w:cs="David"/>
          <w:b w:val="0"/>
          <w:i w:val="0"/>
          <w:sz w:val="24"/>
          <w:szCs w:val="24"/>
          <w:rtl w:val="1"/>
        </w:rPr>
        <w:t>"אנטיגונה" של ברכט ו"איפיגניה" של גיתה יוצאות מאותו מקור מיתי ומגיעות לשני מקומות מנוגדים. האחת מפרקת את המיתוס כדי לחשוף אלימות ושלטון, והשנייה גואלת אותו כדי להאיר את האנושיות. ההשוואה ביניהן אינה מכריעה מי צודקת, אלא מראה שהמיתוס הוא שדה פתוח, וכל דרמטורג בוחר בו את הקרב שלו, גיתה את הקרב על דמות האדם וברכט את הקרב על האמת הפוליטית (בן-חורין, תשפ"ו).</w:t>
      </w:r>
    </w:p>
    <w:p>
      <w:pPr>
        <w:bidi w:val="1"/>
        <w:spacing w:line="480" w:lineRule="auto" w:after="160"/>
        <w:jc w:val="both"/>
      </w:pPr>
      <w:r>
        <w:rPr>
          <w:rFonts w:ascii="David" w:hAnsi="David" w:cs="David"/>
          <w:b w:val="0"/>
          <w:i w:val="0"/>
          <w:sz w:val="24"/>
          <w:szCs w:val="24"/>
          <w:rtl w:val="1"/>
        </w:rPr>
        <w:t>מעבר למסקנה התאורטית, ההשוואה מציעה גם דרך קריאה יישומית. קריאה של מחזה לא בבידודו אלא מול המקור המיתי שלו ומול עיבוד מנוגד, כפי שנעשה כאן עם שני העיבודים הגרמניים, חושפת את שאלת התקופה בחדות שקריאה של מחזה יחיד אינה מגיעה אליה. זהו הכלי הפרשני שהקורס מציע, וההשוואה בין ברכט לגיתה מדגימה מדוע דווקא ההעמדה הכפולה, ולא הקריאה הבודדת, מוציאה מן המיתוס את מלוא משמעותו בהווה.</w:t>
      </w:r>
    </w:p>
    <w:p>
      <w:r>
        <w:br w:type="page"/>
      </w:r>
    </w:p>
    <w:p>
      <w:pPr>
        <w:bidi w:val="1"/>
        <w:spacing w:line="480" w:lineRule="auto" w:after="200"/>
        <w:jc w:val="right"/>
      </w:pPr>
      <w:r>
        <w:rPr>
          <w:rFonts w:ascii="David" w:hAnsi="David" w:cs="David"/>
          <w:b/>
          <w:i w:val="0"/>
          <w:sz w:val="26"/>
          <w:szCs w:val="26"/>
          <w:rtl w:val="1"/>
        </w:rPr>
        <w:t>רשימת מקורות</w:t>
      </w:r>
    </w:p>
    <w:p>
      <w:pPr>
        <w:bidi w:val="1"/>
        <w:spacing w:line="480" w:lineRule="auto" w:after="200"/>
        <w:ind w:left="709" w:hanging="709"/>
        <w:jc w:val="both"/>
      </w:pPr>
      <w:r>
        <w:rPr>
          <w:rFonts w:ascii="David" w:hAnsi="David" w:cs="David"/>
          <w:i w:val="0"/>
          <w:sz w:val="24"/>
          <w:szCs w:val="24"/>
          <w:rtl w:val="1"/>
        </w:rPr>
        <w:t xml:space="preserve">בן-חורין, מ' (תשפ"ו). </w:t>
      </w:r>
      <w:r>
        <w:rPr>
          <w:rFonts w:ascii="David" w:hAnsi="David" w:cs="David"/>
          <w:i/>
          <w:sz w:val="24"/>
          <w:szCs w:val="24"/>
          <w:rtl w:val="1"/>
        </w:rPr>
        <w:t>מיתוס ודרמה בגרמניה</w:t>
      </w:r>
      <w:r>
        <w:rPr>
          <w:rFonts w:ascii="David" w:hAnsi="David" w:cs="David"/>
          <w:i w:val="0"/>
          <w:sz w:val="24"/>
          <w:szCs w:val="24"/>
          <w:rtl w:val="1"/>
        </w:rPr>
        <w:t xml:space="preserve"> [סילבוס הקורס]. אוניברסיטת בר-אילן.</w:t>
      </w:r>
    </w:p>
    <w:p>
      <w:pPr>
        <w:bidi w:val="1"/>
        <w:spacing w:line="480" w:lineRule="auto" w:after="200"/>
        <w:ind w:left="709" w:hanging="709"/>
        <w:jc w:val="both"/>
      </w:pPr>
      <w:r>
        <w:rPr>
          <w:rFonts w:ascii="David" w:hAnsi="David" w:cs="David"/>
          <w:i w:val="0"/>
          <w:sz w:val="24"/>
          <w:szCs w:val="24"/>
          <w:rtl w:val="1"/>
        </w:rPr>
        <w:t xml:space="preserve">ברכט, ב' (2022). </w:t>
      </w:r>
      <w:r>
        <w:rPr>
          <w:rFonts w:ascii="David" w:hAnsi="David" w:cs="David"/>
          <w:i/>
          <w:sz w:val="24"/>
          <w:szCs w:val="24"/>
          <w:rtl w:val="1"/>
        </w:rPr>
        <w:t>אנטיגונה של סופוקלס: עיבוד לבמה בעקבות תרגומו של הלדרלין</w:t>
      </w:r>
      <w:r>
        <w:rPr>
          <w:rFonts w:ascii="David" w:hAnsi="David" w:cs="David"/>
          <w:i w:val="0"/>
          <w:sz w:val="24"/>
          <w:szCs w:val="24"/>
          <w:rtl w:val="1"/>
        </w:rPr>
        <w:t xml:space="preserve"> (ח' אלשטיין, מתרגם) [מהדורת במה]. (פורסם במקור בשנת 1948)</w:t>
      </w:r>
    </w:p>
    <w:p>
      <w:pPr>
        <w:bidi w:val="1"/>
        <w:spacing w:line="480" w:lineRule="auto" w:after="200"/>
        <w:ind w:left="709" w:hanging="709"/>
        <w:jc w:val="both"/>
      </w:pPr>
      <w:r>
        <w:rPr>
          <w:rFonts w:ascii="David" w:hAnsi="David" w:cs="David"/>
          <w:i w:val="0"/>
          <w:sz w:val="24"/>
          <w:szCs w:val="24"/>
          <w:rtl w:val="1"/>
        </w:rPr>
        <w:t xml:space="preserve">גיתה, י"ו (1981). </w:t>
      </w:r>
      <w:r>
        <w:rPr>
          <w:rFonts w:ascii="David" w:hAnsi="David" w:cs="David"/>
          <w:i/>
          <w:sz w:val="24"/>
          <w:szCs w:val="24"/>
          <w:rtl w:val="1"/>
        </w:rPr>
        <w:t>איפיגניה בטאוריס</w:t>
      </w:r>
      <w:r>
        <w:rPr>
          <w:rFonts w:ascii="David" w:hAnsi="David" w:cs="David"/>
          <w:i w:val="0"/>
          <w:sz w:val="24"/>
          <w:szCs w:val="24"/>
          <w:rtl w:val="1"/>
        </w:rPr>
        <w:t xml:space="preserve"> (י' כפכפי, מתרגם). דביר. (פורסם במקור בשנת 1787)</w:t>
      </w:r>
    </w:p>
    <w:p>
      <w:pPr>
        <w:bidi w:val="1"/>
        <w:spacing w:line="480" w:lineRule="auto" w:after="200"/>
        <w:ind w:left="709" w:hanging="709"/>
        <w:jc w:val="both"/>
      </w:pPr>
      <w:r>
        <w:rPr>
          <w:rFonts w:ascii="David" w:hAnsi="David" w:cs="David"/>
          <w:i w:val="0"/>
          <w:sz w:val="24"/>
          <w:szCs w:val="24"/>
          <w:rtl w:val="1"/>
        </w:rPr>
        <w:t xml:space="preserve">שו, ה' (2026, 31 במרץ). מדוע אנחנו אובססיביים לאנטיגונה? </w:t>
      </w:r>
      <w:r>
        <w:rPr>
          <w:rFonts w:ascii="David" w:hAnsi="David" w:cs="David"/>
          <w:i/>
          <w:sz w:val="24"/>
          <w:szCs w:val="24"/>
          <w:rtl w:val="1"/>
        </w:rPr>
        <w:t>הניו יורק טיימס</w:t>
      </w:r>
      <w:r>
        <w:rPr>
          <w:rFonts w:ascii="David" w:hAnsi="David" w:cs="David"/>
          <w:i w:val="0"/>
          <w:sz w:val="24"/>
          <w:szCs w:val="24"/>
          <w:rtl w:val="1"/>
        </w:rPr>
        <w:t>.</w:t>
      </w:r>
    </w:p>
    <w:p>
      <w:pPr>
        <w:spacing w:line="480" w:lineRule="auto" w:after="200"/>
        <w:ind w:left="709" w:hanging="709"/>
        <w:jc w:val="left"/>
      </w:pPr>
      <w:r>
        <w:rPr>
          <w:rFonts w:ascii="David" w:hAnsi="David" w:cs="David"/>
          <w:i w:val="0"/>
          <w:sz w:val="24"/>
          <w:szCs w:val="24"/>
        </w:rPr>
        <w:t xml:space="preserve">Zetti, R. (2017). Antigone's (mis)appropriations in twentieth-century Europe: Memory, politics and resistance. </w:t>
      </w:r>
      <w:r>
        <w:rPr>
          <w:rFonts w:ascii="David" w:hAnsi="David" w:cs="David"/>
          <w:i/>
          <w:sz w:val="24"/>
          <w:szCs w:val="24"/>
        </w:rPr>
        <w:t>Calíope: Presença Clássica, 34</w:t>
      </w:r>
      <w:r>
        <w:rPr>
          <w:rFonts w:ascii="David" w:hAnsi="David" w:cs="David"/>
          <w:i w:val="0"/>
          <w:sz w:val="24"/>
          <w:szCs w:val="24"/>
        </w:rPr>
        <w:t>.</w:t>
      </w:r>
      <w:r>
        <w:t xml:space="preserve"> </w:t>
      </w:r>
      <w:hyperlink r:id="rId9">
        <w:r>
          <w:rPr>
            <w:rFonts w:ascii="David" w:hAnsi="David" w:cs="David"/>
            <w:sz w:val="24"/>
            <w:szCs w:val="24"/>
            <w:color w:val="0563C1"/>
            <w:u w:val="single"/>
          </w:rPr>
          <w:t xml:space="preserve">https://revistas.ufrj.br/index.php/caliope/article/view/14551</w:t>
        </w:r>
      </w:hyperlink>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vistas.ufrj.br/index.php/caliope/article/view/145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