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2377440" cy="1166909"/>
            <wp:docPr id="1" name="Picture 1"/>
            <wp:cNvGraphicFramePr>
              <a:graphicFrameLocks noChangeAspect="1"/>
            </wp:cNvGraphicFramePr>
            <a:graphic>
              <a:graphicData uri="http://schemas.openxmlformats.org/drawingml/2006/picture">
                <pic:pic>
                  <pic:nvPicPr>
                    <pic:cNvPr id="0" name="40093ad3-IMG_5776.png"/>
                    <pic:cNvPicPr/>
                  </pic:nvPicPr>
                  <pic:blipFill>
                    <a:blip r:embed="rId9"/>
                    <a:stretch>
                      <a:fillRect/>
                    </a:stretch>
                  </pic:blipFill>
                  <pic:spPr>
                    <a:xfrm>
                      <a:off x="0" y="0"/>
                      <a:ext cx="2377440" cy="1166909"/>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בחרתי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60"/>
        <w:jc w:val="both"/>
      </w:pPr>
      <w:r>
        <w:rPr>
          <w:rFonts w:ascii="David" w:hAnsi="David" w:cs="David"/>
          <w:b w:val="0"/>
          <w:i w:val="0"/>
          <w:sz w:val="24"/>
          <w:szCs w:val="24"/>
          <w:rtl w:val="1"/>
        </w:rPr>
        <w:t>הרובד הזה נבנה על פי עקרונות העולם החדש של הדוברות שנלמדו בקורס, שלפיהם כל מהלך תקשורתי מתחיל בהגדרה מדויקת של נקודת המוצא, המטרה, הקהל, העיתוי, השחקנים והמסרים, עוד לפני שנוגעים ביוזמות עצמן.</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אני יוצאת.</w:t>
      </w:r>
    </w:p>
    <w:p>
      <w:pPr>
        <w:bidi w:val="1"/>
        <w:spacing w:line="360" w:lineRule="auto" w:after="120"/>
        <w:jc w:val="right"/>
      </w:pPr>
      <w:r>
        <w:rPr>
          <w:rFonts w:ascii="David" w:hAnsi="David" w:cs="David"/>
          <w:b/>
          <w:i w:val="0"/>
          <w:sz w:val="26"/>
          <w:szCs w:val="26"/>
          <w:rtl w:val="1"/>
        </w:rPr>
        <w:t>ניתוח SWOT</w:t>
      </w:r>
    </w:p>
    <w:tbl>
      <w:tblPr>
        <w:tblStyle w:val="TableGrid"/>
        <w:tblW w:type="auto" w:w="0"/>
        <w:jc w:val="right"/>
        <w:tblLook w:firstColumn="1" w:firstRow="1" w:lastColumn="0" w:lastRow="0" w:noHBand="0" w:noVBand="1" w:val="04A0"/>
      </w:tblPr>
      <w:tblGrid>
        <w:gridCol w:w="4680"/>
        <w:gridCol w:w="4680"/>
      </w:tblGrid>
      <w:tr>
        <w:tc>
          <w:tcPr>
            <w:tcW w:type="dxa" w:w="1872"/>
          </w:tcPr>
          <w:p>
            <w:pPr>
              <w:bidi w:val="1"/>
              <w:jc w:val="right"/>
            </w:pPr>
            <w:r/>
            <w:r>
              <w:rPr>
                <w:rFonts w:ascii="David" w:hAnsi="David" w:cs="David"/>
                <w:b/>
                <w:i w:val="0"/>
                <w:sz w:val="22"/>
                <w:szCs w:val="22"/>
                <w:rtl w:val="1"/>
              </w:rPr>
              <w:t>רכיב</w:t>
            </w:r>
          </w:p>
        </w:tc>
        <w:tc>
          <w:tcPr>
            <w:tcW w:type="dxa" w:w="6768"/>
          </w:tcPr>
          <w:p>
            <w:pPr>
              <w:bidi w:val="1"/>
              <w:jc w:val="right"/>
            </w:pPr>
            <w:r/>
            <w:r>
              <w:rPr>
                <w:rFonts w:ascii="David" w:hAnsi="David" w:cs="David"/>
                <w:b/>
                <w:i w:val="0"/>
                <w:sz w:val="22"/>
                <w:szCs w:val="22"/>
                <w:rtl w:val="1"/>
              </w:rPr>
              <w:t>תוכן</w:t>
            </w:r>
          </w:p>
        </w:tc>
      </w:tr>
      <w:tr>
        <w:tc>
          <w:tcPr>
            <w:tcW w:type="dxa" w:w="1872"/>
          </w:tcPr>
          <w:p>
            <w:pPr>
              <w:bidi w:val="1"/>
              <w:jc w:val="right"/>
            </w:pPr>
            <w:r/>
            <w:r>
              <w:rPr>
                <w:rFonts w:ascii="David" w:hAnsi="David" w:cs="David"/>
                <w:b w:val="0"/>
                <w:i w:val="0"/>
                <w:sz w:val="22"/>
                <w:szCs w:val="22"/>
                <w:rtl w:val="1"/>
              </w:rPr>
              <w:t>חוזקות</w:t>
            </w:r>
          </w:p>
        </w:tc>
        <w:tc>
          <w:tcPr>
            <w:tcW w:type="dxa" w:w="6768"/>
          </w:tcPr>
          <w:p>
            <w:pPr>
              <w:bidi w:val="1"/>
              <w:jc w:val="right"/>
            </w:pPr>
            <w:r/>
            <w:r>
              <w:rPr>
                <w:rFonts w:ascii="David" w:hAnsi="David" w:cs="David"/>
                <w:b w:val="0"/>
                <w:i w:val="0"/>
                <w:sz w:val="22"/>
                <w:szCs w:val="22"/>
                <w:rtl w:val="1"/>
              </w:rPr>
              <w:t>עשור של ניסיון, צוות מקצועי, תוצאות מוכחות בשטח, וסיפורי בוגרים אותנטיים ומרגשים.</w:t>
            </w:r>
          </w:p>
        </w:tc>
      </w:tr>
      <w:tr>
        <w:tc>
          <w:tcPr>
            <w:tcW w:type="dxa" w:w="1872"/>
          </w:tcPr>
          <w:p>
            <w:pPr>
              <w:bidi w:val="1"/>
              <w:jc w:val="right"/>
            </w:pPr>
            <w:r/>
            <w:r>
              <w:rPr>
                <w:rFonts w:ascii="David" w:hAnsi="David" w:cs="David"/>
                <w:b w:val="0"/>
                <w:i w:val="0"/>
                <w:sz w:val="22"/>
                <w:szCs w:val="22"/>
                <w:rtl w:val="1"/>
              </w:rPr>
              <w:t>חולשות</w:t>
            </w:r>
          </w:p>
        </w:tc>
        <w:tc>
          <w:tcPr>
            <w:tcW w:type="dxa" w:w="6768"/>
          </w:tcPr>
          <w:p>
            <w:pPr>
              <w:bidi w:val="1"/>
              <w:jc w:val="right"/>
            </w:pPr>
            <w:r/>
            <w:r>
              <w:rPr>
                <w:rFonts w:ascii="David" w:hAnsi="David" w:cs="David"/>
                <w:b w:val="0"/>
                <w:i w:val="0"/>
                <w:sz w:val="22"/>
                <w:szCs w:val="22"/>
                <w:rtl w:val="1"/>
              </w:rPr>
              <w:t>מודעות ציבורית נמוכה, נוכחות דיגיטלית דלה, ותלות בתקציב לא יציב שמגיע ממעט תורמים.</w:t>
            </w:r>
          </w:p>
        </w:tc>
      </w:tr>
      <w:tr>
        <w:tc>
          <w:tcPr>
            <w:tcW w:type="dxa" w:w="1872"/>
          </w:tcPr>
          <w:p>
            <w:pPr>
              <w:bidi w:val="1"/>
              <w:jc w:val="right"/>
            </w:pPr>
            <w:r/>
            <w:r>
              <w:rPr>
                <w:rFonts w:ascii="David" w:hAnsi="David" w:cs="David"/>
                <w:b w:val="0"/>
                <w:i w:val="0"/>
                <w:sz w:val="22"/>
                <w:szCs w:val="22"/>
                <w:rtl w:val="1"/>
              </w:rPr>
              <w:t>הזדמנויות</w:t>
            </w:r>
          </w:p>
        </w:tc>
        <w:tc>
          <w:tcPr>
            <w:tcW w:type="dxa" w:w="6768"/>
          </w:tcPr>
          <w:p>
            <w:pPr>
              <w:bidi w:val="1"/>
              <w:jc w:val="right"/>
            </w:pPr>
            <w:r/>
            <w:r>
              <w:rPr>
                <w:rFonts w:ascii="David" w:hAnsi="David" w:cs="David"/>
                <w:b w:val="0"/>
                <w:i w:val="0"/>
                <w:sz w:val="22"/>
                <w:szCs w:val="22"/>
                <w:rtl w:val="1"/>
              </w:rPr>
              <w:t>עניין תקשורתי בנוער בפתיחת השנה, מגמת אחריות תאגידית, ופוטנציאל לא ממומש ברשתות ובשותפויות.</w:t>
            </w:r>
          </w:p>
        </w:tc>
      </w:tr>
      <w:tr>
        <w:tc>
          <w:tcPr>
            <w:tcW w:type="dxa" w:w="1872"/>
          </w:tcPr>
          <w:p>
            <w:pPr>
              <w:bidi w:val="1"/>
              <w:jc w:val="right"/>
            </w:pPr>
            <w:r/>
            <w:r>
              <w:rPr>
                <w:rFonts w:ascii="David" w:hAnsi="David" w:cs="David"/>
                <w:b w:val="0"/>
                <w:i w:val="0"/>
                <w:sz w:val="22"/>
                <w:szCs w:val="22"/>
                <w:rtl w:val="1"/>
              </w:rPr>
              <w:t>איומים</w:t>
            </w:r>
          </w:p>
        </w:tc>
        <w:tc>
          <w:tcPr>
            <w:tcW w:type="dxa" w:w="6768"/>
          </w:tcPr>
          <w:p>
            <w:pPr>
              <w:bidi w:val="1"/>
              <w:jc w:val="right"/>
            </w:pPr>
            <w:r/>
            <w:r>
              <w:rPr>
                <w:rFonts w:ascii="David" w:hAnsi="David" w:cs="David"/>
                <w:b w:val="0"/>
                <w:i w:val="0"/>
                <w:sz w:val="22"/>
                <w:szCs w:val="22"/>
                <w:rtl w:val="1"/>
              </w:rPr>
              <w:t>סטיגמה כלפי נוער בסיכון, ביקורת ציבורית על התנהלות עמותות, ותחרות על תשומת לב ועל תרומות.</w:t>
            </w:r>
          </w:p>
        </w:tc>
      </w:tr>
    </w:tbl>
    <w:p>
      <w:pPr>
        <w:bidi w:val="1"/>
        <w:spacing w:line="360" w:lineRule="auto" w:after="80"/>
        <w:jc w:val="both"/>
      </w:pP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שהצבתי איננה סתם "יותר חשיפה". היא יעד מוגדר וניתן למדידה. בתוך תקופת הקמפיין, מאוגוסט ועד סוף ספטמבר, אני רוצה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את ההתקדמות אמדוד בגידול במספר התורמים ובהיקף התרומות, בהיקף החשיפה התקשורתית ובמעורבות ברשתות, ובטון השיח הציבורי סביב הנושא.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60"/>
        <w:jc w:val="both"/>
      </w:pPr>
      <w:r>
        <w:rPr>
          <w:rFonts w:ascii="David" w:hAnsi="David" w:cs="David"/>
          <w:b w:val="0"/>
          <w:i w:val="0"/>
          <w:sz w:val="24"/>
          <w:szCs w:val="24"/>
          <w:rtl w:val="1"/>
        </w:rPr>
        <w:t>כדי לדבר עם כל קהל בשפה שלו, פילחתי אותם לפי מה שמניע כל אחד. התורם הפרטי מגיב לסיפור האישי ולתחושה שהתרומה שלו משנה חיים ממש. התורם העסקי מחפש שותפות שמייצרת גם ערך מיתוגי ואחריות תאגידית. מקבל ההחלטות ברשות רוצה לראות נתונים ושיתוף פעולה מוסדי. וההורים והנוער עצמם צריכים קודם כול לחוש שהעמותה רואה אותם בכבוד, ולא כבעיה שצריך לפתור. לכל קהל מותאם דגש אחר מתוך אותם מסרי עוגן.</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בחרתי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מצאתי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שלי מנסה לנהל (אלוש 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תרגמתי לארבע יוזמות יחסי ציבור, שתיים במדיה הדיגיטלית ושתיים במדיה המסורתית. כל אחת מתוארת כאן בהרחבה, עם המטרה, הקהל, והדרך שבה היא מגישה את מסרי העוגן. החלוקה הזאת נשענת על מה שנלמד בקורס, גם על המעבר מתקשורת מסורתית לרשתות החברתיות והשפעתן על הדוברות, וגם על פרק יחסי הדוברות מול התקשורת, שעסק בעבודה עם עיתונאים, בכתיבת הודעות לעיתונות ובארגון מסיבות עיתונאים.</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אני משלבת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60"/>
        <w:jc w:val="both"/>
      </w:pPr>
      <w:r>
        <w:rPr>
          <w:rFonts w:ascii="David" w:hAnsi="David" w:cs="David"/>
          <w:b w:val="0"/>
          <w:i w:val="0"/>
          <w:sz w:val="24"/>
          <w:szCs w:val="24"/>
          <w:rtl w:val="1"/>
        </w:rPr>
        <w:t>הבחירה בסיפור אישי וגולמי ולא במסר מלוטש איננה מקרית. מחקר שבחן מעורבות של עמותות בפלטפורמות כמו טיקטוק מצא שדווקא תוכן אותנטי ואישי, שמותאם לשפה של הפלטפורמה ולא משוכפל ממנה, הוא שמייצר חיבור אמיתי עם הקהל ומעורבות גבוהה יותר (DeMasters et al., 2024).</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פתחתי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(אלוש גלם ואחרים, 2025).</w:t>
      </w:r>
    </w:p>
    <w:p>
      <w:pPr>
        <w:bidi w:val="1"/>
        <w:spacing w:line="360" w:lineRule="auto" w:after="160"/>
        <w:jc w:val="both"/>
      </w:pPr>
      <w:r>
        <w:rPr>
          <w:rFonts w:ascii="David" w:hAnsi="David" w:cs="David"/>
          <w:b w:val="0"/>
          <w:i w:val="0"/>
          <w:sz w:val="24"/>
          <w:szCs w:val="24"/>
          <w:rtl w:val="1"/>
        </w:rPr>
        <w:t>יומן השטח הוא גם כלי לבניית מערכת יחסים, לא רק להעברת מידע. מחקר שבחן כיצד ארגונים ללא מטרות רווח משתמשים בפייסבוק מצא שהערך האמיתי של הנוכחות הדיגיטלית נמדד ביכולת לבנות קשר דו-כיווני ומתמשך עם הקהל, ולא במספר הפרסומים או הלייקים (Oliński &amp; Szamrowski, 2021).</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פתחתי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שמיפיתי, ונותן לכלי התקשורת אירוע חי לסקר. הוא גם מאותת לתורמים שמרחב היא שחקן רציני עם גב ציבורי, ולא עמותה קטנה ובודדה.</w:t>
      </w:r>
    </w:p>
    <w:p>
      <w:pPr>
        <w:bidi w:val="1"/>
        <w:spacing w:line="360" w:lineRule="auto" w:after="120"/>
        <w:jc w:val="right"/>
      </w:pPr>
      <w:r>
        <w:rPr>
          <w:rFonts w:ascii="David" w:hAnsi="David" w:cs="David"/>
          <w:b/>
          <w:i w:val="0"/>
          <w:sz w:val="26"/>
          <w:szCs w:val="26"/>
          <w:rtl w:val="1"/>
        </w:rPr>
        <w:t>לוח זמנים ומדדי הצלחה</w:t>
      </w:r>
    </w:p>
    <w:p>
      <w:pPr>
        <w:bidi w:val="1"/>
        <w:spacing w:line="360" w:lineRule="auto" w:after="160"/>
        <w:jc w:val="both"/>
      </w:pPr>
      <w:r>
        <w:rPr>
          <w:rFonts w:ascii="David" w:hAnsi="David" w:cs="David"/>
          <w:b w:val="0"/>
          <w:i w:val="0"/>
          <w:sz w:val="24"/>
          <w:szCs w:val="24"/>
          <w:rtl w:val="1"/>
        </w:rPr>
        <w:t>ארבע היוזמות רצות במקביל לאורך אוגוסט וספטמבר. קמפיין הסושיאל פרוס על כל התקופה, וההשקה במדיה המסורתית והאירוע ממוקדים לשבוע פתיחת השנה, נקודת השיא של התוכנית. את ההצלחה אני מודדת בכמה מדדים פשוטים, היקף ואיכות החשיפה התקשורתית, מדדי מעורבות ברשתות כמו שיתופים, תגובות וצפיות מלאות, מספר התורמים החדשים והיקף התרומות, ולאורך זמן גם שינוי בטון של השיח סביב נוער בסיכון. מדידה שוטפת לאורך הדרך מאפשרת לתקן תוך כדי תנועה, ולא רק להסתכל אחורה בסוף.</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ניהול משברים תקשורתיים היה אחד הנושאים המרכזיים בקורס, בפרק האסטרטגיות התקשורתיות בעידן הדיגיטלי, וכאן אני מיישמת אותו על מקרה קונקרטי של עמותת מרחב.</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שאני נערכת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הקמתי צוות משבר קבוע וקבעתי דובר יחיד ומוסמך, כדי שלא ייצאו מהעמותה קולות סותרים. הכנתי מראש הצהרת החזקה, כמה משפטים ראשונים שמבטאים אחריות, אמפתיה ומחויבות לבדיקה, שאפשר לפרסם בתוך דקות. הגדרתי מי מנטר את הרשתות ואת התקשורת מסביב לשעון, ומיפיתי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שבחרתי נשענים על מה שמזוהה בספרות כליבה של תקשורת משבר. סקירה ביבליומטרית מקיפה שמיפתה כחמישה עשורים של מחקר בתחום מצאה שאחת התמות המרכזיות היא הקשר בין תקשורת משבר לרשתות החברתיות, לצד תמות של מנהיגות בעת משבר ושל בנייה וניהול של מוניטין, ושהרשתות הפכו לזירה שבה משברים מתפרצים ומנוהלים כיום (Upadhyay &amp; Upadhyay, 2023).</w:t>
      </w:r>
    </w:p>
    <w:p>
      <w:pPr>
        <w:bidi w:val="1"/>
        <w:spacing w:line="360" w:lineRule="auto" w:after="160"/>
        <w:jc w:val="both"/>
      </w:pPr>
      <w:r>
        <w:rPr>
          <w:rFonts w:ascii="David" w:hAnsi="David" w:cs="David"/>
          <w:b w:val="0"/>
          <w:i w:val="0"/>
          <w:sz w:val="24"/>
          <w:szCs w:val="24"/>
          <w:rtl w:val="1"/>
        </w:rPr>
        <w:t>מחקר ממוקד יותר על תקשורת משבר ברשתות מצא שהאמון של הציבור בזמן משבר מושפע מארבעה מאפיינים של התקשורת, שקיפות, מהירות, אמפתיה ובהירות, ושהמשבר מתנהל בזירה רטורית שבה הארגון, כלי התקשורת והציבור מייצרים יחד את המסרים ומגיבים זה לזה (MacKay et al., 2021).</w:t>
      </w:r>
    </w:p>
    <w:p>
      <w:pPr>
        <w:bidi w:val="1"/>
        <w:spacing w:line="360" w:lineRule="auto" w:after="160"/>
        <w:jc w:val="both"/>
      </w:pPr>
      <w:r>
        <w:rPr>
          <w:rFonts w:ascii="David" w:hAnsi="David" w:cs="David"/>
          <w:b w:val="0"/>
          <w:i w:val="0"/>
          <w:sz w:val="24"/>
          <w:szCs w:val="24"/>
          <w:rtl w:val="1"/>
        </w:rPr>
        <w:t>על בסיס זה בניתי את עקרונות התגובה של מרחב, מהירות, שקיפות, אמפתיה ובהירות. התגובה תהיה מנוסחת בשפה אנושית ולא בהתגוננות משפטית קרה. הדובר יאמר את מה שידוע, יכיר ברגש, ויתחייב לבדוק, במקום לחכות שהתמונה תתבהר בזמן שהרשתות כבר רותחות. כשהזירה משותפת, השתיקה של הארגון פשוט מפנה את הבמה לאחרים.</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בניית מוניטין וניהולו הם אחד הצירים המרכזיים שהמחקר בתחום מזהה בתקשורת המשבר (Upadhyay &amp; Upadhyay, 2023).</w:t>
      </w:r>
    </w:p>
    <w:p>
      <w:pPr>
        <w:bidi w:val="1"/>
        <w:spacing w:line="360" w:lineRule="auto" w:after="160"/>
        <w:jc w:val="both"/>
      </w:pPr>
      <w:r>
        <w:rPr>
          <w:rFonts w:ascii="David" w:hAnsi="David" w:cs="David"/>
          <w:b w:val="0"/>
          <w:i w:val="0"/>
          <w:sz w:val="24"/>
          <w:szCs w:val="24"/>
          <w:rtl w:val="1"/>
        </w:rPr>
        <w:t>כאן העמותה מראה מה למדה ומה שינתה, מפרסמת את המסקנות ואת הצעדים המתקנים, וחוזרת לספר את הסיפור החיובי שלה דרך אותם ערוצים דיגיטליים ומסורתיים שבניתי. משבר מנוהל היטב יכול אפילו לחזק את האמון, אם הציבור רואה ארגון שלוקח אחריות ולא מתחמק.</w:t>
      </w:r>
    </w:p>
    <w:p>
      <w:pPr>
        <w:bidi w:val="1"/>
        <w:spacing w:line="360" w:lineRule="auto" w:after="120"/>
        <w:jc w:val="right"/>
      </w:pPr>
      <w:r>
        <w:rPr>
          <w:rFonts w:ascii="David" w:hAnsi="David" w:cs="David"/>
          <w:b/>
          <w:i w:val="0"/>
          <w:sz w:val="26"/>
          <w:szCs w:val="26"/>
          <w:rtl w:val="1"/>
        </w:rPr>
        <w:t>צוות המשבר וחלוקת התפקידים</w:t>
      </w:r>
    </w:p>
    <w:p>
      <w:pPr>
        <w:bidi w:val="1"/>
        <w:spacing w:line="360" w:lineRule="auto" w:after="160"/>
        <w:jc w:val="both"/>
      </w:pPr>
      <w:r>
        <w:rPr>
          <w:rFonts w:ascii="David" w:hAnsi="David" w:cs="David"/>
          <w:b w:val="0"/>
          <w:i w:val="0"/>
          <w:sz w:val="24"/>
          <w:szCs w:val="24"/>
          <w:rtl w:val="1"/>
        </w:rPr>
        <w:t>צוות המשבר קטן ומוגדר מראש. מנכ"לית העמותה מובילה ומקבלת את ההחלטות הגדולות, הדובר היחיד מדבר החוצה, איש מקצוע מהתחום הטיפולי מוודא שהתגובה לא פוגעת בחניכים או בתהליך השיקומי, ואחראי ניטור עוקב אחר הרשתות ואחר התקשורת. כל שאר אנשי העמותה יודעים דבר אחד, להפנות כל פנייה תקשורתית לדובר ולא להגיב בעצמם.</w:t>
      </w:r>
    </w:p>
    <w:p>
      <w:pPr>
        <w:bidi w:val="1"/>
        <w:spacing w:line="360" w:lineRule="auto" w:after="120"/>
        <w:jc w:val="right"/>
      </w:pPr>
      <w:r>
        <w:rPr>
          <w:rFonts w:ascii="David" w:hAnsi="David" w:cs="David"/>
          <w:b/>
          <w:i w:val="0"/>
          <w:sz w:val="26"/>
          <w:szCs w:val="26"/>
          <w:rtl w:val="1"/>
        </w:rPr>
        <w:t>מיפוי תרחישים ותגובה ראשונית</w:t>
      </w:r>
    </w:p>
    <w:tbl>
      <w:tblPr>
        <w:tblStyle w:val="TableGrid"/>
        <w:tblW w:type="auto" w:w="0"/>
        <w:jc w:val="right"/>
        <w:tblLook w:firstColumn="1" w:firstRow="1" w:lastColumn="0" w:lastRow="0" w:noHBand="0" w:noVBand="1" w:val="04A0"/>
      </w:tblPr>
      <w:tblGrid>
        <w:gridCol w:w="4680"/>
        <w:gridCol w:w="4680"/>
      </w:tblGrid>
      <w:tr>
        <w:tc>
          <w:tcPr>
            <w:tcW w:type="dxa" w:w="3744"/>
          </w:tcPr>
          <w:p>
            <w:pPr>
              <w:bidi w:val="1"/>
              <w:jc w:val="right"/>
            </w:pPr>
            <w:r/>
            <w:r>
              <w:rPr>
                <w:rFonts w:ascii="David" w:hAnsi="David" w:cs="David"/>
                <w:b/>
                <w:i w:val="0"/>
                <w:sz w:val="22"/>
                <w:szCs w:val="22"/>
                <w:rtl w:val="1"/>
              </w:rPr>
              <w:t>תרחיש אפשרי</w:t>
            </w:r>
          </w:p>
        </w:tc>
        <w:tc>
          <w:tcPr>
            <w:tcW w:type="dxa" w:w="4896"/>
          </w:tcPr>
          <w:p>
            <w:pPr>
              <w:bidi w:val="1"/>
              <w:jc w:val="right"/>
            </w:pPr>
            <w:r/>
            <w:r>
              <w:rPr>
                <w:rFonts w:ascii="David" w:hAnsi="David" w:cs="David"/>
                <w:b/>
                <w:i w:val="0"/>
                <w:sz w:val="22"/>
                <w:szCs w:val="22"/>
                <w:rtl w:val="1"/>
              </w:rPr>
              <w:t>תגובה ראשונית</w:t>
            </w:r>
          </w:p>
        </w:tc>
      </w:tr>
      <w:tr>
        <w:tc>
          <w:tcPr>
            <w:tcW w:type="dxa" w:w="3744"/>
          </w:tcPr>
          <w:p>
            <w:pPr>
              <w:bidi w:val="1"/>
              <w:jc w:val="right"/>
            </w:pPr>
            <w:r/>
            <w:r>
              <w:rPr>
                <w:rFonts w:ascii="David" w:hAnsi="David" w:cs="David"/>
                <w:b w:val="0"/>
                <w:i w:val="0"/>
                <w:sz w:val="22"/>
                <w:szCs w:val="22"/>
                <w:rtl w:val="1"/>
              </w:rPr>
              <w:t>חשד לפגיעה או הזנחה של חניך במסגרת</w:t>
            </w:r>
          </w:p>
        </w:tc>
        <w:tc>
          <w:tcPr>
            <w:tcW w:type="dxa" w:w="4896"/>
          </w:tcPr>
          <w:p>
            <w:pPr>
              <w:bidi w:val="1"/>
              <w:jc w:val="right"/>
            </w:pPr>
            <w:r/>
            <w:r>
              <w:rPr>
                <w:rFonts w:ascii="David" w:hAnsi="David" w:cs="David"/>
                <w:b w:val="0"/>
                <w:i w:val="0"/>
                <w:sz w:val="22"/>
                <w:szCs w:val="22"/>
                <w:rtl w:val="1"/>
              </w:rPr>
              <w:t>הצהרת החזקה תוך שעה, נטילת אחריות ואמפתיה, פתיחת בדיקה ושיתוף פעולה עם הרשויות.</w:t>
            </w:r>
          </w:p>
        </w:tc>
      </w:tr>
      <w:tr>
        <w:tc>
          <w:tcPr>
            <w:tcW w:type="dxa" w:w="3744"/>
          </w:tcPr>
          <w:p>
            <w:pPr>
              <w:bidi w:val="1"/>
              <w:jc w:val="right"/>
            </w:pPr>
            <w:r/>
            <w:r>
              <w:rPr>
                <w:rFonts w:ascii="David" w:hAnsi="David" w:cs="David"/>
                <w:b w:val="0"/>
                <w:i w:val="0"/>
                <w:sz w:val="22"/>
                <w:szCs w:val="22"/>
                <w:rtl w:val="1"/>
              </w:rPr>
              <w:t>האשמה בניהול כספי לא תקין</w:t>
            </w:r>
          </w:p>
        </w:tc>
        <w:tc>
          <w:tcPr>
            <w:tcW w:type="dxa" w:w="4896"/>
          </w:tcPr>
          <w:p>
            <w:pPr>
              <w:bidi w:val="1"/>
              <w:jc w:val="right"/>
            </w:pPr>
            <w:r/>
            <w:r>
              <w:rPr>
                <w:rFonts w:ascii="David" w:hAnsi="David" w:cs="David"/>
                <w:b w:val="0"/>
                <w:i w:val="0"/>
                <w:sz w:val="22"/>
                <w:szCs w:val="22"/>
                <w:rtl w:val="1"/>
              </w:rPr>
              <w:t>שקיפות מלאה, פרסום נתונים ודוח כספי, והזמנה לבדיקה חיצונית בלתי תלויה.</w:t>
            </w:r>
          </w:p>
        </w:tc>
      </w:tr>
      <w:tr>
        <w:tc>
          <w:tcPr>
            <w:tcW w:type="dxa" w:w="3744"/>
          </w:tcPr>
          <w:p>
            <w:pPr>
              <w:bidi w:val="1"/>
              <w:jc w:val="right"/>
            </w:pPr>
            <w:r/>
            <w:r>
              <w:rPr>
                <w:rFonts w:ascii="David" w:hAnsi="David" w:cs="David"/>
                <w:b w:val="0"/>
                <w:i w:val="0"/>
                <w:sz w:val="22"/>
                <w:szCs w:val="22"/>
                <w:rtl w:val="1"/>
              </w:rPr>
              <w:t>פרסום שלילי או מידע כוזב ברשתות</w:t>
            </w:r>
          </w:p>
        </w:tc>
        <w:tc>
          <w:tcPr>
            <w:tcW w:type="dxa" w:w="4896"/>
          </w:tcPr>
          <w:p>
            <w:pPr>
              <w:bidi w:val="1"/>
              <w:jc w:val="right"/>
            </w:pPr>
            <w:r/>
            <w:r>
              <w:rPr>
                <w:rFonts w:ascii="David" w:hAnsi="David" w:cs="David"/>
                <w:b w:val="0"/>
                <w:i w:val="0"/>
                <w:sz w:val="22"/>
                <w:szCs w:val="22"/>
                <w:rtl w:val="1"/>
              </w:rPr>
              <w:t>תיקון עובדתי מהיר ומנומס, פנייה ישירה למפרסם, וגיוס בוגרים ושותפים כשגרירים אמינים.</w:t>
            </w:r>
          </w:p>
        </w:tc>
      </w:tr>
      <w:tr>
        <w:tc>
          <w:tcPr>
            <w:tcW w:type="dxa" w:w="3744"/>
          </w:tcPr>
          <w:p>
            <w:pPr>
              <w:bidi w:val="1"/>
              <w:jc w:val="right"/>
            </w:pPr>
            <w:r/>
            <w:r>
              <w:rPr>
                <w:rFonts w:ascii="David" w:hAnsi="David" w:cs="David"/>
                <w:b w:val="0"/>
                <w:i w:val="0"/>
                <w:sz w:val="22"/>
                <w:szCs w:val="22"/>
                <w:rtl w:val="1"/>
              </w:rPr>
              <w:t>דליפת מידע אישי על חניך</w:t>
            </w:r>
          </w:p>
        </w:tc>
        <w:tc>
          <w:tcPr>
            <w:tcW w:type="dxa" w:w="4896"/>
          </w:tcPr>
          <w:p>
            <w:pPr>
              <w:bidi w:val="1"/>
              <w:jc w:val="right"/>
            </w:pPr>
            <w:r/>
            <w:r>
              <w:rPr>
                <w:rFonts w:ascii="David" w:hAnsi="David" w:cs="David"/>
                <w:b w:val="0"/>
                <w:i w:val="0"/>
                <w:sz w:val="22"/>
                <w:szCs w:val="22"/>
                <w:rtl w:val="1"/>
              </w:rPr>
              <w:t>עצירה מיידית של הדליפה, יידוע הנפגעים, טיפול טכני ומשפטי, והכרה כנה באחריות.</w:t>
            </w:r>
          </w:p>
        </w:tc>
      </w:tr>
    </w:tbl>
    <w:p>
      <w:pPr>
        <w:bidi w:val="1"/>
        <w:spacing w:line="360" w:lineRule="auto" w:after="80"/>
        <w:jc w:val="both"/>
      </w:pP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אלוש גלם, ר', אבידר, ר', ומגן, כ'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p>
      <w:pPr>
        <w:bidi w:val="1"/>
        <w:spacing w:line="360" w:lineRule="auto" w:after="200"/>
        <w:ind w:left="720" w:hanging="720"/>
        <w:jc w:val="both"/>
      </w:pPr>
      <w:r>
        <w:rPr>
          <w:rFonts w:ascii="David" w:hAnsi="David" w:cs="David"/>
          <w:b w:val="0"/>
          <w:i w:val="0"/>
          <w:sz w:val="24"/>
          <w:szCs w:val="24"/>
          <w:rtl w:val="1"/>
        </w:rPr>
        <w:t xml:space="preserve">Oliński, M., &amp; Szamrowski, P. (2021). Facebook as an engagement tool: How are public benefit organizations building relationships with their public? </w:t>
      </w:r>
      <w:r>
        <w:rPr>
          <w:rFonts w:ascii="David" w:hAnsi="David" w:cs="David"/>
          <w:b w:val="0"/>
          <w:i/>
          <w:sz w:val="24"/>
          <w:szCs w:val="24"/>
          <w:rtl w:val="1"/>
        </w:rPr>
        <w:t>PLOS ONE, 16</w:t>
      </w:r>
      <w:r>
        <w:rPr>
          <w:rFonts w:ascii="David" w:hAnsi="David" w:cs="David"/>
          <w:b w:val="0"/>
          <w:i w:val="0"/>
          <w:sz w:val="24"/>
          <w:szCs w:val="24"/>
          <w:rtl w:val="1"/>
        </w:rPr>
        <w:t>(9), e0256880.</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https://doi.org/10.1371/journal.pone.0256880</w:t>
        </w:r>
      </w:hyperlink>
    </w:p>
    <w:p>
      <w:pPr>
        <w:bidi w:val="1"/>
        <w:spacing w:line="360" w:lineRule="auto" w:after="200"/>
        <w:ind w:left="720" w:hanging="720"/>
        <w:jc w:val="both"/>
      </w:pPr>
      <w:r>
        <w:rPr>
          <w:rFonts w:ascii="David" w:hAnsi="David" w:cs="David"/>
          <w:b w:val="0"/>
          <w:i w:val="0"/>
          <w:sz w:val="24"/>
          <w:szCs w:val="24"/>
          <w:rtl w:val="1"/>
        </w:rPr>
        <w:t xml:space="preserve">MacKay, M., Colangeli, T., Gillis, D., McWhirter, J., &amp; Papadopoulos, A. (2021). Examining social media crisis communication during early COVID-19 from public health and news media for quality, content, and corresponding public sentiment. </w:t>
      </w:r>
      <w:r>
        <w:rPr>
          <w:rFonts w:ascii="David" w:hAnsi="David" w:cs="David"/>
          <w:b w:val="0"/>
          <w:i/>
          <w:sz w:val="24"/>
          <w:szCs w:val="24"/>
          <w:rtl w:val="1"/>
        </w:rPr>
        <w:t>International Journal of Environmental Research and Public Health, 18</w:t>
      </w:r>
      <w:r>
        <w:rPr>
          <w:rFonts w:ascii="David" w:hAnsi="David" w:cs="David"/>
          <w:b w:val="0"/>
          <w:i w:val="0"/>
          <w:sz w:val="24"/>
          <w:szCs w:val="24"/>
          <w:rtl w:val="1"/>
        </w:rPr>
        <w:t>(15), 7986.</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https://doi.org/10.3390/ijerph18157986</w:t>
        </w:r>
      </w:hyperlink>
    </w:p>
    <w:p>
      <w:pPr>
        <w:bidi w:val="1"/>
        <w:spacing w:line="360" w:lineRule="auto" w:after="200"/>
        <w:ind w:left="720" w:hanging="720"/>
        <w:jc w:val="both"/>
      </w:pPr>
      <w:r>
        <w:rPr>
          <w:rFonts w:ascii="David" w:hAnsi="David" w:cs="David"/>
          <w:b w:val="0"/>
          <w:i w:val="0"/>
          <w:sz w:val="24"/>
          <w:szCs w:val="24"/>
          <w:rtl w:val="1"/>
        </w:rPr>
        <w:t xml:space="preserve">DeMasters, C., Morgan, K., Schwoerer, K., &amp; Wiley, K. (2024). Forging connections: Nonprofits, TikTok, and authentic engagement, a mixed-methods study. </w:t>
      </w:r>
      <w:r>
        <w:rPr>
          <w:rFonts w:ascii="David" w:hAnsi="David" w:cs="David"/>
          <w:b w:val="0"/>
          <w:i/>
          <w:sz w:val="24"/>
          <w:szCs w:val="24"/>
          <w:rtl w:val="1"/>
        </w:rPr>
        <w:t>Journal of Public and Nonprofit Affairs, 10</w:t>
      </w:r>
      <w:r>
        <w:rPr>
          <w:rFonts w:ascii="David" w:hAnsi="David" w:cs="David"/>
          <w:b w:val="0"/>
          <w:i w:val="0"/>
          <w:sz w:val="24"/>
          <w:szCs w:val="24"/>
          <w:rtl w:val="1"/>
        </w:rPr>
        <w:t>(1), 27-51.</w:t>
      </w:r>
      <w:r>
        <w:rPr>
          <w:rFonts w:ascii="David" w:hAnsi="David" w:cs="David"/>
          <w:b w:val="0"/>
          <w:i w:val="0"/>
          <w:sz w:val="24"/>
          <w:szCs w:val="24"/>
          <w:rtl w:val="1"/>
        </w:rPr>
        <w:t xml:space="preserve"> </w:t>
      </w:r>
      <w:hyperlink r:id="rId14">
        <w:r>
          <w:rPr>
            <w:rFonts w:ascii="David" w:hAnsi="David" w:cs="David"/>
            <w:sz w:val="24"/>
            <w:szCs w:val="24"/>
            <w:color w:val="0563C1"/>
            <w:u w:val="single"/>
            <w:rtl w:val="1"/>
          </w:rPr>
          <w:t xml:space="preserve">https://doi.org/10.20899/jpna.dky82f18</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 Id="rId12" Type="http://schemas.openxmlformats.org/officeDocument/2006/relationships/hyperlink" Target="https://doi.org/10.1371/journal.pone.0256880" TargetMode="External"/><Relationship Id="rId13" Type="http://schemas.openxmlformats.org/officeDocument/2006/relationships/hyperlink" Target="https://doi.org/10.3390/ijerph18157986" TargetMode="External"/><Relationship Id="rId14" Type="http://schemas.openxmlformats.org/officeDocument/2006/relationships/hyperlink" Target="https://doi.org/10.20899/jpna.dky82f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