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spacing w:lineRule="auto" w:line="360" w:after="120" w:before="0"/>
        <w:jc w:val="center"/>
      </w:pPr>
      <w:r>
        <w:rPr>
          <w:rFonts w:ascii="David" w:hAnsi="David" w:cs="David"/>
          <w:b w:val="0"/>
          <w:sz w:val="24"/>
          <w:szCs w:val="24"/>
          <w:rtl w:val="true"/>
        </w:rPr>
      </w:r>
    </w:p>
    <w:p>
      <w:pPr>
        <w:bidi w:val="true"/>
        <w:spacing w:lineRule="auto" w:line="360" w:after="280" w:before="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66411cfa-IMG_3708.jpeg"/>
                    <pic:cNvPicPr/>
                  </pic:nvPicPr>
                  <pic:blipFill>
                    <a:blip r:embed="rId9"/>
                    <a:stretch>
                      <a:fillRect/>
                    </a:stretch>
                  </pic:blipFill>
                  <pic:spPr>
                    <a:xfrm>
                      <a:off x="0" y="0"/>
                      <a:ext cx="1872000" cy="1872000"/>
                    </a:xfrm>
                    <a:prstGeom prst="rect"/>
                  </pic:spPr>
                </pic:pic>
              </a:graphicData>
            </a:graphic>
          </wp:inline>
        </w:drawing>
      </w:r>
    </w:p>
    <w:p>
      <w:pPr>
        <w:bidi w:val="true"/>
        <w:spacing w:lineRule="auto" w:line="360" w:after="60" w:before="0"/>
        <w:jc w:val="center"/>
      </w:pPr>
      <w:r>
        <w:rPr>
          <w:rFonts w:ascii="David" w:hAnsi="David" w:cs="David"/>
          <w:b/>
          <w:sz w:val="30"/>
          <w:szCs w:val="30"/>
          <w:rtl w:val="true"/>
        </w:rPr>
        <w:t>הקריה האקדמית אונו</w:t>
      </w:r>
    </w:p>
    <w:p>
      <w:pPr>
        <w:bidi w:val="true"/>
        <w:spacing w:lineRule="auto" w:line="360" w:after="40" w:before="0"/>
        <w:jc w:val="center"/>
      </w:pPr>
      <w:r>
        <w:rPr>
          <w:rFonts w:ascii="David" w:hAnsi="David" w:cs="David"/>
          <w:b/>
          <w:sz w:val="26"/>
          <w:szCs w:val="26"/>
          <w:rtl w:val="true"/>
        </w:rPr>
        <w:t>הפקולטה למדעי הרוח והחברה</w:t>
      </w:r>
    </w:p>
    <w:p>
      <w:pPr>
        <w:bidi w:val="true"/>
        <w:spacing w:lineRule="auto" w:line="360" w:after="800" w:before="0"/>
        <w:jc w:val="center"/>
      </w:pPr>
      <w:r>
        <w:rPr>
          <w:rFonts w:ascii="David" w:hAnsi="David" w:cs="David"/>
          <w:b w:val="0"/>
          <w:sz w:val="24"/>
          <w:szCs w:val="24"/>
          <w:rtl w:val="true"/>
        </w:rPr>
        <w:t>לימודים לתואר מוסמך</w:t>
      </w:r>
    </w:p>
    <w:p>
      <w:pPr>
        <w:bidi w:val="true"/>
        <w:spacing w:lineRule="auto" w:line="360" w:after="120" w:before="0"/>
        <w:jc w:val="center"/>
      </w:pPr>
      <w:r>
        <w:rPr>
          <w:rFonts w:ascii="David" w:hAnsi="David" w:cs="David"/>
          <w:b/>
          <w:sz w:val="36"/>
          <w:szCs w:val="36"/>
          <w:rtl w:val="true"/>
        </w:rPr>
        <w:t>אפיון מחקר כמותי בחינוך</w:t>
      </w:r>
    </w:p>
    <w:p>
      <w:pPr>
        <w:bidi w:val="true"/>
        <w:spacing w:lineRule="auto" w:line="360" w:after="880" w:before="0"/>
        <w:jc w:val="center"/>
      </w:pPr>
      <w:r>
        <w:rPr>
          <w:rFonts w:ascii="David" w:hAnsi="David" w:cs="David"/>
          <w:b/>
          <w:sz w:val="26"/>
          <w:szCs w:val="26"/>
          <w:rtl w:val="true"/>
        </w:rPr>
        <w:t>עמדות מורים כלפי הכלה והקשר שלהן לשחיקה מקצועית, בתיווך תחושת המסוגלות העצמית</w:t>
      </w:r>
    </w:p>
    <w:p>
      <w:pPr>
        <w:bidi w:val="true"/>
        <w:spacing w:lineRule="auto" w:line="360" w:after="60" w:before="0"/>
        <w:jc w:val="center"/>
      </w:pPr>
      <w:r>
        <w:rPr>
          <w:rFonts w:ascii="David" w:hAnsi="David" w:cs="David"/>
          <w:b w:val="0"/>
          <w:sz w:val="24"/>
          <w:szCs w:val="24"/>
          <w:rtl w:val="true"/>
        </w:rPr>
        <w:t>עבודה מסכמת בקורס "מחקר מתקדם בחינוך (שיטות מחקר כמותיות)"</w:t>
      </w:r>
    </w:p>
    <w:p>
      <w:pPr>
        <w:bidi w:val="true"/>
        <w:spacing w:lineRule="auto" w:line="360" w:after="600" w:before="0"/>
        <w:jc w:val="center"/>
      </w:pPr>
      <w:r>
        <w:rPr>
          <w:rFonts w:ascii="David" w:hAnsi="David" w:cs="David"/>
          <w:b w:val="0"/>
          <w:sz w:val="24"/>
          <w:szCs w:val="24"/>
          <w:rtl w:val="true"/>
        </w:rPr>
        <w:t>סמסטר ב' תשפ"ו</w:t>
      </w:r>
    </w:p>
    <w:p>
      <w:pPr>
        <w:bidi w:val="true"/>
        <w:spacing w:lineRule="auto" w:line="360" w:after="80" w:before="0"/>
        <w:jc w:val="center"/>
      </w:pPr>
      <w:r>
        <w:rPr>
          <w:rFonts w:ascii="David" w:hAnsi="David" w:cs="David"/>
          <w:b/>
          <w:sz w:val="28"/>
          <w:szCs w:val="28"/>
          <w:rtl w:val="true"/>
        </w:rPr>
        <w:t>מגישה: יסמין טהא, ת.ז. 60407764</w:t>
      </w:r>
    </w:p>
    <w:p>
      <w:pPr>
        <w:bidi w:val="true"/>
        <w:spacing w:lineRule="auto" w:line="360" w:after="80" w:before="0"/>
        <w:jc w:val="center"/>
      </w:pPr>
      <w:r>
        <w:rPr>
          <w:rFonts w:ascii="David" w:hAnsi="David" w:cs="David"/>
          <w:b w:val="0"/>
          <w:sz w:val="24"/>
          <w:szCs w:val="24"/>
          <w:rtl w:val="true"/>
        </w:rPr>
        <w:t>מרצה: ד"ר אילן דניאלס רחימי</w:t>
      </w:r>
    </w:p>
    <w:p>
      <w:pPr>
        <w:bidi w:val="true"/>
        <w:spacing w:lineRule="auto" w:line="360" w:after="0" w:before="0"/>
        <w:jc w:val="both"/>
      </w:pPr>
      <w:r>
        <w:br w:type="page"/>
      </w:r>
    </w:p>
    <w:p>
      <w:pPr>
        <w:bidi w:val="true"/>
        <w:spacing w:lineRule="auto" w:line="360" w:after="40" w:before="0"/>
        <w:jc w:val="center"/>
      </w:pPr>
      <w:r>
        <w:rPr>
          <w:rFonts w:ascii="David" w:hAnsi="David" w:cs="David"/>
          <w:b/>
          <w:sz w:val="30"/>
          <w:szCs w:val="30"/>
          <w:rtl w:val="true"/>
        </w:rPr>
        <w:t>אפיון מחקר כמותי בחינוך</w:t>
      </w:r>
    </w:p>
    <w:p>
      <w:pPr>
        <w:bidi w:val="true"/>
        <w:spacing w:lineRule="auto" w:line="360" w:after="160" w:before="0"/>
        <w:jc w:val="center"/>
      </w:pPr>
      <w:r>
        <w:rPr>
          <w:rFonts w:ascii="David" w:hAnsi="David" w:cs="David"/>
          <w:b/>
          <w:sz w:val="24"/>
          <w:szCs w:val="24"/>
          <w:rtl w:val="true"/>
        </w:rPr>
        <w:t>עמדות מורים כלפי הכלה והקשר שלהן לשחיקה מקצועית, בתיווך תחושת המסוגלות העצמית</w:t>
      </w:r>
    </w:p>
    <w:p>
      <w:pPr>
        <w:bidi w:val="true"/>
        <w:spacing w:lineRule="auto" w:line="360" w:after="60" w:before="140"/>
        <w:jc w:val="right"/>
      </w:pPr>
      <w:r>
        <w:rPr>
          <w:rFonts w:ascii="David" w:hAnsi="David" w:cs="David"/>
          <w:b/>
          <w:sz w:val="26"/>
          <w:szCs w:val="26"/>
          <w:rtl w:val="true"/>
        </w:rPr>
        <w:t>1. הנושא הנחקר, הגדרתו והקשר לעולם החינוך</w:t>
      </w:r>
    </w:p>
    <w:p>
      <w:pPr>
        <w:bidi w:val="true"/>
        <w:spacing w:lineRule="auto" w:line="360" w:after="80" w:before="0"/>
        <w:jc w:val="both"/>
      </w:pPr>
      <w:r>
        <w:rPr>
          <w:rFonts w:ascii="David" w:hAnsi="David" w:cs="David"/>
          <w:b w:val="0"/>
          <w:sz w:val="24"/>
          <w:szCs w:val="24"/>
          <w:rtl w:val="true"/>
        </w:rPr>
        <w:t>לאורך הקורס חזר רעיון אחד כחוט השני: מחקר כמותי נועד לאפשר קבלת החלטות מושכלות המבוססות על נתונים, ולא על תחושת בטן. מהזווית הזו ניגשתי לבחירת הנושא. מדיניות ההכלה הפכה בעשור האחרון לברירת המחדל בחינוך בישראל, ותלמידים רבים עם צרכים מיוחדים לומדים היום בכיתה הרגילה. מי שנושא בפועל את המדיניות הזו הוא המורה, ולכן בחרתי להביט דווקא בו ולא בתלמיד.</w:t>
      </w:r>
    </w:p>
    <w:p>
      <w:pPr>
        <w:bidi w:val="true"/>
        <w:spacing w:lineRule="auto" w:line="360" w:after="80" w:before="0"/>
        <w:jc w:val="both"/>
      </w:pPr>
      <w:r>
        <w:rPr>
          <w:rFonts w:ascii="David" w:hAnsi="David" w:cs="David"/>
          <w:b w:val="0"/>
          <w:sz w:val="24"/>
          <w:szCs w:val="24"/>
          <w:rtl w:val="true"/>
        </w:rPr>
        <w:t>הנושא שבחרתי הוא הקשר בין עמדות של מורים בחינוך הרגיל כלפי הכלה של תלמידים עם צרכים מיוחדים לבין רמת השחיקה המקצועית שלהם, ותפקידה של תחושת המסוגלות העצמית ההוראתית כמשתנה מתווך ביניהם. בפשטות, אני שואל אם מורה שמאמין בהכלה שוחק פחות, ואם התחושה שהוא מסוגל לעמוד במשימה היא שמסבירה את הקשר.</w:t>
      </w:r>
    </w:p>
    <w:p>
      <w:pPr>
        <w:bidi w:val="true"/>
        <w:spacing w:lineRule="auto" w:line="360" w:after="80" w:before="0"/>
        <w:jc w:val="both"/>
      </w:pPr>
      <w:r>
        <w:rPr>
          <w:rFonts w:ascii="David" w:hAnsi="David" w:cs="David"/>
          <w:b w:val="0"/>
          <w:sz w:val="24"/>
          <w:szCs w:val="24"/>
          <w:rtl w:val="true"/>
        </w:rPr>
        <w:t>הקשר לחינוך ישיר. הצלחת ההכלה תלויה במידה רבה בעמדות המורים כלפיה, ומורה שרואה בשילוב נטל יתקשה ליישם אותו הלכה למעשה (Avramidis &amp; Norwich, 2002). מנגד, שחיקת מורים פוגעת באיכות ההוראה ומגבירה נשירה מהמקצוע. אם יתברר שעמדות שליליות קשורות לשחיקה גבוהה, זו כבר החלטה מושכלת להשקיע בהכשרה ובליווי ולא רק בגיוס מורים חדשים. בחרתי בנושא גם מסיבה אישית: לימדתי כיתה משלבת בלי הכשרה מתאימה, וחוויתי מקרוב את הפער בין הרצון לעשות טוב לבין חוסר הידיעה איך.</w:t>
      </w:r>
    </w:p>
    <w:p>
      <w:pPr>
        <w:bidi w:val="true"/>
        <w:spacing w:lineRule="auto" w:line="360" w:after="60" w:before="140"/>
        <w:jc w:val="right"/>
      </w:pPr>
      <w:r>
        <w:rPr>
          <w:rFonts w:ascii="David" w:hAnsi="David" w:cs="David"/>
          <w:b/>
          <w:sz w:val="26"/>
          <w:szCs w:val="26"/>
          <w:rtl w:val="true"/>
        </w:rPr>
        <w:t>2. שאלות המחקר</w:t>
      </w:r>
    </w:p>
    <w:p>
      <w:pPr>
        <w:bidi w:val="true"/>
        <w:spacing w:lineRule="auto" w:line="360" w:after="40" w:before="0"/>
        <w:jc w:val="both"/>
      </w:pPr>
      <w:r>
        <w:rPr>
          <w:rFonts w:ascii="David" w:hAnsi="David" w:cs="David"/>
          <w:b/>
          <w:sz w:val="24"/>
          <w:szCs w:val="24"/>
          <w:rtl w:val="true"/>
        </w:rPr>
        <w:t xml:space="preserve">(1) </w:t>
      </w:r>
      <w:r>
        <w:rPr>
          <w:rFonts w:ascii="David" w:hAnsi="David" w:cs="David"/>
          <w:b w:val="0"/>
          <w:sz w:val="24"/>
          <w:szCs w:val="24"/>
          <w:rtl w:val="true"/>
        </w:rPr>
        <w:t>מהו הקשר בין עמדות מורים כלפי הכלה של תלמידים עם צרכים מיוחדים לבין רמת השחיקה המקצועית שלהם?</w:t>
      </w:r>
    </w:p>
    <w:p>
      <w:pPr>
        <w:bidi w:val="true"/>
        <w:spacing w:lineRule="auto" w:line="360" w:after="60" w:before="0"/>
        <w:jc w:val="both"/>
      </w:pPr>
      <w:r>
        <w:rPr>
          <w:rFonts w:ascii="David" w:hAnsi="David" w:cs="David"/>
          <w:b/>
          <w:sz w:val="24"/>
          <w:szCs w:val="24"/>
          <w:rtl w:val="true"/>
        </w:rPr>
        <w:t xml:space="preserve">(2) </w:t>
      </w:r>
      <w:r>
        <w:rPr>
          <w:rFonts w:ascii="David" w:hAnsi="David" w:cs="David"/>
          <w:b w:val="0"/>
          <w:sz w:val="24"/>
          <w:szCs w:val="24"/>
          <w:rtl w:val="true"/>
        </w:rPr>
        <w:t>האם תחושת המסוגלות העצמית ההוראתית מתווכת את הקשר בין העמדות כלפי הכלה לבין השחיקה המקצועית?</w:t>
      </w:r>
    </w:p>
    <w:p>
      <w:pPr>
        <w:bidi w:val="true"/>
        <w:spacing w:lineRule="auto" w:line="360" w:after="80" w:before="0"/>
        <w:jc w:val="both"/>
      </w:pPr>
      <w:r>
        <w:rPr>
          <w:rFonts w:ascii="David" w:hAnsi="David" w:cs="David"/>
          <w:b w:val="0"/>
          <w:sz w:val="24"/>
          <w:szCs w:val="24"/>
          <w:rtl w:val="true"/>
        </w:rPr>
        <w:t>בקורס הודגש ששאלת מחקר חייבת להיות מובנת, מדויקת ומפורטת, ושכל מושג בה זקוק להגדרה כדי שאני והנחקרים 'נדבר באותה שפה'. לכן הקפדתי להבהיר למי הכוונה ב'מורים' (מורי כיתות רגילות שיש בכיתתם תלמידים משולבים), מה נחשב 'הכלה' ומתי נמדדת השחיקה. שתי השאלות עוסקות בקשר בין משתנים ולא בתיאור תופעה בודדת, הן ניתנות לבדיקה בנתונים מספריים, והן אינן קובעות מראש כיוון סיבתי. הראשונה בודקת אם קיים קשר, השנייה שואלת מה עומד מאחוריו.</w:t>
      </w:r>
    </w:p>
    <w:p>
      <w:pPr>
        <w:bidi w:val="true"/>
        <w:spacing w:lineRule="auto" w:line="360" w:after="60" w:before="140"/>
        <w:jc w:val="right"/>
      </w:pPr>
      <w:r>
        <w:rPr>
          <w:rFonts w:ascii="David" w:hAnsi="David" w:cs="David"/>
          <w:b/>
          <w:sz w:val="26"/>
          <w:szCs w:val="26"/>
          <w:rtl w:val="true"/>
        </w:rPr>
        <w:t>3. השערות המחקר והבסיס האקדמי שלהן</w:t>
      </w:r>
    </w:p>
    <w:p>
      <w:pPr>
        <w:bidi w:val="true"/>
        <w:spacing w:lineRule="auto" w:line="360" w:after="40" w:before="0"/>
        <w:jc w:val="both"/>
      </w:pPr>
      <w:r>
        <w:rPr>
          <w:rFonts w:ascii="David" w:hAnsi="David" w:cs="David"/>
          <w:b/>
          <w:sz w:val="24"/>
          <w:szCs w:val="24"/>
          <w:rtl w:val="true"/>
        </w:rPr>
        <w:t xml:space="preserve">השערה 1: </w:t>
      </w:r>
      <w:r>
        <w:rPr>
          <w:rFonts w:ascii="David" w:hAnsi="David" w:cs="David"/>
          <w:b w:val="0"/>
          <w:sz w:val="24"/>
          <w:szCs w:val="24"/>
          <w:rtl w:val="true"/>
        </w:rPr>
        <w:t>קיים קשר שלילי בין עמדות כלפי הכלה לבין שחיקה מקצועית. ככל שעמדות המורה חיוביות יותר, כך שחיקתו נמוכה יותר.</w:t>
      </w:r>
    </w:p>
    <w:p>
      <w:pPr>
        <w:bidi w:val="true"/>
        <w:spacing w:lineRule="auto" w:line="360" w:after="60" w:before="0"/>
        <w:jc w:val="both"/>
      </w:pPr>
      <w:r>
        <w:rPr>
          <w:rFonts w:ascii="David" w:hAnsi="David" w:cs="David"/>
          <w:b/>
          <w:sz w:val="24"/>
          <w:szCs w:val="24"/>
          <w:rtl w:val="true"/>
        </w:rPr>
        <w:t xml:space="preserve">השערה 2: </w:t>
      </w:r>
      <w:r>
        <w:rPr>
          <w:rFonts w:ascii="David" w:hAnsi="David" w:cs="David"/>
          <w:b w:val="0"/>
          <w:sz w:val="24"/>
          <w:szCs w:val="24"/>
          <w:rtl w:val="true"/>
        </w:rPr>
        <w:t>תחושת המסוגלות העצמית מתווכת את הקשר. עמדות חיוביות יותר מנבאות מסוגלות גבוהה יותר, וזו בתורה מנבאת שחיקה נמוכה יותר.</w:t>
      </w:r>
    </w:p>
    <w:p>
      <w:pPr>
        <w:bidi w:val="true"/>
        <w:spacing w:lineRule="auto" w:line="360" w:after="80" w:before="0"/>
        <w:jc w:val="both"/>
      </w:pPr>
      <w:r>
        <w:rPr>
          <w:rFonts w:ascii="David" w:hAnsi="David" w:cs="David"/>
          <w:b w:val="0"/>
          <w:sz w:val="24"/>
          <w:szCs w:val="24"/>
          <w:rtl w:val="true"/>
        </w:rPr>
        <w:t>ניסחתי את ההשערות בכיוון מוגדר ולא כקיום קשר בלבד, משום שהספרות מצביעה על כיוון צפוי. Avramidis ו-Norwich (2002) מראים שעמדות המורים כלפי שילוב מושפעות מהכשרה, מניסיון קודם ומתחושת היכולת של המורה, וכך נקשרות העמדות למסוגלות. Tschannen-Moran ו-Woolfolk Hoy (2001) מוצאים שמסוגלות הוראתית גבוהה הולכת יחד עם התמדה ומחויבות, שהם ההפך משחיקה. Maslach ועמיתיה (2001) מונים מסוגלות נמוכה בין הגורמים המזינים שחיקה, ובכך נסגר המשולש. גם בשדה הישראלי, גליקו ובראון-לבינסון (2022) מצאו שמשאבים אישיים ובית-ספריים קשורים להתמודדות אדפטיבית ולשביעות רצון בקרב מורים המלמדים תלמידים משולבים.</w:t>
      </w:r>
    </w:p>
    <w:p>
      <w:pPr>
        <w:bidi w:val="true"/>
        <w:spacing w:lineRule="auto" w:line="360" w:after="60" w:before="140"/>
        <w:jc w:val="right"/>
      </w:pPr>
      <w:r>
        <w:rPr>
          <w:rFonts w:ascii="David" w:hAnsi="David" w:cs="David"/>
          <w:b/>
          <w:sz w:val="26"/>
          <w:szCs w:val="26"/>
          <w:rtl w:val="true"/>
        </w:rPr>
        <w:t>4. הגדרות נומינליות של המשתנים והמושגים</w:t>
      </w:r>
    </w:p>
    <w:p>
      <w:pPr>
        <w:bidi w:val="true"/>
        <w:spacing w:lineRule="auto" w:line="360" w:after="40" w:before="0"/>
        <w:jc w:val="both"/>
      </w:pPr>
      <w:r>
        <w:rPr>
          <w:rFonts w:ascii="David" w:hAnsi="David" w:cs="David"/>
          <w:b/>
          <w:sz w:val="24"/>
          <w:szCs w:val="24"/>
          <w:rtl w:val="true"/>
        </w:rPr>
        <w:t xml:space="preserve">הכלה (שילוב). </w:t>
      </w:r>
      <w:r>
        <w:rPr>
          <w:rFonts w:ascii="David" w:hAnsi="David" w:cs="David"/>
          <w:b w:val="0"/>
          <w:sz w:val="24"/>
          <w:szCs w:val="24"/>
          <w:rtl w:val="true"/>
        </w:rPr>
        <w:t>שילובם של תלמידים עם צרכים מיוחדים בכיתה הרגילה, מתוך גישה שרואה בכך זכות ומתאימה את הסביבה הלימודית לתלמיד ולא להפך (Avramidis &amp; Norwich, 2002).</w:t>
      </w:r>
    </w:p>
    <w:p>
      <w:pPr>
        <w:bidi w:val="true"/>
        <w:spacing w:lineRule="auto" w:line="360" w:after="40" w:before="0"/>
        <w:jc w:val="both"/>
      </w:pPr>
      <w:r>
        <w:rPr>
          <w:rFonts w:ascii="David" w:hAnsi="David" w:cs="David"/>
          <w:b/>
          <w:sz w:val="24"/>
          <w:szCs w:val="24"/>
          <w:rtl w:val="true"/>
        </w:rPr>
        <w:t xml:space="preserve">עמדות. </w:t>
      </w:r>
      <w:r>
        <w:rPr>
          <w:rFonts w:ascii="David" w:hAnsi="David" w:cs="David"/>
          <w:b w:val="0"/>
          <w:sz w:val="24"/>
          <w:szCs w:val="24"/>
          <w:rtl w:val="true"/>
        </w:rPr>
        <w:t>נטייה נפשית נלמדת להעריך אובייקט, כאן ההכלה, באופן חיובי או שלילי. העמדה כוללת רכיב רגשי, קוגניטיבי והתנהגותי, ונמדדת כמידת החיוב שהמורה מייחס לרעיון ההכלה וליישומו (Avramidis &amp; Norwich, 2002).</w:t>
      </w:r>
    </w:p>
    <w:p>
      <w:pPr>
        <w:bidi w:val="true"/>
        <w:spacing w:lineRule="auto" w:line="360" w:after="40" w:before="0"/>
        <w:jc w:val="both"/>
      </w:pPr>
      <w:r>
        <w:rPr>
          <w:rFonts w:ascii="David" w:hAnsi="David" w:cs="David"/>
          <w:b/>
          <w:sz w:val="24"/>
          <w:szCs w:val="24"/>
          <w:rtl w:val="true"/>
        </w:rPr>
        <w:t xml:space="preserve">מסוגלות עצמית הוראתית. </w:t>
      </w:r>
      <w:r>
        <w:rPr>
          <w:rFonts w:ascii="David" w:hAnsi="David" w:cs="David"/>
          <w:b w:val="0"/>
          <w:sz w:val="24"/>
          <w:szCs w:val="24"/>
          <w:rtl w:val="true"/>
        </w:rPr>
        <w:t>אמונת המורה ביכולתו לארגן ולבצע את הפעולות הנדרשות כדי להשפיע על למידת התלמידים ועל התנהלות הכיתה, גם מול תלמידים מאתגרים (Tschannen-Moran &amp; Woolfolk Hoy, 2001).</w:t>
      </w:r>
    </w:p>
    <w:p>
      <w:pPr>
        <w:bidi w:val="true"/>
        <w:spacing w:lineRule="auto" w:line="360" w:after="40" w:before="0"/>
        <w:jc w:val="both"/>
      </w:pPr>
      <w:r>
        <w:rPr>
          <w:rFonts w:ascii="David" w:hAnsi="David" w:cs="David"/>
          <w:b/>
          <w:sz w:val="24"/>
          <w:szCs w:val="24"/>
          <w:rtl w:val="true"/>
        </w:rPr>
        <w:t xml:space="preserve">שחיקה מקצועית. </w:t>
      </w:r>
      <w:r>
        <w:rPr>
          <w:rFonts w:ascii="David" w:hAnsi="David" w:cs="David"/>
          <w:b w:val="0"/>
          <w:sz w:val="24"/>
          <w:szCs w:val="24"/>
          <w:rtl w:val="true"/>
        </w:rPr>
        <w:t>תסמונת של מתח כרוני בעבודה, ולה שלושה ממדים: תשישות רגשית, דה-פרסונליזציה (ריחוק מהתלמידים) ותחושת הישגיות אישית נמוכה (Maslach, Schaufeli &amp; Leiter, 2001).</w:t>
      </w:r>
    </w:p>
    <w:p>
      <w:pPr>
        <w:bidi w:val="true"/>
        <w:spacing w:lineRule="auto" w:line="360" w:after="80" w:before="0"/>
        <w:jc w:val="both"/>
      </w:pPr>
      <w:r>
        <w:rPr>
          <w:rFonts w:ascii="David" w:hAnsi="David" w:cs="David"/>
          <w:b w:val="0"/>
          <w:sz w:val="24"/>
          <w:szCs w:val="24"/>
          <w:rtl w:val="true"/>
        </w:rPr>
        <w:t>את ההגדרות בדקתי במאגרים אקדמיים (Google Scholar ו-ScienceDirect). מהן נגזרות ההגדרות האופרציונליות, כלומר כלי המדידה של כל משתנה, כפי שיפורט בסעיף הבא.</w:t>
      </w:r>
    </w:p>
    <w:p>
      <w:pPr>
        <w:bidi w:val="true"/>
        <w:spacing w:lineRule="auto" w:line="360" w:after="60" w:before="140"/>
        <w:jc w:val="right"/>
      </w:pPr>
      <w:r>
        <w:rPr>
          <w:rFonts w:ascii="David" w:hAnsi="David" w:cs="David"/>
          <w:b/>
          <w:sz w:val="26"/>
          <w:szCs w:val="26"/>
          <w:rtl w:val="true"/>
        </w:rPr>
        <w:t>5. המשתנים, סיווגם וכלי המדידה</w:t>
      </w:r>
    </w:p>
    <w:p>
      <w:pPr>
        <w:bidi w:val="true"/>
        <w:spacing w:lineRule="auto" w:line="360" w:after="80" w:before="0"/>
        <w:jc w:val="both"/>
      </w:pPr>
      <w:r>
        <w:rPr>
          <w:rFonts w:ascii="David" w:hAnsi="David" w:cs="David"/>
          <w:b w:val="0"/>
          <w:sz w:val="24"/>
          <w:szCs w:val="24"/>
          <w:rtl w:val="true"/>
        </w:rPr>
        <w:t>במחקר שלושה משתנים מרכזיים. המשתנה הבלתי תלוי הוא העמדות כלפי הכלה, המשתנה התלוי הוא השחיקה המקצועית, וביניהם ניצב המשתנה המתווך, תחושת המסוגלות העצמית. לצדם ייאספו משתני רקע לבקרה: ותק בהוראה, היקף הכשרה בחינוך מיוחד ומספר תלמידי השילוב בכיתה.</w:t>
      </w:r>
    </w:p>
    <w:p>
      <w:pPr>
        <w:bidi w:val="true"/>
        <w:spacing w:lineRule="auto" w:line="360" w:after="60" w:before="0"/>
        <w:jc w:val="both"/>
      </w:pPr>
      <w:r>
        <w:rPr>
          <w:rFonts w:ascii="David" w:hAnsi="David" w:cs="David"/>
          <w:b w:val="0"/>
          <w:sz w:val="24"/>
          <w:szCs w:val="24"/>
          <w:rtl w:val="true"/>
        </w:rPr>
        <w:t>סיווג המשתנים דורש דיוק, משום שכפי שנלמד בקורס לסוג הסולם יש משמעות ליכולת לנתח את הנתונים. שלושת המשתנים המרכזיים נמדדים בשאלוני ליקרט, וברמת הפריט הבודד מדובר בסולם סודר: אפשר לדרג את התשובות מהסכמה מלאה ועד אי-הסכמה, אך אי אפשר לקבוע שהמרחק בין 'מסכים' ל'מסכים מאוד' שווה למרחק בין 'מתנגד' ל'מתנגד מאוד'. עם זאת, את ציון הסולם המצרפי, שהוא ממוצע של פריטים רבים, מקובל לטפל כמשתנה כמותי רציף, וזה מה שמאפשר להריץ עליו מקדם מתאם ורגרסיה. משתני הרקע מגוונים: הוותק ומספר המשולבים כמותיים (רציף ובדיד), ואילו סוג ההכשרה והמגזר איכותיים שמיים. הטבלה מסכמת:</w:t>
      </w:r>
    </w:p>
    <w:tbl>
      <w:tblPr>
        <w:tblStyle w:val="TableGrid"/>
        <w:tblW w:type="auto" w:w="0"/>
        <w:jc w:val="center"/>
        <w:tblLook w:firstColumn="1" w:firstRow="1" w:lastColumn="0" w:lastRow="0" w:noHBand="0" w:noVBand="1" w:val="04A0"/>
        <w:bidiVisual/>
      </w:tblPr>
      <w:tblGrid>
        <w:gridCol w:w="2324"/>
        <w:gridCol w:w="2324"/>
        <w:gridCol w:w="2324"/>
        <w:gridCol w:w="2324"/>
      </w:tblGrid>
      <w:tr>
        <w:tc>
          <w:tcPr>
            <w:tcW w:type="dxa" w:w="2324"/>
          </w:tcPr>
          <w:p>
            <w:pPr>
              <w:bidi w:val="true"/>
              <w:spacing w:lineRule="auto" w:line="240" w:after="20" w:before="0"/>
              <w:jc w:val="right"/>
            </w:pPr>
            <w:r/>
            <w:r>
              <w:rPr>
                <w:rFonts w:ascii="David" w:hAnsi="David" w:cs="David"/>
                <w:b/>
                <w:sz w:val="20"/>
                <w:szCs w:val="20"/>
                <w:rtl w:val="true"/>
              </w:rPr>
              <w:t>המשתנה</w:t>
            </w:r>
          </w:p>
        </w:tc>
        <w:tc>
          <w:tcPr>
            <w:tcW w:type="dxa" w:w="2324"/>
          </w:tcPr>
          <w:p>
            <w:pPr>
              <w:bidi w:val="true"/>
              <w:spacing w:lineRule="auto" w:line="240" w:after="20" w:before="0"/>
              <w:jc w:val="right"/>
            </w:pPr>
            <w:r/>
            <w:r>
              <w:rPr>
                <w:rFonts w:ascii="David" w:hAnsi="David" w:cs="David"/>
                <w:b/>
                <w:sz w:val="20"/>
                <w:szCs w:val="20"/>
                <w:rtl w:val="true"/>
              </w:rPr>
              <w:t>תפקיד</w:t>
            </w:r>
          </w:p>
        </w:tc>
        <w:tc>
          <w:tcPr>
            <w:tcW w:type="dxa" w:w="2324"/>
          </w:tcPr>
          <w:p>
            <w:pPr>
              <w:bidi w:val="true"/>
              <w:spacing w:lineRule="auto" w:line="240" w:after="20" w:before="0"/>
              <w:jc w:val="right"/>
            </w:pPr>
            <w:r/>
            <w:r>
              <w:rPr>
                <w:rFonts w:ascii="David" w:hAnsi="David" w:cs="David"/>
                <w:b/>
                <w:sz w:val="20"/>
                <w:szCs w:val="20"/>
                <w:rtl w:val="true"/>
              </w:rPr>
              <w:t>סיווג וסוג הסולם</w:t>
            </w:r>
          </w:p>
        </w:tc>
        <w:tc>
          <w:tcPr>
            <w:tcW w:type="dxa" w:w="2324"/>
          </w:tcPr>
          <w:p>
            <w:pPr>
              <w:bidi w:val="true"/>
              <w:spacing w:lineRule="auto" w:line="240" w:after="20" w:before="0"/>
              <w:jc w:val="right"/>
            </w:pPr>
            <w:r/>
            <w:r>
              <w:rPr>
                <w:rFonts w:ascii="David" w:hAnsi="David" w:cs="David"/>
                <w:b/>
                <w:sz w:val="20"/>
                <w:szCs w:val="20"/>
                <w:rtl w:val="true"/>
              </w:rPr>
              <w:t>כלי המדידה</w:t>
            </w:r>
          </w:p>
        </w:tc>
      </w:tr>
      <w:tr>
        <w:tc>
          <w:tcPr>
            <w:tcW w:type="dxa" w:w="2324"/>
          </w:tcPr>
          <w:p>
            <w:pPr>
              <w:bidi w:val="true"/>
              <w:spacing w:lineRule="auto" w:line="240" w:after="20" w:before="0"/>
              <w:jc w:val="right"/>
            </w:pPr>
            <w:r/>
            <w:r>
              <w:rPr>
                <w:rFonts w:ascii="David" w:hAnsi="David" w:cs="David"/>
                <w:b w:val="0"/>
                <w:sz w:val="20"/>
                <w:szCs w:val="20"/>
                <w:rtl w:val="true"/>
              </w:rPr>
              <w:t>עמדות כלפי הכלה</w:t>
            </w:r>
          </w:p>
        </w:tc>
        <w:tc>
          <w:tcPr>
            <w:tcW w:type="dxa" w:w="2324"/>
          </w:tcPr>
          <w:p>
            <w:pPr>
              <w:bidi w:val="true"/>
              <w:spacing w:lineRule="auto" w:line="240" w:after="20" w:before="0"/>
              <w:jc w:val="right"/>
            </w:pPr>
            <w:r/>
            <w:r>
              <w:rPr>
                <w:rFonts w:ascii="David" w:hAnsi="David" w:cs="David"/>
                <w:b w:val="0"/>
                <w:sz w:val="20"/>
                <w:szCs w:val="20"/>
                <w:rtl w:val="true"/>
              </w:rPr>
              <w:t>בלתי תלוי (מנבא)</w:t>
            </w:r>
          </w:p>
        </w:tc>
        <w:tc>
          <w:tcPr>
            <w:tcW w:type="dxa" w:w="2324"/>
          </w:tcPr>
          <w:p>
            <w:pPr>
              <w:bidi w:val="true"/>
              <w:spacing w:lineRule="auto" w:line="240" w:after="20" w:before="0"/>
              <w:jc w:val="right"/>
            </w:pPr>
            <w:r/>
            <w:r>
              <w:rPr>
                <w:rFonts w:ascii="David" w:hAnsi="David" w:cs="David"/>
                <w:b w:val="0"/>
                <w:sz w:val="20"/>
                <w:szCs w:val="20"/>
                <w:rtl w:val="true"/>
              </w:rPr>
              <w:t>סולם סודר (ליקרט), הציון המצרפי מטופל כרציף</w:t>
            </w:r>
          </w:p>
        </w:tc>
        <w:tc>
          <w:tcPr>
            <w:tcW w:type="dxa" w:w="2324"/>
          </w:tcPr>
          <w:p>
            <w:pPr>
              <w:bidi w:val="true"/>
              <w:spacing w:lineRule="auto" w:line="240" w:after="20" w:before="0"/>
              <w:jc w:val="right"/>
            </w:pPr>
            <w:r/>
            <w:r>
              <w:rPr>
                <w:rFonts w:ascii="David" w:hAnsi="David" w:cs="David"/>
                <w:b w:val="0"/>
                <w:sz w:val="20"/>
                <w:szCs w:val="20"/>
                <w:rtl w:val="true"/>
              </w:rPr>
              <w:t>שאלון עמדות מדווח-עצמי (למשל SACIE-R), מתורגם ומותאם לעברית</w:t>
            </w:r>
          </w:p>
        </w:tc>
      </w:tr>
      <w:tr>
        <w:tc>
          <w:tcPr>
            <w:tcW w:type="dxa" w:w="2324"/>
          </w:tcPr>
          <w:p>
            <w:pPr>
              <w:bidi w:val="true"/>
              <w:spacing w:lineRule="auto" w:line="240" w:after="20" w:before="0"/>
              <w:jc w:val="right"/>
            </w:pPr>
            <w:r/>
            <w:r>
              <w:rPr>
                <w:rFonts w:ascii="David" w:hAnsi="David" w:cs="David"/>
                <w:b w:val="0"/>
                <w:sz w:val="20"/>
                <w:szCs w:val="20"/>
                <w:rtl w:val="true"/>
              </w:rPr>
              <w:t>שחיקה מקצועית</w:t>
            </w:r>
          </w:p>
        </w:tc>
        <w:tc>
          <w:tcPr>
            <w:tcW w:type="dxa" w:w="2324"/>
          </w:tcPr>
          <w:p>
            <w:pPr>
              <w:bidi w:val="true"/>
              <w:spacing w:lineRule="auto" w:line="240" w:after="20" w:before="0"/>
              <w:jc w:val="right"/>
            </w:pPr>
            <w:r/>
            <w:r>
              <w:rPr>
                <w:rFonts w:ascii="David" w:hAnsi="David" w:cs="David"/>
                <w:b w:val="0"/>
                <w:sz w:val="20"/>
                <w:szCs w:val="20"/>
                <w:rtl w:val="true"/>
              </w:rPr>
              <w:t>תלוי</w:t>
            </w:r>
          </w:p>
        </w:tc>
        <w:tc>
          <w:tcPr>
            <w:tcW w:type="dxa" w:w="2324"/>
          </w:tcPr>
          <w:p>
            <w:pPr>
              <w:bidi w:val="true"/>
              <w:spacing w:lineRule="auto" w:line="240" w:after="20" w:before="0"/>
              <w:jc w:val="right"/>
            </w:pPr>
            <w:r/>
            <w:r>
              <w:rPr>
                <w:rFonts w:ascii="David" w:hAnsi="David" w:cs="David"/>
                <w:b w:val="0"/>
                <w:sz w:val="20"/>
                <w:szCs w:val="20"/>
                <w:rtl w:val="true"/>
              </w:rPr>
              <w:t>סולם סודר (ליקרט), הציון המצרפי מטופל כרציף</w:t>
            </w:r>
          </w:p>
        </w:tc>
        <w:tc>
          <w:tcPr>
            <w:tcW w:type="dxa" w:w="2324"/>
          </w:tcPr>
          <w:p>
            <w:pPr>
              <w:bidi w:val="true"/>
              <w:spacing w:lineRule="auto" w:line="240" w:after="20" w:before="0"/>
              <w:jc w:val="right"/>
            </w:pPr>
            <w:r/>
            <w:r>
              <w:rPr>
                <w:rFonts w:ascii="David" w:hAnsi="David" w:cs="David"/>
                <w:b w:val="0"/>
                <w:sz w:val="20"/>
                <w:szCs w:val="20"/>
                <w:rtl w:val="true"/>
              </w:rPr>
              <w:t>שאלון השחיקה של מסלאך (Maslach Burnout Inventory)</w:t>
            </w:r>
          </w:p>
        </w:tc>
      </w:tr>
      <w:tr>
        <w:tc>
          <w:tcPr>
            <w:tcW w:type="dxa" w:w="2324"/>
          </w:tcPr>
          <w:p>
            <w:pPr>
              <w:bidi w:val="true"/>
              <w:spacing w:lineRule="auto" w:line="240" w:after="20" w:before="0"/>
              <w:jc w:val="right"/>
            </w:pPr>
            <w:r/>
            <w:r>
              <w:rPr>
                <w:rFonts w:ascii="David" w:hAnsi="David" w:cs="David"/>
                <w:b w:val="0"/>
                <w:sz w:val="20"/>
                <w:szCs w:val="20"/>
                <w:rtl w:val="true"/>
              </w:rPr>
              <w:t>מסוגלות עצמית הוראתית</w:t>
            </w:r>
          </w:p>
        </w:tc>
        <w:tc>
          <w:tcPr>
            <w:tcW w:type="dxa" w:w="2324"/>
          </w:tcPr>
          <w:p>
            <w:pPr>
              <w:bidi w:val="true"/>
              <w:spacing w:lineRule="auto" w:line="240" w:after="20" w:before="0"/>
              <w:jc w:val="right"/>
            </w:pPr>
            <w:r/>
            <w:r>
              <w:rPr>
                <w:rFonts w:ascii="David" w:hAnsi="David" w:cs="David"/>
                <w:b w:val="0"/>
                <w:sz w:val="20"/>
                <w:szCs w:val="20"/>
                <w:rtl w:val="true"/>
              </w:rPr>
              <w:t>מתווך</w:t>
            </w:r>
          </w:p>
        </w:tc>
        <w:tc>
          <w:tcPr>
            <w:tcW w:type="dxa" w:w="2324"/>
          </w:tcPr>
          <w:p>
            <w:pPr>
              <w:bidi w:val="true"/>
              <w:spacing w:lineRule="auto" w:line="240" w:after="20" w:before="0"/>
              <w:jc w:val="right"/>
            </w:pPr>
            <w:r/>
            <w:r>
              <w:rPr>
                <w:rFonts w:ascii="David" w:hAnsi="David" w:cs="David"/>
                <w:b w:val="0"/>
                <w:sz w:val="20"/>
                <w:szCs w:val="20"/>
                <w:rtl w:val="true"/>
              </w:rPr>
              <w:t>סולם סודר (ליקרט), הציון המצרפי מטופל כרציף</w:t>
            </w:r>
          </w:p>
        </w:tc>
        <w:tc>
          <w:tcPr>
            <w:tcW w:type="dxa" w:w="2324"/>
          </w:tcPr>
          <w:p>
            <w:pPr>
              <w:bidi w:val="true"/>
              <w:spacing w:lineRule="auto" w:line="240" w:after="20" w:before="0"/>
              <w:jc w:val="right"/>
            </w:pPr>
            <w:r/>
            <w:r>
              <w:rPr>
                <w:rFonts w:ascii="David" w:hAnsi="David" w:cs="David"/>
                <w:b w:val="0"/>
                <w:sz w:val="20"/>
                <w:szCs w:val="20"/>
                <w:rtl w:val="true"/>
              </w:rPr>
              <w:t>שאלון TSES (Tschannen-Moran &amp; Woolfolk Hoy, 2001)</w:t>
            </w:r>
          </w:p>
        </w:tc>
      </w:tr>
      <w:tr>
        <w:tc>
          <w:tcPr>
            <w:tcW w:type="dxa" w:w="2324"/>
          </w:tcPr>
          <w:p>
            <w:pPr>
              <w:bidi w:val="true"/>
              <w:spacing w:lineRule="auto" w:line="240" w:after="20" w:before="0"/>
              <w:jc w:val="right"/>
            </w:pPr>
            <w:r/>
            <w:r>
              <w:rPr>
                <w:rFonts w:ascii="David" w:hAnsi="David" w:cs="David"/>
                <w:b w:val="0"/>
                <w:sz w:val="20"/>
                <w:szCs w:val="20"/>
                <w:rtl w:val="true"/>
              </w:rPr>
              <w:t>ותק, הכשרה, מספר משולבים</w:t>
            </w:r>
          </w:p>
        </w:tc>
        <w:tc>
          <w:tcPr>
            <w:tcW w:type="dxa" w:w="2324"/>
          </w:tcPr>
          <w:p>
            <w:pPr>
              <w:bidi w:val="true"/>
              <w:spacing w:lineRule="auto" w:line="240" w:after="20" w:before="0"/>
              <w:jc w:val="right"/>
            </w:pPr>
            <w:r/>
            <w:r>
              <w:rPr>
                <w:rFonts w:ascii="David" w:hAnsi="David" w:cs="David"/>
                <w:b w:val="0"/>
                <w:sz w:val="20"/>
                <w:szCs w:val="20"/>
                <w:rtl w:val="true"/>
              </w:rPr>
              <w:t>רקע / בקרה</w:t>
            </w:r>
          </w:p>
        </w:tc>
        <w:tc>
          <w:tcPr>
            <w:tcW w:type="dxa" w:w="2324"/>
          </w:tcPr>
          <w:p>
            <w:pPr>
              <w:bidi w:val="true"/>
              <w:spacing w:lineRule="auto" w:line="240" w:after="20" w:before="0"/>
              <w:jc w:val="right"/>
            </w:pPr>
            <w:r/>
            <w:r>
              <w:rPr>
                <w:rFonts w:ascii="David" w:hAnsi="David" w:cs="David"/>
                <w:b w:val="0"/>
                <w:sz w:val="20"/>
                <w:szCs w:val="20"/>
                <w:rtl w:val="true"/>
              </w:rPr>
              <w:t>ותק ומספר משולבים: כמותי (רציף/בדיד); הכשרה ומגזר: איכותי שמי</w:t>
            </w:r>
          </w:p>
        </w:tc>
        <w:tc>
          <w:tcPr>
            <w:tcW w:type="dxa" w:w="2324"/>
          </w:tcPr>
          <w:p>
            <w:pPr>
              <w:bidi w:val="true"/>
              <w:spacing w:lineRule="auto" w:line="240" w:after="20" w:before="0"/>
              <w:jc w:val="right"/>
            </w:pPr>
            <w:r/>
            <w:r>
              <w:rPr>
                <w:rFonts w:ascii="David" w:hAnsi="David" w:cs="David"/>
                <w:b w:val="0"/>
                <w:sz w:val="20"/>
                <w:szCs w:val="20"/>
                <w:rtl w:val="true"/>
              </w:rPr>
              <w:t>שאלון פרטים דמוגרפיים ומקצועיים</w:t>
            </w:r>
          </w:p>
        </w:tc>
      </w:tr>
    </w:tbl>
    <w:p>
      <w:pPr>
        <w:bidi w:val="true"/>
        <w:spacing w:lineRule="auto" w:line="360" w:after="40" w:before="0"/>
        <w:jc w:val="both"/>
      </w:pPr>
      <w:r>
        <w:rPr>
          <w:rFonts w:ascii="David" w:hAnsi="David" w:cs="David"/>
          <w:b w:val="0"/>
          <w:sz w:val="24"/>
          <w:szCs w:val="24"/>
          <w:rtl w:val="true"/>
        </w:rPr>
      </w:r>
    </w:p>
    <w:p>
      <w:pPr>
        <w:bidi w:val="true"/>
        <w:spacing w:lineRule="auto" w:line="360" w:after="80" w:before="0"/>
        <w:jc w:val="both"/>
      </w:pPr>
      <w:r>
        <w:rPr>
          <w:rFonts w:ascii="David" w:hAnsi="David" w:cs="David"/>
          <w:b w:val="0"/>
          <w:sz w:val="24"/>
          <w:szCs w:val="24"/>
          <w:rtl w:val="true"/>
        </w:rPr>
        <w:t>הבחירה בשאלונים אינה מקרית. שלושת המשתנים המרכזיים הם תפיסות פנימיות של המורה, ולכן הכלי הטבעי למדוד אותם הוא שאלון דיווח עצמי שמניב ציון מספרי. אילו רצינו למדוד עוררות פיזיולוגית של מתח היינו פונים למדידת דופק או מוליכות עורית, אך כאן מדובר בעמדות ובאמונות, ואלה נמדדות היטב בשאלון.</w:t>
      </w:r>
    </w:p>
    <w:p>
      <w:pPr>
        <w:bidi w:val="true"/>
        <w:spacing w:lineRule="auto" w:line="360" w:after="60" w:before="140"/>
        <w:jc w:val="right"/>
      </w:pPr>
      <w:r>
        <w:rPr>
          <w:rFonts w:ascii="David" w:hAnsi="David" w:cs="David"/>
          <w:b/>
          <w:sz w:val="26"/>
          <w:szCs w:val="26"/>
          <w:rtl w:val="true"/>
        </w:rPr>
        <w:t>6. שיקולי תוקף ומהימנות</w:t>
      </w:r>
    </w:p>
    <w:p>
      <w:pPr>
        <w:bidi w:val="true"/>
        <w:spacing w:lineRule="auto" w:line="360" w:after="40" w:before="0"/>
        <w:jc w:val="both"/>
      </w:pPr>
      <w:r>
        <w:rPr>
          <w:rFonts w:ascii="David" w:hAnsi="David" w:cs="David"/>
          <w:b w:val="0"/>
          <w:sz w:val="24"/>
          <w:szCs w:val="24"/>
          <w:rtl w:val="true"/>
        </w:rPr>
        <w:t>בקורס נלמדו כמה מושגים שיש לתת עליהם את הדעת כאן: מהימנות, הטיות, תוקף פנימי ותוקף חיצוני.</w:t>
      </w:r>
    </w:p>
    <w:p>
      <w:pPr>
        <w:bidi w:val="true"/>
        <w:spacing w:lineRule="auto" w:line="360" w:after="40" w:before="0"/>
        <w:jc w:val="both"/>
      </w:pPr>
      <w:r>
        <w:rPr>
          <w:rFonts w:ascii="David" w:hAnsi="David" w:cs="David"/>
          <w:b/>
          <w:sz w:val="24"/>
          <w:szCs w:val="24"/>
          <w:rtl w:val="true"/>
        </w:rPr>
        <w:t xml:space="preserve">מהימנות. </w:t>
      </w:r>
      <w:r>
        <w:rPr>
          <w:rFonts w:ascii="David" w:hAnsi="David" w:cs="David"/>
          <w:b w:val="0"/>
          <w:sz w:val="24"/>
          <w:szCs w:val="24"/>
          <w:rtl w:val="true"/>
        </w:rPr>
        <w:t>דיוק ועקביות של המדידה. שאלון מהימן הוא כזה שאם נעביר אותו שוב באותם תנאים נקבל בערך אותן תוצאות, בדיוק כמו מאזניים שאמורים להראות אותו משקל בשתי שקילות סמוכות. אבדוק זאת במקדם אלפא של קרונבך, ואם אפשר גם במבחן-חוזר לתת-מדגם.</w:t>
      </w:r>
    </w:p>
    <w:p>
      <w:pPr>
        <w:bidi w:val="true"/>
        <w:spacing w:lineRule="auto" w:line="360" w:after="40" w:before="0"/>
        <w:jc w:val="both"/>
      </w:pPr>
      <w:r>
        <w:rPr>
          <w:rFonts w:ascii="David" w:hAnsi="David" w:cs="David"/>
          <w:b/>
          <w:sz w:val="24"/>
          <w:szCs w:val="24"/>
          <w:rtl w:val="true"/>
        </w:rPr>
        <w:t xml:space="preserve">הטיות. </w:t>
      </w:r>
      <w:r>
        <w:rPr>
          <w:rFonts w:ascii="David" w:hAnsi="David" w:cs="David"/>
          <w:b w:val="0"/>
          <w:sz w:val="24"/>
          <w:szCs w:val="24"/>
          <w:rtl w:val="true"/>
        </w:rPr>
        <w:t>גורם שמסיט את תשובת הנחקר ומרחיק אותנו מהמציאות. ההטיה המרכזית כאן היא רצייה חברתית: מורה עלול לענות מה שנראה לו 'נכון' ולא מה שהוא באמת חושב, כי הנושא רגיש. אנונימיות מלאה וניסוח זהיר של הפריטים נועדו לצמצם זאת.</w:t>
      </w:r>
    </w:p>
    <w:p>
      <w:pPr>
        <w:bidi w:val="true"/>
        <w:spacing w:lineRule="auto" w:line="360" w:after="40" w:before="0"/>
        <w:jc w:val="both"/>
      </w:pPr>
      <w:r>
        <w:rPr>
          <w:rFonts w:ascii="David" w:hAnsi="David" w:cs="David"/>
          <w:b/>
          <w:sz w:val="24"/>
          <w:szCs w:val="24"/>
          <w:rtl w:val="true"/>
        </w:rPr>
        <w:t xml:space="preserve">תוקף פנימי. </w:t>
      </w:r>
      <w:r>
        <w:rPr>
          <w:rFonts w:ascii="David" w:hAnsi="David" w:cs="David"/>
          <w:b w:val="0"/>
          <w:sz w:val="24"/>
          <w:szCs w:val="24"/>
          <w:rtl w:val="true"/>
        </w:rPr>
        <w:t>השאלה אם באמת המשתנה הבלתי תלוי מסביר את מה שנצפה ולא גורם אחר. במחקר מתאמי התוקף הפנימי מוגבל מטבעו, כי איני שולט במשתנים ואיני יכול לשלול כיווני סיבתיות חלופיים, ולכן אבקר משתני רקע שעלולים להתערב.</w:t>
      </w:r>
    </w:p>
    <w:p>
      <w:pPr>
        <w:bidi w:val="true"/>
        <w:spacing w:lineRule="auto" w:line="360" w:after="80" w:before="0"/>
        <w:jc w:val="both"/>
      </w:pPr>
      <w:r>
        <w:rPr>
          <w:rFonts w:ascii="David" w:hAnsi="David" w:cs="David"/>
          <w:b/>
          <w:sz w:val="24"/>
          <w:szCs w:val="24"/>
          <w:rtl w:val="true"/>
        </w:rPr>
        <w:t xml:space="preserve">תוקף חיצוני. </w:t>
      </w:r>
      <w:r>
        <w:rPr>
          <w:rFonts w:ascii="David" w:hAnsi="David" w:cs="David"/>
          <w:b w:val="0"/>
          <w:sz w:val="24"/>
          <w:szCs w:val="24"/>
          <w:rtl w:val="true"/>
        </w:rPr>
        <w:t>היכולת להכליל מהמדגם אל האוכלוסייה, התלויה בכך שהמדגם יהיה מייצג. לצד זה, תוקף התוכן יובטח בשיפוט מומחים ותוקף המבנה ייבחן בניתוח גורמים, ושאלונים שתורגמו מאנגלית יעברו תרגום-חזרה. בייט-מרום וצמח (2014) מדגישים את ההבחנה בין תוקף למהימנות ואת התלות של איכות ההסקה בשניהם.</w:t>
      </w:r>
    </w:p>
    <w:p>
      <w:pPr>
        <w:bidi w:val="true"/>
        <w:spacing w:lineRule="auto" w:line="360" w:after="60" w:before="140"/>
        <w:jc w:val="right"/>
      </w:pPr>
      <w:r>
        <w:rPr>
          <w:rFonts w:ascii="David" w:hAnsi="David" w:cs="David"/>
          <w:b/>
          <w:sz w:val="26"/>
          <w:szCs w:val="26"/>
          <w:rtl w:val="true"/>
        </w:rPr>
        <w:t>7. האוכלוסייה הנחקרת ושיטת הדגימה</w:t>
      </w:r>
    </w:p>
    <w:p>
      <w:pPr>
        <w:bidi w:val="true"/>
        <w:spacing w:lineRule="auto" w:line="360" w:after="80" w:before="0"/>
        <w:jc w:val="both"/>
      </w:pPr>
      <w:r>
        <w:rPr>
          <w:rFonts w:ascii="David" w:hAnsi="David" w:cs="David"/>
          <w:b w:val="0"/>
          <w:sz w:val="24"/>
          <w:szCs w:val="24"/>
          <w:rtl w:val="true"/>
        </w:rPr>
        <w:t>אוכלוסיית המחקר היא מורים בבתי ספר יסודיים בחינוך הרגיל בישראל המלמדים בכיתות שיש בהן תלמידים משולבים. ההגדרה ממקדת את המחקר: לא כלל המורים, אלא דווקא אלה שנפגשים בפועל עם ההכלה, שכן רק אצלם יש טעם לשאול על עמדות כלפי תלמידים משולבים. כל מורה כזה הוא פריט באוכלוסייה, והתכונות שנאסוף עליו הן העמדות, המסוגלות, השחיקה ומשתני הרקע.</w:t>
      </w:r>
    </w:p>
    <w:p>
      <w:pPr>
        <w:bidi w:val="true"/>
        <w:spacing w:lineRule="auto" w:line="360" w:after="80" w:before="0"/>
        <w:jc w:val="both"/>
      </w:pPr>
      <w:r>
        <w:rPr>
          <w:rFonts w:ascii="David" w:hAnsi="David" w:cs="David"/>
          <w:b w:val="0"/>
          <w:sz w:val="24"/>
          <w:szCs w:val="24"/>
          <w:rtl w:val="true"/>
        </w:rPr>
        <w:t>מכיוון שאי אפשר לפנות לכל האוכלוסייה, נסתמך על מדגם. כפי שנלמד, מדגם טוב חייב להיות מקרי, מייצג וגדול דיו, ושלוש הדרישות האלה הנחו אותי. אשתמש בדגימת אשכולות דו-שלבית: תחילה ייבחר מדגם של בתי ספר מתוך ריבוד לפי מחוז ומגזר, ואז ישתתפו כלל המורים הרלוונטיים בבתי הספר שנבחרו. האקראיות ברמת בית הספר שומרת על המקריות, הריבוד דואג לייצוג, וגודל מתוכנן של כ-300 מורים נותן את ה'גדול דיו' הדרוש לניתוח מודל תיווך בעוצמה סטטיסטית סבירה (בייט-מרום וצמח, 2014).</w:t>
      </w:r>
    </w:p>
    <w:p>
      <w:pPr>
        <w:bidi w:val="true"/>
        <w:spacing w:lineRule="auto" w:line="360" w:after="60" w:before="140"/>
        <w:jc w:val="right"/>
      </w:pPr>
      <w:r>
        <w:rPr>
          <w:rFonts w:ascii="David" w:hAnsi="David" w:cs="David"/>
          <w:b/>
          <w:sz w:val="26"/>
          <w:szCs w:val="26"/>
          <w:rtl w:val="true"/>
        </w:rPr>
        <w:t>8. סוג המחקר וההנמקה</w:t>
      </w:r>
    </w:p>
    <w:p>
      <w:pPr>
        <w:bidi w:val="true"/>
        <w:spacing w:lineRule="auto" w:line="360" w:after="80" w:before="0"/>
        <w:jc w:val="both"/>
      </w:pPr>
      <w:r>
        <w:rPr>
          <w:rFonts w:ascii="David" w:hAnsi="David" w:cs="David"/>
          <w:b w:val="0"/>
          <w:sz w:val="24"/>
          <w:szCs w:val="24"/>
          <w:rtl w:val="true"/>
        </w:rPr>
        <w:t>המחקר הוא מחקר מתאמי (correlational), ולא ניסוי ולא מחקר משולב. אמת המידה שהובילה אותי פשוטה: האם החוקר מבצע מניפולציה על המשתנה הבלתי תלוי או רק מודד אותו כפי שהוא. כאן איני מחלק מורים אקראית לקבוצות ואיני משנה במכוון את עמדותיהם, אלא מודד עמדות, מסוגלות ושחיקה כפי שהן בשדה ובוחן את הקשרים ביניהן. היעדר מניפולציה והקצאה אקראית שולל סיווג כניסוי, ומכיוון שכל המשתנים כמותיים ונאספים בכלי אחיד, אין כאן גם שילוב של שיטה איכותנית.</w:t>
      </w:r>
    </w:p>
    <w:p>
      <w:pPr>
        <w:bidi w:val="true"/>
        <w:spacing w:lineRule="auto" w:line="360" w:after="80" w:before="0"/>
        <w:jc w:val="both"/>
      </w:pPr>
      <w:r>
        <w:rPr>
          <w:rFonts w:ascii="David" w:hAnsi="David" w:cs="David"/>
          <w:b w:val="0"/>
          <w:sz w:val="24"/>
          <w:szCs w:val="24"/>
          <w:rtl w:val="true"/>
        </w:rPr>
        <w:t>מבחינת הניתוח, אתחיל בסטטיסטיקה תיאורית: מדדי מרכז (ממוצע, חציון ושכיח) ומדדי פיזור (סטיית תקן ותחום בין-רבעוני) לכל משתנה, לצד הצגה בטבלאות שכיחות ובהיסטוגרמה, כדי לקבל תמונה מסודרת של הנתונים לפני ההסקה. רק אז אעבור לבחון את הקשר בין העמדות לשחיקה באמצעות מקדם המתאם של פירסון ואת מודל התיווך ברגרסיה, כלים שמתאימים בדיוק למחקר מתאמי המבקש לאמוד עוצמה וכיוון של קשר. מכאן שהמסקנות יעסקו בקשרים ולא בסיבתיות ודאית.</w:t>
      </w:r>
    </w:p>
    <w:p>
      <w:pPr>
        <w:bidi w:val="true"/>
        <w:spacing w:lineRule="auto" w:line="360" w:after="60" w:before="140"/>
        <w:jc w:val="right"/>
      </w:pPr>
      <w:r>
        <w:rPr>
          <w:rFonts w:ascii="David" w:hAnsi="David" w:cs="David"/>
          <w:b/>
          <w:sz w:val="26"/>
          <w:szCs w:val="26"/>
          <w:rtl w:val="true"/>
        </w:rPr>
        <w:t>9. אתגרים, בעיות ושיקולים אתיים</w:t>
      </w:r>
    </w:p>
    <w:p>
      <w:pPr>
        <w:bidi w:val="true"/>
        <w:spacing w:lineRule="auto" w:line="360" w:after="80" w:before="0"/>
        <w:jc w:val="both"/>
      </w:pPr>
      <w:r>
        <w:rPr>
          <w:rFonts w:ascii="David" w:hAnsi="David" w:cs="David"/>
          <w:b w:val="0"/>
          <w:sz w:val="24"/>
          <w:szCs w:val="24"/>
          <w:rtl w:val="true"/>
        </w:rPr>
        <w:t>האתגר המתודולוגי המרכזי הוא הסיבתיות. גם אם יימצא קשר שלילי חזק בין עמדות חיוביות לשחיקה, מבנה חתך-רוחבי אינו מכריע מה גורם למה: ייתכן שעמדות חיוביות מפחיתות שחיקה, וייתכן שמורה שחוק מפתח עמדות שליליות יותר. לצד זה יש אתגרים מעשיים, כמו שיעור היענות נמוך של מורים עמוסים ונשירת משתתפים לאורך המחקר, ששניהם עלולים לפגוע בייצוגיות המדגם.</w:t>
      </w:r>
    </w:p>
    <w:p>
      <w:pPr>
        <w:bidi w:val="true"/>
        <w:spacing w:lineRule="auto" w:line="360" w:after="80" w:before="0"/>
        <w:jc w:val="both"/>
      </w:pPr>
      <w:r>
        <w:rPr>
          <w:rFonts w:ascii="David" w:hAnsi="David" w:cs="David"/>
          <w:b w:val="0"/>
          <w:sz w:val="24"/>
          <w:szCs w:val="24"/>
          <w:rtl w:val="true"/>
        </w:rPr>
        <w:t>מן הצד האתי הנושא מחייב זהירות. יש להבטיח הסכמה מדעת, השתתפות מרצון ואפשרות לפרוש בכל שלב. אנונימיות מלאה חשובה כאן במיוחד, גם כדי להגן על המשתתפים וגם כדי לשחרר אותם לענות בכנות בלי חשש שהמנהל או הפיקוח יזהו אותם. נדרשים אישור ועדת האתיקה של המוסד ואישור הגורמים במשרד החינוך, ושמירה על חיסיון הנתונים.</w:t>
      </w:r>
    </w:p>
    <w:p>
      <w:pPr>
        <w:bidi w:val="true"/>
        <w:spacing w:lineRule="auto" w:line="360" w:after="80" w:before="0"/>
        <w:jc w:val="both"/>
      </w:pPr>
      <w:r>
        <w:rPr>
          <w:rFonts w:ascii="David" w:hAnsi="David" w:cs="David"/>
          <w:b w:val="0"/>
          <w:sz w:val="24"/>
          <w:szCs w:val="24"/>
          <w:rtl w:val="true"/>
        </w:rPr>
        <w:t>אתגר אתי אחרון, עדין יותר, הוא אופן הצגת הממצאים. תיאור מורים כבעלי עמדות שליליות כלפי הכלה עלול להתגלגל להאשמה של ציבור המורים, ולכן חשוב למסגר את הממצאים כתופעה מערכתית הקוראת לתמיכה ולהכשרה, ולא כשיפוט אישי של מי שעומד בחזית.</w:t>
      </w:r>
    </w:p>
    <w:p>
      <w:pPr>
        <w:bidi w:val="true"/>
        <w:spacing w:lineRule="auto" w:line="360" w:after="60" w:before="140"/>
        <w:jc w:val="right"/>
      </w:pPr>
      <w:r>
        <w:rPr>
          <w:rFonts w:ascii="David" w:hAnsi="David" w:cs="David"/>
          <w:b/>
          <w:sz w:val="26"/>
          <w:szCs w:val="26"/>
          <w:rtl w:val="true"/>
        </w:rPr>
        <w:t>רשימת מקורות</w:t>
      </w:r>
    </w:p>
    <w:p>
      <w:pPr>
        <w:bidi w:val="true"/>
        <w:spacing w:lineRule="auto" w:line="360" w:after="60" w:before="0"/>
        <w:ind w:left="454" w:hanging="454"/>
        <w:jc w:val="both"/>
      </w:pPr>
      <w:r>
        <w:rPr>
          <w:rFonts w:ascii="David" w:hAnsi="David" w:cs="David"/>
          <w:b w:val="0"/>
          <w:sz w:val="24"/>
          <w:szCs w:val="24"/>
          <w:rtl w:val="true"/>
        </w:rPr>
        <w:t>בייט-מרום, ר' וצמח, מ' (2014). שיטות מחקר במדעי החברה. רעננה: האוניברסיטה הפתוחה.</w:t>
      </w:r>
    </w:p>
    <w:p>
      <w:pPr>
        <w:bidi w:val="true"/>
        <w:spacing w:lineRule="auto" w:line="360" w:after="60" w:before="0"/>
        <w:ind w:left="454" w:hanging="454"/>
        <w:jc w:val="both"/>
      </w:pPr>
      <w:r>
        <w:rPr>
          <w:rFonts w:ascii="David" w:hAnsi="David" w:cs="David"/>
          <w:b w:val="0"/>
          <w:sz w:val="24"/>
          <w:szCs w:val="24"/>
          <w:rtl w:val="true"/>
        </w:rPr>
        <w:t>דניאלס רחימי, א' (תשפ"ו). פרקי למידה בקורס "מחקר מתקדם בחינוך (שיטות מחקר כמותיות)". אור יהודה: הקריה האקדמית אונו.</w:t>
      </w:r>
    </w:p>
    <w:p>
      <w:pPr>
        <w:bidi w:val="true"/>
        <w:spacing w:lineRule="auto" w:line="360" w:after="60" w:before="0"/>
        <w:ind w:left="454" w:hanging="454"/>
        <w:jc w:val="both"/>
      </w:pPr>
      <w:r>
        <w:rPr>
          <w:rFonts w:ascii="David" w:hAnsi="David" w:cs="David"/>
          <w:b w:val="0"/>
          <w:sz w:val="24"/>
          <w:szCs w:val="24"/>
          <w:rtl w:val="true"/>
        </w:rPr>
        <w:t>גליקו, ע' ובראון-לבינסון, א' (2022). התמודדות מורים בחינוך הרגיל עם שילוב תלמידים עם צרכים מיוחדים בכיתתם: השוואה בין מורים מזרמי החינוך השונים. מפגש לעבודה חינוכית-סוציאלית, 54.</w:t>
      </w:r>
    </w:p>
    <w:p>
      <w:pPr>
        <w:bidi w:val="true"/>
        <w:spacing w:lineRule="auto" w:line="360" w:after="60" w:before="0"/>
        <w:ind w:left="454" w:hanging="454"/>
        <w:jc w:val="both"/>
      </w:pPr>
      <w:r>
        <w:rPr>
          <w:rFonts w:ascii="David" w:hAnsi="David" w:cs="David"/>
          <w:b w:val="0"/>
          <w:sz w:val="24"/>
          <w:szCs w:val="24"/>
          <w:rtl w:val="true"/>
        </w:rPr>
        <w:t>Avramidis, E., &amp; Norwich, B. (2002). Teachers' attitudes towards integration/inclusion: A review of the literature. European Journal of Special Needs Education, 17(2), 129-147.</w:t>
      </w:r>
    </w:p>
    <w:p>
      <w:pPr>
        <w:bidi w:val="true"/>
        <w:spacing w:lineRule="auto" w:line="360" w:after="60" w:before="0"/>
        <w:ind w:left="454" w:hanging="454"/>
        <w:jc w:val="both"/>
      </w:pPr>
      <w:r>
        <w:rPr>
          <w:rFonts w:ascii="David" w:hAnsi="David" w:cs="David"/>
          <w:b w:val="0"/>
          <w:sz w:val="24"/>
          <w:szCs w:val="24"/>
          <w:rtl w:val="true"/>
        </w:rPr>
        <w:t>Maslach, C., Schaufeli, W. B., &amp; Leiter, M. P. (2001). Job burnout. Annual Review of Psychology, 52, 397-422.</w:t>
      </w:r>
    </w:p>
    <w:p>
      <w:pPr>
        <w:bidi w:val="true"/>
        <w:spacing w:lineRule="auto" w:line="360" w:after="60" w:before="0"/>
        <w:ind w:left="454" w:hanging="454"/>
        <w:jc w:val="both"/>
      </w:pPr>
      <w:r>
        <w:rPr>
          <w:rFonts w:ascii="David" w:hAnsi="David" w:cs="David"/>
          <w:b w:val="0"/>
          <w:sz w:val="24"/>
          <w:szCs w:val="24"/>
          <w:rtl w:val="true"/>
        </w:rPr>
        <w:t>Tschannen-Moran, M., &amp; Woolfolk Hoy, A. (2001). Teacher efficacy: Capturing an elusive construct. Teaching and Teacher Education, 17(7), 783-805.</w:t>
      </w:r>
    </w:p>
    <w:sectPr w:rsidR="00FC693F" w:rsidRPr="0006063C" w:rsidSect="00034616">
      <w:pgSz w:w="11906" w:h="16838"/>
      <w:pgMar w:top="1134" w:right="1304" w:bottom="1134" w:left="130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