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p>
    <w:p>
      <w:pPr>
        <w:spacing w:line="360" w:lineRule="auto"/>
      </w:pPr>
    </w:p>
    <w:p>
      <w:pPr>
        <w:spacing w:line="360" w:lineRule="auto"/>
      </w:pPr>
    </w:p>
    <w:p>
      <w:pPr>
        <w:spacing w:line="360" w:lineRule="auto"/>
        <w:jc w:val="center"/>
      </w:pPr>
      <w:r>
        <w:rPr>
          <w:rFonts w:ascii="Times New Roman" w:hAnsi="Times New Roman"/>
          <w:b/>
          <w:sz w:val="24"/>
        </w:rPr>
        <w:t>Learning to See a Man: Judgment, the Racializing Gaze, and Human Dignity in Somerset Maugham’s “Mr. Know-All”</w:t>
      </w:r>
    </w:p>
    <w:p>
      <w:pPr>
        <w:spacing w:line="360" w:lineRule="auto"/>
      </w:pPr>
    </w:p>
    <w:p>
      <w:pPr>
        <w:spacing w:line="360" w:lineRule="auto"/>
        <w:jc w:val="center"/>
      </w:pPr>
      <w:r>
        <w:rPr>
          <w:rFonts w:ascii="Times New Roman" w:hAnsi="Times New Roman"/>
          <w:sz w:val="24"/>
        </w:rPr>
        <w:t>[Student Name]</w:t>
      </w:r>
    </w:p>
    <w:p>
      <w:pPr>
        <w:spacing w:line="360" w:lineRule="auto"/>
        <w:jc w:val="center"/>
      </w:pPr>
      <w:r>
        <w:rPr>
          <w:rFonts w:ascii="Times New Roman" w:hAnsi="Times New Roman"/>
          <w:sz w:val="24"/>
        </w:rPr>
        <w:t>[Department], [University]</w:t>
      </w:r>
    </w:p>
    <w:p>
      <w:pPr>
        <w:spacing w:line="360" w:lineRule="auto"/>
        <w:jc w:val="center"/>
      </w:pPr>
      <w:r>
        <w:rPr>
          <w:rFonts w:ascii="Times New Roman" w:hAnsi="Times New Roman"/>
          <w:sz w:val="24"/>
        </w:rPr>
        <w:t>[Course Number]: [Course Name]</w:t>
      </w:r>
    </w:p>
    <w:p>
      <w:pPr>
        <w:spacing w:line="360" w:lineRule="auto"/>
        <w:jc w:val="center"/>
      </w:pPr>
      <w:r>
        <w:rPr>
          <w:rFonts w:ascii="Times New Roman" w:hAnsi="Times New Roman"/>
          <w:sz w:val="24"/>
        </w:rPr>
        <w:t>[Instructor Name]</w:t>
      </w:r>
    </w:p>
    <w:p>
      <w:pPr>
        <w:spacing w:line="360" w:lineRule="auto"/>
        <w:jc w:val="center"/>
      </w:pPr>
      <w:r>
        <w:rPr>
          <w:rFonts w:ascii="Times New Roman" w:hAnsi="Times New Roman"/>
          <w:sz w:val="24"/>
        </w:rPr>
        <w:t>July 13, 2026</w:t>
      </w:r>
    </w:p>
    <w:p>
      <w:r>
        <w:br w:type="page"/>
      </w:r>
    </w:p>
    <w:p>
      <w:pPr>
        <w:spacing w:line="360" w:lineRule="auto" w:before="160" w:after="0"/>
        <w:jc w:val="center"/>
      </w:pPr>
      <w:r>
        <w:rPr>
          <w:rFonts w:ascii="Times New Roman" w:hAnsi="Times New Roman"/>
          <w:b/>
          <w:sz w:val="24"/>
        </w:rPr>
        <w:t>Abstract</w:t>
      </w:r>
    </w:p>
    <w:p>
      <w:pPr>
        <w:spacing w:line="360" w:lineRule="auto"/>
        <w:jc w:val="both"/>
      </w:pPr>
      <w:r>
        <w:rPr>
          <w:rFonts w:ascii="Times New Roman" w:hAnsi="Times New Roman"/>
          <w:sz w:val="24"/>
        </w:rPr>
        <w:t>This paper reads Somerset Maugham’s short story “Mr. Know-All” (1936) as a deliberately engineered lesson in misjudgment. It argues that the story’s two governing concerns, the reflex of judging a stranger and the recognition of that stranger’s human dignity, are not separate themes but two movements of a single arc: the education of a prejudiced eye. Drawing on theories of prejudice (Allport) and dual-process cognition (Kahneman), on postcolonial accounts of the racializing gaze (Said, Fanon), on the ethics of narrative fiction (Nussbaum, Booth), and on the mechanics of point of view and reader participation (Genette, Iser), the analysis shows how Maugham locks the reader inside a first-person narrator whose confident verdict on Max Kelada is wrong, so that the reader first shares the prejudice and then, through the pearl episode, is made to unlearn it. The close reading gives particular attention to the narrator’s pre-verdict opening, to the colonial slur “the Levantine,” to the classical structure of recognition and reversal in the climax, and to the carefully withheld conversion of the final line. The paper closes with the practical implications of teaching the story, especially in the language classroom, where its reversal can be used to make students conscious of their own acts of reading and judging.</w:t>
      </w:r>
    </w:p>
    <w:p>
      <w:pPr>
        <w:spacing w:line="360" w:lineRule="auto"/>
        <w:ind w:firstLine="720"/>
        <w:jc w:val="both"/>
      </w:pPr>
      <w:r>
        <w:rPr>
          <w:rFonts w:ascii="Times New Roman" w:hAnsi="Times New Roman"/>
          <w:i/>
          <w:sz w:val="24"/>
        </w:rPr>
        <w:t xml:space="preserve">Keywords: </w:t>
      </w:r>
      <w:r>
        <w:rPr>
          <w:rFonts w:ascii="Times New Roman" w:hAnsi="Times New Roman"/>
          <w:sz w:val="24"/>
        </w:rPr>
        <w:t>prejudice, point of view, narrative ethics, human dignity, recognition, Somerset Maugham, short fiction</w:t>
      </w:r>
    </w:p>
    <w:p>
      <w:r>
        <w:br w:type="page"/>
      </w:r>
    </w:p>
    <w:p>
      <w:pPr>
        <w:spacing w:line="360" w:lineRule="auto"/>
        <w:jc w:val="center"/>
      </w:pPr>
      <w:r>
        <w:rPr>
          <w:rFonts w:ascii="Times New Roman" w:hAnsi="Times New Roman"/>
          <w:b/>
          <w:sz w:val="24"/>
        </w:rPr>
        <w:t>Learning to See a Man: Judgment, the Racializing Gaze, and Human Dignity in Somerset Maugham’s “Mr. Know-All”</w:t>
      </w:r>
    </w:p>
    <w:p>
      <w:pPr>
        <w:spacing w:line="360" w:lineRule="auto" w:before="160" w:after="0"/>
        <w:jc w:val="center"/>
      </w:pPr>
      <w:r>
        <w:rPr>
          <w:rFonts w:ascii="Times New Roman" w:hAnsi="Times New Roman"/>
          <w:b/>
          <w:sz w:val="24"/>
        </w:rPr>
        <w:t>Introduction</w:t>
      </w:r>
    </w:p>
    <w:p>
      <w:pPr>
        <w:spacing w:line="360" w:lineRule="auto" w:after="0"/>
        <w:ind w:firstLine="720"/>
        <w:jc w:val="both"/>
      </w:pPr>
      <w:r>
        <w:rPr>
          <w:rFonts w:ascii="Times New Roman" w:hAnsi="Times New Roman"/>
          <w:sz w:val="24"/>
        </w:rPr>
        <w:t>We decide whether we like a stranger long before we have any fair reason to. A name stitched on a suitcase, an accent, the shape of a nose, and the verdict is already in. Gordon Allport built his classic study of prejudice around this uncomfortable fact. He defined prejudice as “thinking ill of others without sufficient warrant,” an attitude that comes first and then goes looking for reasons to justify itself (Allport, 1954, p. 6). Half a century later Daniel Kahneman described the same reflex in the language of cognitive psychology. One part of the mind is fast, automatic, and eager to leap to conclusions; the other is slow, effortful, and generally too lazy to check the first one’s work (Kahneman, 2011). Between them, Allport and Kahneman describe a small daily disaster that most of us commit without noticing: we read a person the way we read a headline, at a glance, and we mistake the speed of the reading for its accuracy.</w:t>
      </w:r>
    </w:p>
    <w:p>
      <w:pPr>
        <w:spacing w:line="360" w:lineRule="auto" w:after="0"/>
        <w:ind w:firstLine="720"/>
        <w:jc w:val="both"/>
      </w:pPr>
      <w:r>
        <w:rPr>
          <w:rFonts w:ascii="Times New Roman" w:hAnsi="Times New Roman"/>
          <w:sz w:val="24"/>
        </w:rPr>
        <w:t>Somerset Maugham’s “Mr. Know-All,” first collected in Cosmopolitans in 1936, is a compact and deceptively slight fiction about exactly this disaster. On the surface it is an anecdote told aboard a passenger ship after the First World War: an English narrator is forced to share a cabin with a loud, over-familiar fellow passenger named Max Kelada, decides on sight that he cannot stand him, and is proven wrong when Kelada quietly sacrifices his own pride to save a stranger’s marriage. The plot could be summarized in three sentences. What cannot be summarized, and what this paper takes as its real subject, is the way Maugham tells it. He does not describe prejudice from the outside and invite us to disapprove. He installs us inside a prejudiced point of view and lets us feel, from within, both the pleasure of the judgment and the shock of its collapse.</w:t>
      </w:r>
    </w:p>
    <w:p>
      <w:pPr>
        <w:spacing w:line="360" w:lineRule="auto" w:after="0"/>
        <w:ind w:firstLine="720"/>
        <w:jc w:val="both"/>
      </w:pPr>
      <w:r>
        <w:rPr>
          <w:rFonts w:ascii="Times New Roman" w:hAnsi="Times New Roman"/>
          <w:sz w:val="24"/>
        </w:rPr>
        <w:t>This is the quality that critics of narrative ethics have long attributed to fiction. Martha Nussbaum argues that literature does moral work precisely because it makes the reader occupy a consciousness not their own, and so trains what she calls the narrative imagination, the capacity to picture what another person’s experience might be like from the inside (Nussbaum, 1995, 1997). Wayne Booth, decades earlier, showed how an author can set a first-person narrator at a controlled distance from the reader’s eventual sympathies, so that we are led to trust a voice and, at the same time, to sense where it is going wrong (Booth, 1983). Maugham is a master of this controlled distance, and “Mr. Know-All” is one of his cleanest demonstrations of it.</w:t>
      </w:r>
    </w:p>
    <w:p>
      <w:pPr>
        <w:spacing w:line="360" w:lineRule="auto" w:after="0"/>
        <w:ind w:firstLine="720"/>
        <w:jc w:val="both"/>
      </w:pPr>
      <w:r>
        <w:rPr>
          <w:rFonts w:ascii="Times New Roman" w:hAnsi="Times New Roman"/>
          <w:sz w:val="24"/>
        </w:rPr>
        <w:t>This paper argues that “Mr. Know-All” is constructed as a lesson in misreading, and that its two central concerns, judgment and human dignity, are two halves of one arc rather than two independent themes. The first half is the making of a verdict: the narrator’s dislike of Kelada, reached before the two men have spoken, built out of details that reveal the narrator rather than the man, and sharpened by a racial contempt that the story is honest enough to name. The second half is the undoing of that verdict: the pearl episode, in which Kelada surrenders the one thing he cannot bear to lose, his reputation as the man who knows, in order to protect a woman he barely knows, and in which the narrator is forced toward his own admission that he was wrong. To make the argument, the paper first sets out a critical framework that relates the story to wider concerns, then reads each half closely, and finally reflects on what the story asks of a reader and how it might be taught. Throughout, the claim is the same: the true subject of “Mr. Know-All” is not Kelada at all. It is the narrator, and by careful design, it is us.</w:t>
      </w:r>
    </w:p>
    <w:p>
      <w:pPr>
        <w:spacing w:line="360" w:lineRule="auto" w:before="160" w:after="0"/>
        <w:jc w:val="center"/>
      </w:pPr>
      <w:r>
        <w:rPr>
          <w:rFonts w:ascii="Times New Roman" w:hAnsi="Times New Roman"/>
          <w:b/>
          <w:sz w:val="24"/>
        </w:rPr>
        <w:t>Critical Framework: Prejudice, the Gaze, and the Ethics of Narration</w:t>
      </w:r>
    </w:p>
    <w:p>
      <w:pPr>
        <w:spacing w:line="360" w:lineRule="auto" w:after="0"/>
        <w:ind w:firstLine="720"/>
        <w:jc w:val="both"/>
      </w:pPr>
      <w:r>
        <w:rPr>
          <w:rFonts w:ascii="Times New Roman" w:hAnsi="Times New Roman"/>
          <w:sz w:val="24"/>
        </w:rPr>
        <w:t>To read “Mr. Know-All” as a lesson in misjudgment is to draw on several bodies of thought at once, because the story compresses into ten pages a set of problems that different disciplines have studied separately. It will help to lay these out before turning to the text, since the close reading that follows leans on all of them.</w:t>
      </w:r>
    </w:p>
    <w:p>
      <w:pPr>
        <w:spacing w:line="360" w:lineRule="auto" w:before="120" w:after="0"/>
        <w:jc w:val="left"/>
      </w:pPr>
      <w:r>
        <w:rPr>
          <w:rFonts w:ascii="Times New Roman" w:hAnsi="Times New Roman"/>
          <w:b/>
          <w:sz w:val="24"/>
        </w:rPr>
        <w:t>Prejudice as Prejudgment</w:t>
      </w:r>
    </w:p>
    <w:p>
      <w:pPr>
        <w:spacing w:line="360" w:lineRule="auto" w:after="0"/>
        <w:ind w:firstLine="720"/>
        <w:jc w:val="both"/>
      </w:pPr>
      <w:r>
        <w:rPr>
          <w:rFonts w:ascii="Times New Roman" w:hAnsi="Times New Roman"/>
          <w:sz w:val="24"/>
        </w:rPr>
        <w:t>The first frame is the psychology of prejudice. Allport’s central insight is that prejudice is, etymologically and practically, a pre-judgment: a category applied to a person before the person has been encountered as an individual (Allport, 1954). The prejudiced mind does not gather evidence and then conclude. It concludes and then recruits whatever evidence is at hand, discarding anything that does not fit. Allport also stressed the social dimension of this process. Contempt is easier to hold when it is shared, and a group’s common dislike can feel like confirmation when it is only repetition. Kahneman’s (2011) distinction between fast, intuitive “System 1” thinking and slow, deliberate “System 2” thinking gives the same phenomenon a cognitive mechanism. The fast system builds a coherent impression from very little information, and, crucially, the coherence of the story it tells is no guarantee of its truth. What feels obvious at a glance is simply what the fast system has finished assembling. Both writers describe a mind that mistakes speed and confidence for accuracy, which is a precise description of Maugham’s narrator.</w:t>
      </w:r>
    </w:p>
    <w:p>
      <w:pPr>
        <w:spacing w:line="360" w:lineRule="auto" w:before="120" w:after="0"/>
        <w:jc w:val="left"/>
      </w:pPr>
      <w:r>
        <w:rPr>
          <w:rFonts w:ascii="Times New Roman" w:hAnsi="Times New Roman"/>
          <w:b/>
          <w:sz w:val="24"/>
        </w:rPr>
        <w:t>The Racializing Gaze and the Colonial Other</w:t>
      </w:r>
    </w:p>
    <w:p>
      <w:pPr>
        <w:spacing w:line="360" w:lineRule="auto" w:after="0"/>
        <w:ind w:firstLine="720"/>
        <w:jc w:val="both"/>
      </w:pPr>
      <w:r>
        <w:rPr>
          <w:rFonts w:ascii="Times New Roman" w:hAnsi="Times New Roman"/>
          <w:sz w:val="24"/>
        </w:rPr>
        <w:t>The second frame is postcolonial, and it is necessary because the narrator’s dislike is not only social snobbery. Edward Said’s account of Orientalism describes the long habit by which the European imagination constructs the Eastern or Levantine other as a fixed type, knowable in advance, defined by a handful of physical and moral markers (Said, 1978). To label a man “the Levantine,” as the narrator repeatedly does, is to perform exactly this operation: to erase an individual and replace him with a category loaded with suspicion. Frantz Fanon adds the phenomenology of being on the receiving end of such a look. In Black Skin, White Masks he describes the experience of being fixed by the gaze of the dominant group, of being seen not as a self but as a body already interpreted, already assigned a place in someone else’s scheme (Fanon, 1952/2008). Kelada’s insistence that he is “British to the backbone” is legible through Fanon as the protest of a man who carries the right passport but is refused the recognition that should come with it, because the narrator’s idea of an Englishman is racial before it is legal.</w:t>
      </w:r>
    </w:p>
    <w:p>
      <w:pPr>
        <w:spacing w:line="360" w:lineRule="auto" w:before="120" w:after="0"/>
        <w:jc w:val="left"/>
      </w:pPr>
      <w:r>
        <w:rPr>
          <w:rFonts w:ascii="Times New Roman" w:hAnsi="Times New Roman"/>
          <w:b/>
          <w:sz w:val="24"/>
        </w:rPr>
        <w:t>The Ethics and Mechanics of Point of View</w:t>
      </w:r>
    </w:p>
    <w:p>
      <w:pPr>
        <w:spacing w:line="360" w:lineRule="auto" w:after="0"/>
        <w:ind w:firstLine="720"/>
        <w:jc w:val="both"/>
      </w:pPr>
      <w:r>
        <w:rPr>
          <w:rFonts w:ascii="Times New Roman" w:hAnsi="Times New Roman"/>
          <w:sz w:val="24"/>
        </w:rPr>
        <w:t>The third frame concerns how stories position their readers. Gérard Genette’s narratology separates the question of who speaks from the question of who sees, a distinction he calls focalization (Genette, 1980). “Mr. Know-All” is narrated and focalized through the same unnamed Englishman, which means that for most of its length the reader has access to no view of Kelada except the narrator’s. We do not see Kelada; we see the narrator seeing Kelada. Wolfgang Iser’s reader-response theory explains what the reader then does with that restricted view. A text is full of gaps, and the reader fills them, supplying connections and judgments the text leaves open, becoming a collaborator in the meaning (Iser, 1978). Maugham exploits both facts. By restricting focalization and leaving the moral gaps unfilled, he induces the reader to complete the narrator’s prejudice as if it were the reader’s own conclusion, which is what makes the later reversal feel like a personal correction rather than an announced twist. Booth’s (1983) concept of the distance between author and narrator is the third piece: the narrator’s very urbanity is the signal, for an alert reader, that the author does not fully endorse him.</w:t>
      </w:r>
    </w:p>
    <w:p>
      <w:pPr>
        <w:spacing w:line="360" w:lineRule="auto" w:before="120" w:after="0"/>
        <w:jc w:val="left"/>
      </w:pPr>
      <w:r>
        <w:rPr>
          <w:rFonts w:ascii="Times New Roman" w:hAnsi="Times New Roman"/>
          <w:b/>
          <w:sz w:val="24"/>
        </w:rPr>
        <w:t>Recognition, Dignity, and the Performance of Self</w:t>
      </w:r>
    </w:p>
    <w:p>
      <w:pPr>
        <w:spacing w:line="360" w:lineRule="auto" w:after="0"/>
        <w:ind w:firstLine="720"/>
        <w:jc w:val="both"/>
      </w:pPr>
      <w:r>
        <w:rPr>
          <w:rFonts w:ascii="Times New Roman" w:hAnsi="Times New Roman"/>
          <w:sz w:val="24"/>
        </w:rPr>
        <w:t>The final frame gathers the moral and dramatic vocabulary the climax requires. Aristotle’s Poetics names two devices that structure the pearl scene with surprising exactness: peripeteia, the reversal of a situation into its opposite, and anagnorisis, the moment of recognition in which ignorance turns to knowledge (Aristotle, trans. 1996). Maugham’s climax is a double recognition, Kelada recognizing Mrs. Ramsay’s peril and the narrator recognizing Kelada’s worth, folded into a single reversal of fortune at the dinner table. The moral weight of that reversal is best captured by Kant, whose principle that a person must be treated as an end and never merely as a means is the philosophical form of what Kelada does when he refuses to use Mrs. Ramsay’s exposure for his own triumph (Kant, 1785/1998). And Erving Goffman’s analysis of the presentation of self clarifies what the sacrifice costs. Goffman describes social life as a series of performances in which we manage the impression we give (Goffman, 1959). Kelada is the most relentless performer on the ship, forever managing the impression that he is the man who knows. To let that performance collapse on purpose, in front of the very audience that named him “Mr. Know-All,” is to give up not a sum of money but a self.</w:t>
      </w:r>
    </w:p>
    <w:p>
      <w:pPr>
        <w:spacing w:line="360" w:lineRule="auto" w:before="160" w:after="0"/>
        <w:jc w:val="center"/>
      </w:pPr>
      <w:r>
        <w:rPr>
          <w:rFonts w:ascii="Times New Roman" w:hAnsi="Times New Roman"/>
          <w:b/>
          <w:sz w:val="24"/>
        </w:rPr>
        <w:t>The Design of the Story: Setting, Structure, and Voice</w:t>
      </w:r>
    </w:p>
    <w:p>
      <w:pPr>
        <w:spacing w:line="360" w:lineRule="auto" w:after="0"/>
        <w:ind w:firstLine="720"/>
        <w:jc w:val="both"/>
      </w:pPr>
      <w:r>
        <w:rPr>
          <w:rFonts w:ascii="Times New Roman" w:hAnsi="Times New Roman"/>
          <w:sz w:val="24"/>
        </w:rPr>
        <w:t>Before the analysis of the two themes, the story’s frame deserves a moment, because Maugham chooses it with care. The action takes place aboard an ocean liner sailing from San Francisco to Yokohama in the crowded traffic just after the First World War (Maugham, 1936). A ship is a closed world. No one can leave, the same faces meet at the same dinner table night after night, and strangers are pressed into forced intimacy, most pointedly the narrator and Kelada, who must share a cabin. The setting manufactures the exact conditions under which prejudice hardens: proximity without choice, observation without knowledge, and an audience always present to witness and to judge. It is also a liminal space, between two continents and two ports, which suits a story about identities that will not stay in their assigned categories.</w:t>
      </w:r>
    </w:p>
    <w:p>
      <w:pPr>
        <w:spacing w:line="360" w:lineRule="auto" w:after="0"/>
        <w:ind w:firstLine="720"/>
        <w:jc w:val="both"/>
      </w:pPr>
      <w:r>
        <w:rPr>
          <w:rFonts w:ascii="Times New Roman" w:hAnsi="Times New Roman"/>
          <w:sz w:val="24"/>
        </w:rPr>
        <w:t>The narration is first person throughout, but its posture changes across three phases, and tracking that change is one of the keys to the story. In the first phase, the meeting and the growing dislike, the narrator is fully involved and fully subjective; he comments, ranks, and condemns. In the second phase, the examination of the pearls, he recedes into something closer to a camera, recording gestures and faces with an unusual restraint. In the third phase, after the truth is out, he returns to judgment, but a chastened one. This movement from subjective to objective and back is not decoration. It is the story enacting its own thesis, that a person becomes visible only when the observer stops delivering verdicts long enough to look.</w:t>
      </w:r>
    </w:p>
    <w:p>
      <w:pPr>
        <w:spacing w:line="360" w:lineRule="auto" w:before="160" w:after="0"/>
        <w:jc w:val="center"/>
      </w:pPr>
      <w:r>
        <w:rPr>
          <w:rFonts w:ascii="Times New Roman" w:hAnsi="Times New Roman"/>
          <w:b/>
          <w:sz w:val="24"/>
        </w:rPr>
        <w:t>Judgment: The Verdict Before the Evidence</w:t>
      </w:r>
    </w:p>
    <w:p>
      <w:pPr>
        <w:spacing w:line="360" w:lineRule="auto" w:after="0"/>
        <w:ind w:firstLine="720"/>
        <w:jc w:val="both"/>
      </w:pPr>
      <w:r>
        <w:rPr>
          <w:rFonts w:ascii="Times New Roman" w:hAnsi="Times New Roman"/>
          <w:sz w:val="24"/>
        </w:rPr>
        <w:t>The story announces its subject in its first sentence: “I was prepared to dislike Max Kelada even before I knew him” (Maugham, 1936). The sentence is a small machine, and every part of it is doing work. The dislike is not presented as a response to anything Kelada has done; it is a state of readiness, prepared in advance, waiting only for an object to land on. The grammar places the feeling before the acquaintance, which is Allport’s definition of prejudice rendered as a single clause: the attitude precedes the evidence and then goes hunting for it (Allport, 1954). The narrator has not met the man. He has met an idea, and he already knows how he feels about the idea.</w:t>
      </w:r>
    </w:p>
    <w:p>
      <w:pPr>
        <w:spacing w:line="360" w:lineRule="auto" w:before="120" w:after="0"/>
        <w:jc w:val="left"/>
      </w:pPr>
      <w:r>
        <w:rPr>
          <w:rFonts w:ascii="Times New Roman" w:hAnsi="Times New Roman"/>
          <w:b/>
          <w:sz w:val="24"/>
        </w:rPr>
        <w:t>The Accumulation of Petty Detail</w:t>
      </w:r>
    </w:p>
    <w:p>
      <w:pPr>
        <w:spacing w:line="360" w:lineRule="auto" w:after="0"/>
        <w:ind w:firstLine="720"/>
        <w:jc w:val="both"/>
      </w:pPr>
      <w:r>
        <w:rPr>
          <w:rFonts w:ascii="Times New Roman" w:hAnsi="Times New Roman"/>
          <w:sz w:val="24"/>
        </w:rPr>
        <w:t>Maugham then shows us how the idea is assembled, and the striking thing is that none of the raw material is Kelada’s conduct. The narrator judges the luggage before the man. “When I went on board I found Mr. Kelada’s luggage already below” (Maugham, 1936), and the labels on the suitcases, the crowd of toilet things spread across the shared cabin’s shelf, the very name on the tags, are enough to set the verdict hardening before the two men have exchanged a word. Out of objects and a surname the narrator has built a complete portrait: vulgar, pushing, over-familiar, second-rate. Kahneman’s fast system is visible in the act. A coherent impression has been manufactured from almost nothing, and its coherence is precisely what disguises its emptiness (Kahneman, 2011). The narrator is so sure of his reading that the question of whether it is true never arises. Worse, when Kelada finally appears and turns out to be warm, generous, and eager to please, the narrator treats each of these qualities as a fresh irritation rather than as evidence against his verdict. This is prejudice behaving exactly as Allport said it does: contrary information is not weighed, it is repelled.</w:t>
      </w:r>
    </w:p>
    <w:p>
      <w:pPr>
        <w:spacing w:line="360" w:lineRule="auto" w:before="120" w:after="0"/>
        <w:jc w:val="left"/>
      </w:pPr>
      <w:r>
        <w:rPr>
          <w:rFonts w:ascii="Times New Roman" w:hAnsi="Times New Roman"/>
          <w:b/>
          <w:sz w:val="24"/>
        </w:rPr>
        <w:t>The Racial Edge: “The Levantine”</w:t>
      </w:r>
    </w:p>
    <w:p>
      <w:pPr>
        <w:spacing w:line="360" w:lineRule="auto" w:after="0"/>
        <w:ind w:firstLine="720"/>
        <w:jc w:val="both"/>
      </w:pPr>
      <w:r>
        <w:rPr>
          <w:rFonts w:ascii="Times New Roman" w:hAnsi="Times New Roman"/>
          <w:sz w:val="24"/>
        </w:rPr>
        <w:t>A close and honest reading cannot soften the fact that the narrator’s contempt has a racial core, and Maugham makes sure we cannot miss it. The narrator lingers on Kelada’s body and coloring, the “long, black, curly hair,” the “large hooked nose,” the “dark skin” (Maugham, 1936), cataloguing him as a physical type. At the story’s ugliest, he stops using Kelada’s name at all and refers to him as “the Levantine.” The word is a small act of erasure. It dissolves an individual into a geographical category freighted with suspicion, the mixed-blood easterner of the colonial imagination, and it lets the narrator dislike a type instead of engaging a person. Said’s analysis of Orientalism describes this move exactly: the confident assignment of the eastern other to a known, inferior slot, an assignment that flatters the one who makes it with a feeling of superior knowledge (Said, 1978).</w:t>
      </w:r>
    </w:p>
    <w:p>
      <w:pPr>
        <w:spacing w:line="360" w:lineRule="auto" w:after="0"/>
        <w:ind w:firstLine="720"/>
        <w:jc w:val="both"/>
      </w:pPr>
      <w:r>
        <w:rPr>
          <w:rFonts w:ascii="Times New Roman" w:hAnsi="Times New Roman"/>
          <w:sz w:val="24"/>
        </w:rPr>
        <w:t>What gives the moment its charge is that Kelada is fighting the same battle from the other side. “You don’t think I look like an American, do you? British to the backbone, that’s what I am,” he insists, with a pride that the narrator finds faintly absurd (Maugham, 1936). Read through Fanon, the absurdity belongs to the narrator, not to Kelada. Kelada holds a British passport and claims a British identity, and the narrator withholds recognition because his idea of Englishness is racial before it is anything else (Fanon, 1952/2008). The passport says one thing; the face, to the narrator, says another; and the narrator trusts the face. This is the precise mechanism of everyday racism, the kind that never announces itself and would be offended to be named. It comes dressed as taste, as an instinct about who is and is not quite the thing. Maugham does not underline it. He simply lets the narrator convict himself in his own words, which is more damning than any authorial comment could be.</w:t>
      </w:r>
    </w:p>
    <w:p>
      <w:pPr>
        <w:spacing w:line="360" w:lineRule="auto" w:before="120" w:after="0"/>
        <w:jc w:val="left"/>
      </w:pPr>
      <w:r>
        <w:rPr>
          <w:rFonts w:ascii="Times New Roman" w:hAnsi="Times New Roman"/>
          <w:b/>
          <w:sz w:val="24"/>
        </w:rPr>
        <w:t>Point of View as a Trap</w:t>
      </w:r>
    </w:p>
    <w:p>
      <w:pPr>
        <w:spacing w:line="360" w:lineRule="auto" w:after="0"/>
        <w:ind w:firstLine="720"/>
        <w:jc w:val="both"/>
      </w:pPr>
      <w:r>
        <w:rPr>
          <w:rFonts w:ascii="Times New Roman" w:hAnsi="Times New Roman"/>
          <w:sz w:val="24"/>
        </w:rPr>
        <w:t>The reason the reader goes along with all of this, at least on a first reading, is the architecture of the narration, and here Genette’s and Iser’s vocabulary earns its place. The story is both narrated and focalized through the unnamed Englishman (Genette, 1980). We never see Kelada directly; we see only the narrator’s seeing of him, filtered through a dislike that colors every noun. For the whole first movement of the story, that dislike is the only lens on offer, and a reader with no competing view will tend to look through it. Iser’s account of the reading process explains the consequence. Because the text leaves the moral gaps open, declining to tell us that the narrator is wrong, the reader fills those gaps, completing the judgment and thereby taking ownership of it (Iser, 1978). The prejudice comes to feel like the reader’s own inference rather than a position handed down by an unreliable voice. That is the trap, and it is sprung on purpose. It is what makes the later reversal register not as a plot mechanism but as a personal embarrassment.</w:t>
      </w:r>
    </w:p>
    <w:p>
      <w:pPr>
        <w:spacing w:line="360" w:lineRule="auto" w:after="0"/>
        <w:ind w:firstLine="720"/>
        <w:jc w:val="both"/>
      </w:pPr>
      <w:r>
        <w:rPr>
          <w:rFonts w:ascii="Times New Roman" w:hAnsi="Times New Roman"/>
          <w:sz w:val="24"/>
        </w:rPr>
        <w:t>Booth’s notion of narrative distance is the safety catch that a careful reader can feel even before the reversal (Booth, 1983). The narrator is too smooth, too certain, too pleased with his own discrimination. A man this confident about a stranger he has not spoken to is not, in the end, describing the stranger. He is describing himself, and the smoothness of the description is the tell. Maugham trusts some readers to catch this early and lets the rest catch it late, which is why the story rewards a second reading differently from the first: the second time through, the narrator’s urbanity reads as symptom rather than authority.</w:t>
      </w:r>
    </w:p>
    <w:p>
      <w:pPr>
        <w:spacing w:line="360" w:lineRule="auto" w:before="120" w:after="0"/>
        <w:jc w:val="left"/>
      </w:pPr>
      <w:r>
        <w:rPr>
          <w:rFonts w:ascii="Times New Roman" w:hAnsi="Times New Roman"/>
          <w:b/>
          <w:sz w:val="24"/>
        </w:rPr>
        <w:t>The Crowd and the Nickname</w:t>
      </w:r>
    </w:p>
    <w:p>
      <w:pPr>
        <w:spacing w:line="360" w:lineRule="auto" w:after="0"/>
        <w:ind w:firstLine="720"/>
        <w:jc w:val="both"/>
      </w:pPr>
      <w:r>
        <w:rPr>
          <w:rFonts w:ascii="Times New Roman" w:hAnsi="Times New Roman"/>
          <w:sz w:val="24"/>
        </w:rPr>
        <w:t>The private verdict becomes a public institution in the nickname. The whole ship calls Kelada “Mr. Know-All,” and, the narrator notes with some relish, they say it to his face (Maugham, 1936). A shared contempt has crystallized into a name, and the name does two things at once. It reduces a person to a single mocked trait, and it manufactures consensus, since everyone repeats it partly because everyone else does. Allport’s point about the social reinforcement of prejudice is dramatized in that one detail: the group’s agreement feels like proof, though it is only an echo chamber with a dinner menu (Allport, 1954). The narrator, who fancies himself an independent and discerning judge, is in fact a member of a mob that has decided together what Kelada is. The story’s deepest irony is already loaded and waiting. The man the crowd has agreed to despise is about to display, in front of that same crowd, a delicacy of feeling none of them possesses.</w:t>
      </w:r>
    </w:p>
    <w:p>
      <w:pPr>
        <w:spacing w:line="360" w:lineRule="auto" w:before="160" w:after="0"/>
        <w:jc w:val="center"/>
      </w:pPr>
      <w:r>
        <w:rPr>
          <w:rFonts w:ascii="Times New Roman" w:hAnsi="Times New Roman"/>
          <w:b/>
          <w:sz w:val="24"/>
        </w:rPr>
        <w:t>Human Dignity: “I Was Mistaken”</w:t>
      </w:r>
    </w:p>
    <w:p>
      <w:pPr>
        <w:spacing w:line="360" w:lineRule="auto" w:after="0"/>
        <w:ind w:firstLine="720"/>
        <w:jc w:val="both"/>
      </w:pPr>
      <w:r>
        <w:rPr>
          <w:rFonts w:ascii="Times New Roman" w:hAnsi="Times New Roman"/>
          <w:sz w:val="24"/>
        </w:rPr>
        <w:t>The correction arrives through the pearls, and Maugham stages it with the precision of a dramatist. This is the story’s peripeteia and its anagnorisis at once, the reversal and the recognition that Aristotle identified as the strongest devices a plot can hold (Aristotle, trans. 1996), and reading the scene through that classical lens shows how tightly it is built.</w:t>
      </w:r>
    </w:p>
    <w:p>
      <w:pPr>
        <w:spacing w:line="360" w:lineRule="auto" w:before="120" w:after="0"/>
        <w:jc w:val="left"/>
      </w:pPr>
      <w:r>
        <w:rPr>
          <w:rFonts w:ascii="Times New Roman" w:hAnsi="Times New Roman"/>
          <w:b/>
          <w:sz w:val="24"/>
        </w:rPr>
        <w:t>The Bet as Vanity</w:t>
      </w:r>
    </w:p>
    <w:p>
      <w:pPr>
        <w:spacing w:line="360" w:lineRule="auto" w:after="0"/>
        <w:ind w:firstLine="720"/>
        <w:jc w:val="both"/>
      </w:pPr>
      <w:r>
        <w:rPr>
          <w:rFonts w:ascii="Times New Roman" w:hAnsi="Times New Roman"/>
          <w:sz w:val="24"/>
        </w:rPr>
        <w:t>The scene grows out of Kelada’s defining weakness. The talk at dinner turns to pearls, and Kelada, who cannot let any subject pass without asserting mastery over it, declares that he knows the pearl trade from the inside. Mrs. Ramsay is wearing a chain, and her husband, with the same stubborn vanity from the other direction, says cheerfully that she bought it for a trifle. Kelada insists it is genuine and worth a large sum, and the two men, each unable to back down in public, stake a hundred dollars on the answer (Maugham, 1936). For Kelada the money is beside the point. What is at stake is being right in front of an audience, the only form of wealth the story has shown him to value. In Goffman’s terms, the bet is the climax of a performance he has been giving since he came aboard, the performance of the man who knows (Goffman, 1959). He is about to win it, and the reader, still watching through the narrator’s eyes, half hopes he will lose, which is exactly the position Maugham wants us in.</w:t>
      </w:r>
    </w:p>
    <w:p>
      <w:pPr>
        <w:spacing w:line="360" w:lineRule="auto" w:before="120" w:after="0"/>
        <w:jc w:val="left"/>
      </w:pPr>
      <w:r>
        <w:rPr>
          <w:rFonts w:ascii="Times New Roman" w:hAnsi="Times New Roman"/>
          <w:b/>
          <w:sz w:val="24"/>
        </w:rPr>
        <w:t>The Glance: Recognition and Reversal</w:t>
      </w:r>
    </w:p>
    <w:p>
      <w:pPr>
        <w:spacing w:line="360" w:lineRule="auto" w:after="0"/>
        <w:ind w:firstLine="720"/>
        <w:jc w:val="both"/>
      </w:pPr>
      <w:r>
        <w:rPr>
          <w:rFonts w:ascii="Times New Roman" w:hAnsi="Times New Roman"/>
          <w:sz w:val="24"/>
        </w:rPr>
        <w:t>Then the whole story turns on a single look. Kelada takes out his magnifying glass, leans over the pearls, and, just as he is about to pronounce, he glances up and sees Mrs. Ramsay’s face. She is white, her eyes fixed on him in terror (Maugham, 1936). In that instant Kelada understands what the narrator does not yet grasp: the pearls are real, which means they are a gift the wife cannot account for, from the year she spent alone in New York while her husband worked in Japan. To win the bet is to expose her, and to expose her is to end her marriage. This is Kelada’s anagnorisis, his recognition of another person’s hidden peril, and it produces the reversal. The man who has spent the entire story unable to stop talking now says the one thing that will cost him everything he has been performing: “I was mistaken.” He tells the table the pearls are a very good imitation, hands Mr. Ramsay the hundred dollars, and takes on himself the public role of the loud fool who talked big and could not deliver (Maugham, 1936).</w:t>
      </w:r>
    </w:p>
    <w:p>
      <w:pPr>
        <w:spacing w:line="360" w:lineRule="auto" w:before="120" w:after="0"/>
        <w:jc w:val="left"/>
      </w:pPr>
      <w:r>
        <w:rPr>
          <w:rFonts w:ascii="Times New Roman" w:hAnsi="Times New Roman"/>
          <w:b/>
          <w:sz w:val="24"/>
        </w:rPr>
        <w:t>The Sacrifice and Kantian Dignity</w:t>
      </w:r>
    </w:p>
    <w:p>
      <w:pPr>
        <w:spacing w:line="360" w:lineRule="auto" w:after="0"/>
        <w:ind w:firstLine="720"/>
        <w:jc w:val="both"/>
      </w:pPr>
      <w:r>
        <w:rPr>
          <w:rFonts w:ascii="Times New Roman" w:hAnsi="Times New Roman"/>
          <w:sz w:val="24"/>
        </w:rPr>
        <w:t>The moral center of the story lives in what, exactly, is being given up, and here the reading must be careful. Kelada does not surrender money he can spare, though he does surrender money. He surrenders the single thing the whole narrative has told us he cannot live without, his standing as the expert, and he does it in front of the very audience that coined his mocking name. The sacrifice is aimed with terrible precision at his own vanity. In Kant’s terms, the gesture is a clean instance of treating a person as an end and never merely as a means (Kant, 1785/1998). Kelada had every worldly incentive to use Mrs. Ramsay’s exposure as the stage for his own triumph; her fear was his opportunity. He refuses the opportunity. Her dignity, her right not to be broken open for someone else’s applause, weighs more with him than his own. And he asks for nothing in return, not even the private credit of being understood, since the entire table walks away believing he was simply wrong. The only witnesses to the truth are Mrs. Ramsay, who cannot speak, and the narrator, who can, and who now has no honest choice but to revise everything.</w:t>
      </w:r>
    </w:p>
    <w:p>
      <w:pPr>
        <w:spacing w:line="360" w:lineRule="auto" w:before="120" w:after="0"/>
        <w:jc w:val="left"/>
      </w:pPr>
      <w:r>
        <w:rPr>
          <w:rFonts w:ascii="Times New Roman" w:hAnsi="Times New Roman"/>
          <w:b/>
          <w:sz w:val="24"/>
        </w:rPr>
        <w:t>The Camera: When the Narrator Stops Judging</w:t>
      </w:r>
    </w:p>
    <w:p>
      <w:pPr>
        <w:spacing w:line="360" w:lineRule="auto" w:after="0"/>
        <w:ind w:firstLine="720"/>
        <w:jc w:val="both"/>
      </w:pPr>
      <w:r>
        <w:rPr>
          <w:rFonts w:ascii="Times New Roman" w:hAnsi="Times New Roman"/>
          <w:sz w:val="24"/>
        </w:rPr>
        <w:t>The technical achievement of the scene is easy to overlook and central to its power. Throughout the first movement of the story the narrator has been an interpreter, tinting every observation with his dislike. During the examination of the pearls his voice changes. He stops editorializing and simply records: the glass, the leaning in, the pause, the woman’s frightened face, the sums of money changing hands. He becomes, for a page, the camera the story needs. This shift in focalization is not incidental to the meaning, it is the meaning (Genette, 1980). The moment the narrator stops delivering verdicts and only watches is the exact moment Kelada becomes visible to him, and to us, as something other than a buffoon. The form performs the argument. Clear sight begins where judgment pauses. When the narrator was busy despising Kelada he could see only a vulgar show-off; when he falls silent and merely observes, he sees a man performing an act of quiet moral courage that none of the story’s more respectable characters would have managed.</w:t>
      </w:r>
    </w:p>
    <w:p>
      <w:pPr>
        <w:spacing w:line="360" w:lineRule="auto" w:before="120" w:after="0"/>
        <w:jc w:val="left"/>
      </w:pPr>
      <w:r>
        <w:rPr>
          <w:rFonts w:ascii="Times New Roman" w:hAnsi="Times New Roman"/>
          <w:b/>
          <w:sz w:val="24"/>
        </w:rPr>
        <w:t>The Envelope and the Withheld Conversion</w:t>
      </w:r>
    </w:p>
    <w:p>
      <w:pPr>
        <w:spacing w:line="360" w:lineRule="auto" w:after="0"/>
        <w:ind w:firstLine="720"/>
        <w:jc w:val="both"/>
      </w:pPr>
      <w:r>
        <w:rPr>
          <w:rFonts w:ascii="Times New Roman" w:hAnsi="Times New Roman"/>
          <w:sz w:val="24"/>
        </w:rPr>
        <w:t>Maugham supplies his proof the next morning, and then he refuses to oversell it. A letter is slipped under the cabin door, and inside is a hundred-dollar note (Maugham, 1936). Mrs. Ramsay is silently repaying the man who absorbed her humiliation, and the small envelope confirms everything the narrator has begun to understand. When their eyes meet, Kelada does not pretend the previous evening never happened. Asked, in effect, whether it troubles him to be thought wrong about the one subject he claims to master, he answers that if he had a pretty wife he would not let her spend a year alone in New York, a reply that quietly reframes the whole affair and shows that he understood the human situation more fully than anyone else at the table. The vulgar Levantine turns out to live by a code of discretion and honor that the well-bred narrator had never thought to credit him with.</w:t>
      </w:r>
    </w:p>
    <w:p>
      <w:pPr>
        <w:spacing w:line="360" w:lineRule="auto" w:after="0"/>
        <w:ind w:firstLine="720"/>
        <w:jc w:val="both"/>
      </w:pPr>
      <w:r>
        <w:rPr>
          <w:rFonts w:ascii="Times New Roman" w:hAnsi="Times New Roman"/>
          <w:sz w:val="24"/>
        </w:rPr>
        <w:t>Which is why the final sentence is weighed with such care: “At that moment I did not entirely dislike Mr. Kelada” (Maugham, 1936). Maugham declines the tidy conversion the story seems to be reaching for. Not “I liked him.” Not “I was ashamed of myself.” The narrator concedes only that he did not entirely dislike him, and the double hedge, the negative and the qualifier, is the truth of the matter. Prejudice does not evaporate in a flash of moral insight. It loosens by a single notch, grudgingly, and the honesty of that half-measure is exactly what rescues the ending from sentimentality. It is worth asking, finally, whose line “I was mistaken” really is. Kelada speaks it about a pearl he knew perfectly well to be genuine, so in his mouth it is a generous lie. The narrator never speaks it aloud at all, yet the whole story is his unspoken version of it, an admission about a man he was certain he had read and had entirely misread. The bet was never about a necklace. It was about which man was the better judge of value, and the passenger the whole ship had agreed to call Mr. Know-All turns out to know the one thing the discerning narrator did not: how to look at a human being and see what actually matters.</w:t>
      </w:r>
    </w:p>
    <w:p>
      <w:pPr>
        <w:spacing w:line="360" w:lineRule="auto" w:before="160" w:after="0"/>
        <w:jc w:val="center"/>
      </w:pPr>
      <w:r>
        <w:rPr>
          <w:rFonts w:ascii="Times New Roman" w:hAnsi="Times New Roman"/>
          <w:b/>
          <w:sz w:val="24"/>
        </w:rPr>
        <w:t>The Reader’s Education: Bringing the Two Movements Together</w:t>
      </w:r>
    </w:p>
    <w:p>
      <w:pPr>
        <w:spacing w:line="360" w:lineRule="auto" w:after="0"/>
        <w:ind w:firstLine="720"/>
        <w:jc w:val="both"/>
      </w:pPr>
      <w:r>
        <w:rPr>
          <w:rFonts w:ascii="Times New Roman" w:hAnsi="Times New Roman"/>
          <w:sz w:val="24"/>
        </w:rPr>
        <w:t>The two halves of the story are now visible as one motion. The theme of judgment supplies the error, and the theme of dignity supplies its correction, and the hinge between them is a single glance across a dinner table. But the deeper unity lies in whom the arc belongs to. It is tempting to say the story is about Kelada, the misjudged man who turns out to be a gentleman. He is the more vivid character, and his sacrifice is the most memorable act in the book. Yet Kelada does not change. He is generous and honorable at the end because he was generous and honorable at the beginning; the pearl scene reveals him, it does not transform him. The character who actually undergoes an arc is the narrator, and by extension the reader who has been sealed inside his point of view. The education the story stages is ours.</w:t>
      </w:r>
    </w:p>
    <w:p>
      <w:pPr>
        <w:spacing w:line="360" w:lineRule="auto" w:after="0"/>
        <w:ind w:firstLine="720"/>
        <w:jc w:val="both"/>
      </w:pPr>
      <w:r>
        <w:rPr>
          <w:rFonts w:ascii="Times New Roman" w:hAnsi="Times New Roman"/>
          <w:sz w:val="24"/>
        </w:rPr>
        <w:t>This is where Nussbaum’s claim about narrative fiction stops being an abstraction and becomes a description of what the text does to us (Nussbaum, 1995). We are not told, from a safe distance, that prejudice is wrong and empathy is good. We are made to commit the prejudice ourselves, in real time, by being given no view of Kelada except a contemptuous one and being invited by the story’s gaps to endorse it (Iser, 1978). Then we are made to feel the verdict collapse, not because an authority corrects us but because the evidence of Kelada’s conduct becomes impossible to explain away. The reader who disliked Kelada on page two and admires him on the last page has been walked, in miniature, through the whole life cycle of a prejudice: its confident formation, its social reinforcement, and its slow, reluctant undoing in the face of a single undeniable act. That controlled experience of being wrong, and knowing it, is the story’s real gift and the source of its staying power.</w:t>
      </w:r>
    </w:p>
    <w:p>
      <w:pPr>
        <w:spacing w:line="360" w:lineRule="auto" w:before="160" w:after="0"/>
        <w:jc w:val="center"/>
      </w:pPr>
      <w:r>
        <w:rPr>
          <w:rFonts w:ascii="Times New Roman" w:hAnsi="Times New Roman"/>
          <w:b/>
          <w:sz w:val="24"/>
        </w:rPr>
        <w:t>Conclusion and Practical Implications</w:t>
      </w:r>
    </w:p>
    <w:p>
      <w:pPr>
        <w:spacing w:line="360" w:lineRule="auto" w:after="0"/>
        <w:ind w:firstLine="720"/>
        <w:jc w:val="both"/>
      </w:pPr>
      <w:r>
        <w:rPr>
          <w:rFonts w:ascii="Times New Roman" w:hAnsi="Times New Roman"/>
          <w:sz w:val="24"/>
        </w:rPr>
        <w:t>“Mr. Know-All” is short enough to teach in a single lesson and rich enough to argue about for a term, and the two facts are connected rather than in tension. Into a shipboard anecdote Maugham compresses a full anatomy of prejudice: the verdict that precedes the evidence, the details invented to justify it, the racial contempt hiding beneath the good manners, the crowd that mistakes its own echo for proof, and finally the act of moral courage that the prejudiced eye is structurally unable to see. He does all this without a word of overt moralizing, by the single, disciplined device of trapping us inside a narrator whose confidence we are meant to share and then to disown. The story does not tell us we are capable of the narrator’s mistake. It makes us make it.</w:t>
      </w:r>
    </w:p>
    <w:p>
      <w:pPr>
        <w:spacing w:line="360" w:lineRule="auto" w:after="0"/>
        <w:ind w:firstLine="720"/>
        <w:jc w:val="both"/>
      </w:pPr>
      <w:r>
        <w:rPr>
          <w:rFonts w:ascii="Times New Roman" w:hAnsi="Times New Roman"/>
          <w:sz w:val="24"/>
        </w:rPr>
        <w:t>The practical implication for teaching follows directly from that design, and here I want to be concrete about how I would use the story in a classroom, particularly a language classroom where the text is often set. I would not open with the theme, because to announce that the story is “about prejudice” is to inoculate students against the very trap the story depends on. I would ask them instead to read only the first two pages and to write down, honestly, what they think of Max Kelada. Then I would have them go back and mark, line by line, which of their impressions came from Kelada’s own words and actions and which were handed to them, ready-made, by the narrator. The word “Levantine” is where the discussion becomes serious, because it lets a class distinguish between disliking a person’s manners and disliking his origins, and see how easily the second disguises itself as the first. For learners of English the story offers a further gift: its meaning turns on a reversal they can feel before they can fully articulate it, so the close reading of language and the ethical recognition arrive together, each reinforcing the other. The grammar of that first sentence, the connotations of that one ugly noun, the shift to plain reportage in the climax, these are language lessons and moral lessons in the same breath.</w:t>
      </w:r>
    </w:p>
    <w:p>
      <w:pPr>
        <w:spacing w:line="360" w:lineRule="auto" w:after="0"/>
        <w:ind w:firstLine="720"/>
        <w:jc w:val="both"/>
      </w:pPr>
      <w:r>
        <w:rPr>
          <w:rFonts w:ascii="Times New Roman" w:hAnsi="Times New Roman"/>
          <w:sz w:val="24"/>
        </w:rPr>
        <w:t>Working through the story also changed how I read the narrator, and by extension how I read myself, which is the last thing worth saying about it. On a first pass I took the narrator’s voice at face value and disliked Kelada right alongside him, which is precisely what the narration is engineered to make me do. It was only in going back that I saw how much of my judgment had been handed to me, pre-formed, by a man who turned out to be wrong about the one thing he was most certain of. That is an uncomfortable discovery, and it is the story’s point. Maugham does not invite us to admire Kelada’s dignity from a comfortable seat above the action. He catches us in the same misjudgment as his narrator, holds us there until it is too late to feel superior, and then trusts us to be honest enough to say, with the narrator’s reticence and our own, that we were mistaken.</w:t>
      </w:r>
    </w:p>
    <w:p>
      <w:r>
        <w:br w:type="page"/>
      </w:r>
    </w:p>
    <w:p>
      <w:pPr>
        <w:spacing w:line="360" w:lineRule="auto" w:before="160" w:after="0"/>
        <w:jc w:val="center"/>
      </w:pPr>
      <w:r>
        <w:rPr>
          <w:rFonts w:ascii="Times New Roman" w:hAnsi="Times New Roman"/>
          <w:b/>
          <w:sz w:val="24"/>
        </w:rPr>
        <w:t>References</w:t>
      </w:r>
    </w:p>
    <w:p>
      <w:pPr>
        <w:spacing w:line="360" w:lineRule="auto"/>
        <w:ind w:left="720" w:hanging="720"/>
        <w:jc w:val="both"/>
      </w:pPr>
      <w:r>
        <w:rPr>
          <w:rFonts w:ascii="Times New Roman" w:hAnsi="Times New Roman"/>
          <w:sz w:val="24"/>
        </w:rPr>
        <w:t>Allport, G. W. (1954). The nature of prejudice. Addison-Wesley.</w:t>
      </w:r>
    </w:p>
    <w:p>
      <w:pPr>
        <w:spacing w:line="360" w:lineRule="auto"/>
        <w:ind w:left="720" w:hanging="720"/>
        <w:jc w:val="both"/>
      </w:pPr>
      <w:r>
        <w:rPr>
          <w:rFonts w:ascii="Times New Roman" w:hAnsi="Times New Roman"/>
          <w:sz w:val="24"/>
        </w:rPr>
        <w:t>Aristotle. (1996). Poetics (M. Heath, Trans.). Penguin Books. (Original work published ca. 335 BCE)</w:t>
      </w:r>
    </w:p>
    <w:p>
      <w:pPr>
        <w:spacing w:line="360" w:lineRule="auto"/>
        <w:ind w:left="720" w:hanging="720"/>
        <w:jc w:val="both"/>
      </w:pPr>
      <w:r>
        <w:rPr>
          <w:rFonts w:ascii="Times New Roman" w:hAnsi="Times New Roman"/>
          <w:sz w:val="24"/>
        </w:rPr>
        <w:t>Booth, W. C. (1983). The rhetoric of fiction (2nd ed.). University of Chicago Press.</w:t>
      </w:r>
    </w:p>
    <w:p>
      <w:pPr>
        <w:spacing w:line="360" w:lineRule="auto"/>
        <w:ind w:left="720" w:hanging="720"/>
        <w:jc w:val="both"/>
      </w:pPr>
      <w:r>
        <w:rPr>
          <w:rFonts w:ascii="Times New Roman" w:hAnsi="Times New Roman"/>
          <w:sz w:val="24"/>
        </w:rPr>
        <w:t>Fanon, F. (2008). Black skin, white masks (R. Philcox, Trans.). Grove Press. (Original work published 1952)</w:t>
      </w:r>
    </w:p>
    <w:p>
      <w:pPr>
        <w:spacing w:line="360" w:lineRule="auto"/>
        <w:ind w:left="720" w:hanging="720"/>
        <w:jc w:val="both"/>
      </w:pPr>
      <w:r>
        <w:rPr>
          <w:rFonts w:ascii="Times New Roman" w:hAnsi="Times New Roman"/>
          <w:sz w:val="24"/>
        </w:rPr>
        <w:t>Genette, G. (1980). Narrative discourse: An essay in method (J. E. Lewin, Trans.). Cornell University Press.</w:t>
      </w:r>
    </w:p>
    <w:p>
      <w:pPr>
        <w:spacing w:line="360" w:lineRule="auto"/>
        <w:ind w:left="720" w:hanging="720"/>
        <w:jc w:val="both"/>
      </w:pPr>
      <w:r>
        <w:rPr>
          <w:rFonts w:ascii="Times New Roman" w:hAnsi="Times New Roman"/>
          <w:sz w:val="24"/>
        </w:rPr>
        <w:t>Goffman, E. (1959). The presentation of self in everyday life. Doubleday.</w:t>
      </w:r>
    </w:p>
    <w:p>
      <w:pPr>
        <w:spacing w:line="360" w:lineRule="auto"/>
        <w:ind w:left="720" w:hanging="720"/>
        <w:jc w:val="both"/>
      </w:pPr>
      <w:r>
        <w:rPr>
          <w:rFonts w:ascii="Times New Roman" w:hAnsi="Times New Roman"/>
          <w:sz w:val="24"/>
        </w:rPr>
        <w:t>Iser, W. (1978). The act of reading: A theory of aesthetic response. Johns Hopkins University Press.</w:t>
      </w:r>
    </w:p>
    <w:p>
      <w:pPr>
        <w:spacing w:line="360" w:lineRule="auto"/>
        <w:ind w:left="720" w:hanging="720"/>
        <w:jc w:val="both"/>
      </w:pPr>
      <w:r>
        <w:rPr>
          <w:rFonts w:ascii="Times New Roman" w:hAnsi="Times New Roman"/>
          <w:sz w:val="24"/>
        </w:rPr>
        <w:t>Kahneman, D. (2011). Thinking, fast and slow. Farrar, Straus and Giroux.</w:t>
      </w:r>
    </w:p>
    <w:p>
      <w:pPr>
        <w:spacing w:line="360" w:lineRule="auto"/>
        <w:ind w:left="720" w:hanging="720"/>
        <w:jc w:val="both"/>
      </w:pPr>
      <w:r>
        <w:rPr>
          <w:rFonts w:ascii="Times New Roman" w:hAnsi="Times New Roman"/>
          <w:sz w:val="24"/>
        </w:rPr>
        <w:t>Kant, I. (1998). Groundwork of the metaphysics of morals (M. Gregor, Ed. &amp; Trans.). Cambridge University Press. (Original work published 1785)</w:t>
      </w:r>
    </w:p>
    <w:p>
      <w:pPr>
        <w:spacing w:line="360" w:lineRule="auto"/>
        <w:ind w:left="720" w:hanging="720"/>
        <w:jc w:val="both"/>
      </w:pPr>
      <w:r>
        <w:rPr>
          <w:rFonts w:ascii="Times New Roman" w:hAnsi="Times New Roman"/>
          <w:sz w:val="24"/>
        </w:rPr>
        <w:t>Maugham, W. S. (1936). Mr. Know-All. In Cosmopolitans: Very short stories. William Heinemann.</w:t>
      </w:r>
    </w:p>
    <w:p>
      <w:pPr>
        <w:spacing w:line="360" w:lineRule="auto"/>
        <w:ind w:left="720" w:hanging="720"/>
        <w:jc w:val="both"/>
      </w:pPr>
      <w:r>
        <w:rPr>
          <w:rFonts w:ascii="Times New Roman" w:hAnsi="Times New Roman"/>
          <w:sz w:val="24"/>
        </w:rPr>
        <w:t>Nussbaum, M. C. (1995). Poetic justice: The literary imagination and public life. Beacon Press.</w:t>
      </w:r>
    </w:p>
    <w:p>
      <w:pPr>
        <w:spacing w:line="360" w:lineRule="auto"/>
        <w:ind w:left="720" w:hanging="720"/>
        <w:jc w:val="both"/>
      </w:pPr>
      <w:r>
        <w:rPr>
          <w:rFonts w:ascii="Times New Roman" w:hAnsi="Times New Roman"/>
          <w:sz w:val="24"/>
        </w:rPr>
        <w:t>Nussbaum, M. C. (1997). Cultivating humanity: A classical defense of reform in liberal education. Harvard University Press.</w:t>
      </w:r>
    </w:p>
    <w:p>
      <w:pPr>
        <w:spacing w:line="360" w:lineRule="auto"/>
        <w:ind w:left="720" w:hanging="720"/>
        <w:jc w:val="both"/>
      </w:pPr>
      <w:r>
        <w:rPr>
          <w:rFonts w:ascii="Times New Roman" w:hAnsi="Times New Roman"/>
          <w:sz w:val="24"/>
        </w:rPr>
        <w:t>Said, E. W. (1978). Orientalism. Pantheon Books.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