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400" w:line="360"/>
        <w:jc w:val="center"/>
      </w:pPr>
      <w:r>
        <w:rPr>
          <w:rFonts w:ascii="David" w:cs="David" w:eastAsia="David" w:hAnsi="David"/>
          <w:b/>
          <w:bCs/>
          <w:sz w:val="26"/>
          <w:szCs w:val="26"/>
          <w:rtl/>
        </w:rPr>
        <w:t xml:space="preserve">הגשה למנחה: מבוא ופרק ראשון</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w:t>
      </w:r>
      <w:r>
        <w:rPr>
          <w:rStyle w:val="FootnoteReference"/>
        </w:rPr>
        <w:footnoteReference w:id="1"/>
      </w:r>
      <w:r>
        <w:rPr>
          <w:rFonts w:ascii="David" w:cs="David" w:eastAsia="David" w:hAnsi="David"/>
          <w:sz w:val="24"/>
          <w:szCs w:val="24"/>
          <w:rtl/>
        </w:rPr>
        <w:t xml:space="preserve">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w:t>
      </w:r>
      <w:r>
        <w:rPr>
          <w:rStyle w:val="FootnoteReference"/>
        </w:rPr>
        <w:footnoteReference w:id="2"/>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w:t>
      </w:r>
      <w:r>
        <w:rPr>
          <w:rStyle w:val="FootnoteReference"/>
        </w:rPr>
        <w:footnoteReference w:id="3"/>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w:t>
      </w:r>
      <w:r>
        <w:rPr>
          <w:rStyle w:val="FootnoteReference"/>
        </w:rPr>
        <w:footnoteReference w:id="4"/>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w:t>
      </w:r>
      <w:r>
        <w:rPr>
          <w:rStyle w:val="FootnoteReference"/>
        </w:rPr>
        <w:footnoteReference w:id="5"/>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w:t>
      </w:r>
      <w:r>
        <w:rPr>
          <w:rStyle w:val="FootnoteReference"/>
        </w:rPr>
        <w:footnoteReference w:id="6"/>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w:t>
      </w:r>
      <w:r>
        <w:rPr>
          <w:rStyle w:val="FootnoteReference"/>
        </w:rPr>
        <w:footnoteReference w:id="7"/>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w:t>
      </w:r>
      <w:r>
        <w:rPr>
          <w:rStyle w:val="FootnoteReference"/>
        </w:rPr>
        <w:footnoteReference w:id="8"/>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w:t>
      </w:r>
      <w:r>
        <w:rPr>
          <w:rStyle w:val="FootnoteReference"/>
        </w:rPr>
        <w:footnoteReference w:id="9"/>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w:t>
      </w:r>
      <w:r>
        <w:rPr>
          <w:rStyle w:val="FootnoteReference"/>
        </w:rPr>
        <w:footnoteReference w:id="10"/>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w:t>
      </w:r>
      <w:r>
        <w:rPr>
          <w:rStyle w:val="FootnoteReference"/>
        </w:rPr>
        <w:footnoteReference w:id="11"/>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w:t>
      </w:r>
      <w:r>
        <w:rPr>
          <w:rStyle w:val="FootnoteReference"/>
        </w:rPr>
        <w:footnoteReference w:id="12"/>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w:t>
      </w:r>
      <w:r>
        <w:rPr>
          <w:rStyle w:val="FootnoteReference"/>
        </w:rPr>
        <w:footnoteReference w:id="13"/>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w:t>
      </w:r>
      <w:r>
        <w:rPr>
          <w:rStyle w:val="FootnoteReference"/>
        </w:rPr>
        <w:footnoteReference w:id="14"/>
      </w:r>
      <w:r>
        <w:rPr>
          <w:rFonts w:ascii="David" w:cs="David" w:eastAsia="David" w:hAnsi="David"/>
          <w:sz w:val="24"/>
          <w:szCs w:val="24"/>
          <w:rtl/>
        </w:rPr>
        <w:t xml:space="preserve">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w:t>
      </w:r>
      <w:r>
        <w:rPr>
          <w:rStyle w:val="FootnoteReference"/>
        </w:rPr>
        <w:footnoteReference w:id="15"/>
      </w:r>
      <w:r>
        <w:rPr>
          <w:rFonts w:ascii="David" w:cs="David" w:eastAsia="David" w:hAnsi="David"/>
          <w:sz w:val="24"/>
          <w:szCs w:val="24"/>
          <w:rtl/>
        </w:rPr>
        <w:t xml:space="preserve">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w:t>
      </w:r>
      <w:r>
        <w:rPr>
          <w:rStyle w:val="FootnoteReference"/>
        </w:rPr>
        <w:footnoteReference w:id="16"/>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w:t>
      </w:r>
      <w:r>
        <w:rPr>
          <w:rStyle w:val="FootnoteReference"/>
        </w:rPr>
        <w:footnoteReference w:id="17"/>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w:t>
      </w:r>
      <w:r>
        <w:rPr>
          <w:rStyle w:val="FootnoteReference"/>
        </w:rPr>
        <w:footnoteReference w:id="18"/>
      </w:r>
    </w:p>
    <w:p>
      <w:pPr>
        <w:bidi/>
        <w:spacing w:after="120" w:line="360" w:lineRule="auto"/>
        <w:jc w:val="right"/>
      </w:pPr>
      <w:r>
        <w:rPr>
          <w:rFonts w:ascii="David" w:cs="David" w:eastAsia="David" w:hAnsi="David"/>
          <w:sz w:val="24"/>
          <w:szCs w:val="24"/>
          <w:rtl/>
        </w:rPr>
        <w:t xml:space="preserve">המקורות הראשוניים שבמקראת הקורס מאפשרים לעמוד על טיב הטענות. שטקר, בנאומו "תביעתנו כלפי היהדות המודרנית" (ספטמבר 1879), תיאר את היהודים כ"עם בתוך עם, מדינה בתוך מדינה", הזהיר מפני ארבעים וחמישה אלף היהודים של ברלין השולטים לדבריו בכסף, בבנקים ובעיתונות, ודרש מהם "להשתתף בעבודה הגרמנית" ולוותר על השאיפה "להפוך לאדוניה של גרמניה" .</w:t>
      </w:r>
      <w:r>
        <w:rPr>
          <w:rStyle w:val="FootnoteReference"/>
        </w:rPr>
        <w:footnoteReference w:id="19"/>
      </w:r>
      <w:r>
        <w:rPr>
          <w:rFonts w:ascii="David" w:cs="David" w:eastAsia="David" w:hAnsi="David"/>
          <w:sz w:val="24"/>
          <w:szCs w:val="24"/>
          <w:rtl/>
        </w:rPr>
        <w:t xml:space="preserve"> מאר, בחיבורו "ניצחון היהדות על הגרמאניות", הציג את הדברים בלשון של גורל היסטורי: היהדות כבר ניצחה, המדינה "הנוצרית" אינה יכולה לעצור אותה, ובתוך ארבעה דורות לא תיוותר משרה בגרמניה שלא תיכבש בידי יהודים .</w:t>
      </w:r>
      <w:r>
        <w:rPr>
          <w:rStyle w:val="FootnoteReference"/>
        </w:rPr>
        <w:footnoteReference w:id="20"/>
      </w:r>
      <w:r>
        <w:rPr>
          <w:rFonts w:ascii="David" w:cs="David" w:eastAsia="David" w:hAnsi="David"/>
          <w:sz w:val="24"/>
          <w:szCs w:val="24"/>
          <w:rtl/>
        </w:rPr>
        <w:t xml:space="preserve"> טרייצ'קה ניסח את הדברים במתינות של מלומד, אך הגיע לאותה מסקנה: ההגירה מ"העריסה הפולנית שאינה נדלית" מאיימת על התרבות הלאומית, העיתונות הגרמנית נשלטת בידי יהודים, ו"עד לחוגים בעלי ההשכלה הגבוהה ביותר נשמע כיום פה אחד: היהודים הם אסוננו" .</w:t>
      </w:r>
      <w:r>
        <w:rPr>
          <w:rStyle w:val="FootnoteReference"/>
        </w:rPr>
        <w:footnoteReference w:id="21"/>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שבה אפילו עלילת הדם מוסברת כביטוי ל"אהבה העצמית העצומה של העברים, העוינת לכל זולתם", וזהו החיבור שהרצל קרא בשנת 1882 .</w:t>
      </w:r>
      <w:r>
        <w:rPr>
          <w:rStyle w:val="FootnoteReference"/>
        </w:rPr>
        <w:footnoteReference w:id="22"/>
      </w:r>
      <w:r>
        <w:rPr>
          <w:rFonts w:ascii="David" w:cs="David" w:eastAsia="David" w:hAnsi="David"/>
          <w:sz w:val="24"/>
          <w:szCs w:val="24"/>
          <w:rtl/>
        </w:rPr>
        <w:t xml:space="preserve">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w:t>
      </w:r>
      <w:r>
        <w:rPr>
          <w:rStyle w:val="FootnoteReference"/>
        </w:rPr>
        <w:footnoteReference w:id="23"/>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w:t>
      </w:r>
      <w:r>
        <w:rPr>
          <w:rStyle w:val="FootnoteReference"/>
        </w:rPr>
        <w:footnoteReference w:id="24"/>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בכרוז הייסוד שלה הכריזה האגודה שהיהודים הגרמנים "נמסרו בשמחה ובהתלהבות לחיי הכלל של העם הגרמני", ושהם מתארגנים כדי "להגן בכוחנו שלנו על מעמדנו במולדתנו". ההתארגנות היהודית הזאת, שראתה בהגנה על האמנציפציה ולא ביציאה ממנה את התשובה, היא הרקע שעל פניו יבלוט הפתרון של הרצל .</w:t>
      </w:r>
      <w:r>
        <w:rPr>
          <w:rStyle w:val="FootnoteReference"/>
        </w:rPr>
        <w:footnoteReference w:id="25"/>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w:t>
      </w:r>
      <w:r>
        <w:rPr>
          <w:rStyle w:val="FootnoteReference"/>
        </w:rPr>
        <w:footnoteReference w:id="26"/>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w:t>
      </w:r>
      <w:r>
        <w:rPr>
          <w:rStyle w:val="FootnoteReference"/>
        </w:rPr>
        <w:footnoteReference w:id="27"/>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t>
      </w:r>
      <w:r>
        <w:rPr>
          <w:rStyle w:val="FootnoteReference"/>
        </w:rPr>
        <w:footnoteReference w:id="28"/>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w:t>
      </w:r>
      <w:r>
        <w:rPr>
          <w:rStyle w:val="FootnoteReference"/>
        </w:rPr>
        <w:footnoteReference w:id="29"/>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w:t>
      </w:r>
      <w:r>
        <w:rPr>
          <w:rStyle w:val="FootnoteReference"/>
        </w:rPr>
        <w:footnoteReference w:id="30"/>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w:t>
      </w:r>
      <w:r>
        <w:rPr>
          <w:rStyle w:val="FootnoteReference"/>
        </w:rPr>
        <w:footnoteReference w:id="31"/>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w:t>
      </w:r>
      <w:r>
        <w:rPr>
          <w:rStyle w:val="FootnoteReference"/>
        </w:rPr>
        <w:footnoteReference w:id="32"/>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w:t>
      </w:r>
      <w:r>
        <w:rPr>
          <w:rStyle w:val="FootnoteReference"/>
        </w:rPr>
        <w:footnoteReference w:id="33"/>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t>
      </w:r>
      <w:r>
        <w:rPr>
          <w:rStyle w:val="FootnoteReference"/>
        </w:rPr>
        <w:footnoteReference w:id="34"/>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t>
      </w:r>
      <w:r>
        <w:rPr>
          <w:rStyle w:val="FootnoteReference"/>
        </w:rPr>
        <w:footnoteReference w:id="35"/>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w:t>
      </w:r>
      <w:r>
        <w:rPr>
          <w:rStyle w:val="FootnoteReference"/>
        </w:rPr>
        <w:footnoteReference w:id="36"/>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w:t>
      </w:r>
      <w:r>
        <w:rPr>
          <w:rStyle w:val="FootnoteReference"/>
        </w:rPr>
        <w:footnoteReference w:id="37"/>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w:t>
      </w:r>
      <w:r>
        <w:rPr>
          <w:rStyle w:val="FootnoteReference"/>
        </w:rPr>
        <w:footnoteReference w:id="38"/>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w:t>
      </w:r>
      <w:r>
        <w:rPr>
          <w:rStyle w:val="FootnoteReference"/>
        </w:rPr>
        <w:footnoteReference w:id="39"/>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(1990).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(מהדורה שנייה). תל אביב: מורשת.</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דירינג, א' (1881). שאלת היהודים כשאלת הגזע.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355-356). רעננה: האוניברסיטה הפתוחה.</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73-94.</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מאר, ו' (1879). ניצחון היהדות על הגרמאניות.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349-352). רעננה: האוניברסיטה הפתוחה.</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טרייצ'קה, ה' פ' (1879). דבר על יהדותנו.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357-360). רעננה: האוניברסיטה הפתוחה.</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spacing w:after="240" w:line="240" w:lineRule="auto"/>
        <w:ind w:left="720" w:hanging="720"/>
        <w:jc w:val="right"/>
      </w:pPr>
      <w:r>
        <w:rPr>
          <w:rFonts w:ascii="David" w:cs="David" w:eastAsia="David" w:hAnsi="David"/>
          <w:sz w:val="24"/>
          <w:szCs w:val="24"/>
          <w:rtl/>
        </w:rPr>
        <w:t xml:space="preserve">שטקר, א' (1879). תביעתנו כלפי היהדות המודרנית.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345-347). רעננה: האוניברסיטה הפתוחה.</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G. J. (1964).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New York: John Wiley &amp; Sons.</w:t>
      </w:r>
    </w:p>
    <w:p>
      <w:pPr>
        <w:bidi w:val="false"/>
        <w:spacing w:after="240" w:line="240" w:lineRule="auto"/>
        <w:ind w:left="720" w:hanging="720"/>
        <w:jc w:val="left"/>
      </w:pPr>
      <w:r>
        <w:rPr>
          <w:rFonts w:ascii="David" w:cs="David" w:eastAsia="David" w:hAnsi="David"/>
          <w:sz w:val="24"/>
          <w:szCs w:val="24"/>
          <w:rtl w:val="false"/>
        </w:rPr>
        <w:t xml:space="preserve">Pulzer, P. G. J.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Theodor Herzl, "Zionism," </w:t>
      </w:r>
      <w:r>
        <w:rPr>
          <w:rFonts w:ascii="David" w:cs="David" w:eastAsia="David" w:hAnsi="David"/>
          <w:i/>
          <w:iCs/>
          <w:sz w:val="20"/>
          <w:szCs w:val="20"/>
          <w:rtl w:val="false"/>
        </w:rPr>
        <w:t xml:space="preserve">The North American Review</w:t>
      </w:r>
      <w:r>
        <w:rPr>
          <w:rFonts w:ascii="David" w:cs="David" w:eastAsia="David" w:hAnsi="David"/>
          <w:sz w:val="20"/>
          <w:szCs w:val="20"/>
          <w:rtl w:val="false"/>
        </w:rPr>
        <w:t xml:space="preserve"> 169 (July 1899), pp. 1-8.</w:t>
      </w:r>
    </w:p>
  </w:footnote>
  <w:footnote w:id="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שלמה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(ירושלים: מרכז זלמן שזר, 2007), עמ' 84-108; Jacques Kornberg, </w:t>
      </w:r>
      <w:r>
        <w:rPr>
          <w:rFonts w:ascii="David" w:cs="David" w:eastAsia="David" w:hAnsi="David"/>
          <w:i/>
          <w:iCs/>
          <w:sz w:val="20"/>
          <w:szCs w:val="20"/>
          <w:rtl w:val="false"/>
        </w:rPr>
        <w:t xml:space="preserve">Theodor Herzl: From Assimilation to Zionism</w:t>
      </w:r>
      <w:r>
        <w:rPr>
          <w:rFonts w:ascii="David" w:cs="David" w:eastAsia="David" w:hAnsi="David"/>
          <w:sz w:val="20"/>
          <w:szCs w:val="20"/>
          <w:rtl w:val="false"/>
        </w:rPr>
        <w:t xml:space="preserve"> (Bloomington: Indiana University Press, 1993), pp. 183-202.</w:t>
      </w:r>
    </w:p>
  </w:footnote>
  <w:footnote w:id="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שמואל אטינגר, </w:t>
      </w:r>
      <w:r>
        <w:rPr>
          <w:rFonts w:ascii="David" w:cs="David" w:eastAsia="David" w:hAnsi="David"/>
          <w:b/>
          <w:bCs/>
          <w:i w:val="false"/>
          <w:iCs w:val="false"/>
          <w:sz w:val="20"/>
          <w:szCs w:val="20"/>
          <w:rtl/>
        </w:rPr>
        <w:t xml:space="preserve">האנטישמיות בעת החדשה: פרקי מחקר ועיון</w:t>
      </w:r>
      <w:r>
        <w:rPr>
          <w:rFonts w:ascii="David" w:cs="David" w:eastAsia="David" w:hAnsi="David"/>
          <w:sz w:val="20"/>
          <w:szCs w:val="20"/>
          <w:rtl/>
        </w:rPr>
        <w:t xml:space="preserve">, מהדורה שנייה (תל אביב: מורשת, 1990), עמ' 1-2; David Engel, "Away from a Definition of Antisemitism: An Essay in the Semantics of Historical Description," in Jeremy Cohen and Moshe Rosman (eds.), </w:t>
      </w:r>
      <w:r>
        <w:rPr>
          <w:rFonts w:ascii="David" w:cs="David" w:eastAsia="David" w:hAnsi="David"/>
          <w:i/>
          <w:iCs/>
          <w:sz w:val="20"/>
          <w:szCs w:val="20"/>
          <w:rtl w:val="false"/>
        </w:rPr>
        <w:t xml:space="preserve">Rethinking European Jewish History</w:t>
      </w:r>
      <w:r>
        <w:rPr>
          <w:rFonts w:ascii="David" w:cs="David" w:eastAsia="David" w:hAnsi="David"/>
          <w:sz w:val="20"/>
          <w:szCs w:val="20"/>
          <w:rtl w:val="false"/>
        </w:rPr>
        <w:t xml:space="preserve"> (Oxford: Littman Library, 2009), pp. 30-53.</w:t>
      </w:r>
    </w:p>
  </w:footnote>
  <w:footnote w:id="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 Derek Penslar, </w:t>
      </w:r>
      <w:r>
        <w:rPr>
          <w:rFonts w:ascii="David" w:cs="David" w:eastAsia="David" w:hAnsi="David"/>
          <w:i/>
          <w:iCs/>
          <w:sz w:val="20"/>
          <w:szCs w:val="20"/>
          <w:rtl w:val="false"/>
        </w:rPr>
        <w:t xml:space="preserve">Theodor Herzl: The Charismatic Leader</w:t>
      </w:r>
      <w:r>
        <w:rPr>
          <w:rFonts w:ascii="David" w:cs="David" w:eastAsia="David" w:hAnsi="David"/>
          <w:sz w:val="20"/>
          <w:szCs w:val="20"/>
          <w:rtl w:val="false"/>
        </w:rPr>
        <w:t xml:space="preserve"> (New Haven: Yale University Press, 2020), pp. 49-70.</w:t>
      </w:r>
    </w:p>
  </w:footnote>
  <w:footnote w:id="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15-33; Alex Bein, </w:t>
      </w:r>
      <w:r>
        <w:rPr>
          <w:rFonts w:ascii="David" w:cs="David" w:eastAsia="David" w:hAnsi="David"/>
          <w:i/>
          <w:iCs/>
          <w:sz w:val="20"/>
          <w:szCs w:val="20"/>
          <w:rtl w:val="false"/>
        </w:rPr>
        <w:t xml:space="preserve">Theodore Herzl: A Biography</w:t>
      </w:r>
      <w:r>
        <w:rPr>
          <w:rFonts w:ascii="David" w:cs="David" w:eastAsia="David" w:hAnsi="David"/>
          <w:sz w:val="20"/>
          <w:szCs w:val="20"/>
          <w:rtl w:val="false"/>
        </w:rPr>
        <w:t xml:space="preserve">, trans. Maurice Samuel (Philadelphia: Jewish Publication Society, 1941), pp. 1-40.</w:t>
      </w:r>
    </w:p>
  </w:footnote>
  <w:footnote w:id="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Jacques Kornberg, "Theodor Herzl: A Reevaluation," </w:t>
      </w:r>
      <w:r>
        <w:rPr>
          <w:rFonts w:ascii="David" w:cs="David" w:eastAsia="David" w:hAnsi="David"/>
          <w:i/>
          <w:iCs/>
          <w:sz w:val="20"/>
          <w:szCs w:val="20"/>
          <w:rtl w:val="false"/>
        </w:rPr>
        <w:t xml:space="preserve">Journal of Modern History</w:t>
      </w:r>
      <w:r>
        <w:rPr>
          <w:rFonts w:ascii="David" w:cs="David" w:eastAsia="David" w:hAnsi="David"/>
          <w:sz w:val="20"/>
          <w:szCs w:val="20"/>
          <w:rtl w:val="false"/>
        </w:rPr>
        <w:t xml:space="preserve"> 52 (1980),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1-41.</w:t>
      </w:r>
    </w:p>
  </w:footnote>
  <w:footnote w:id="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34-56; Amos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(New York: Holt, Rinehart and Winston, 1975), pp. 55-66.</w:t>
      </w:r>
    </w:p>
  </w:footnote>
  <w:footnote w:id="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42-56; Steven 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(London: Peter Halban, 1991), pp. 9-19.</w:t>
      </w:r>
    </w:p>
  </w:footnote>
  <w:footnote w:id="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87-113;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31-48.</w:t>
      </w:r>
    </w:p>
  </w:footnote>
  <w:footnote w:id="1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 Ernst Pawel, </w:t>
      </w:r>
      <w:r>
        <w:rPr>
          <w:rFonts w:ascii="David" w:cs="David" w:eastAsia="David" w:hAnsi="David"/>
          <w:i/>
          <w:iCs/>
          <w:sz w:val="20"/>
          <w:szCs w:val="20"/>
          <w:rtl w:val="false"/>
        </w:rPr>
        <w:t xml:space="preserve">The Labyrinth of Exile: A Life of Theodor Herzl</w:t>
      </w:r>
      <w:r>
        <w:rPr>
          <w:rFonts w:ascii="David" w:cs="David" w:eastAsia="David" w:hAnsi="David"/>
          <w:sz w:val="20"/>
          <w:szCs w:val="20"/>
          <w:rtl w:val="false"/>
        </w:rPr>
        <w:t xml:space="preserve"> (New York: Farrar, Straus and Giroux, 1989), pp. 189-240.</w:t>
      </w:r>
    </w:p>
  </w:footnote>
  <w:footnote w:id="1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יעקב כ"ץ, </w:t>
      </w:r>
      <w:r>
        <w:rPr>
          <w:rFonts w:ascii="David" w:cs="David" w:eastAsia="David" w:hAnsi="David"/>
          <w:b/>
          <w:bCs/>
          <w:i w:val="false"/>
          <w:iCs w:val="false"/>
          <w:sz w:val="20"/>
          <w:szCs w:val="20"/>
          <w:rtl/>
        </w:rPr>
        <w:t xml:space="preserve">שנאת ישראל: משנאת הדת לשלילת הגזע</w:t>
      </w:r>
      <w:r>
        <w:rPr>
          <w:rFonts w:ascii="David" w:cs="David" w:eastAsia="David" w:hAnsi="David"/>
          <w:sz w:val="20"/>
          <w:szCs w:val="20"/>
          <w:rtl/>
        </w:rPr>
        <w:t xml:space="preserve"> (תל אביב: עם עובד, 1979), עמ' 9-17, 245-260; Peter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rev. ed. (Cambridge, MA: Harvard University Press, 1988), pp. 47-57.</w:t>
      </w:r>
    </w:p>
  </w:footnote>
  <w:footnote w:id="1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227-244.</w:t>
      </w:r>
    </w:p>
  </w:footnote>
  <w:footnote w:id="1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אטינגר, </w:t>
      </w:r>
      <w:r>
        <w:rPr>
          <w:rFonts w:ascii="David" w:cs="David" w:eastAsia="David" w:hAnsi="David"/>
          <w:b/>
          <w:bCs/>
          <w:i w:val="false"/>
          <w:iCs w:val="false"/>
          <w:sz w:val="20"/>
          <w:szCs w:val="20"/>
          <w:rtl/>
        </w:rPr>
        <w:t xml:space="preserve">האנטישמיות בעת החדשה</w:t>
      </w:r>
      <w:r>
        <w:rPr>
          <w:rFonts w:ascii="David" w:cs="David" w:eastAsia="David" w:hAnsi="David"/>
          <w:sz w:val="20"/>
          <w:szCs w:val="20"/>
          <w:rtl/>
        </w:rPr>
        <w:t xml:space="preserve">, עמ' 1-27.</w:t>
      </w:r>
    </w:p>
  </w:footnote>
  <w:footnote w:id="1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אנגל, "גלגולי המושג 'אנטישמיות' והשימוש בו כקטגוריה כוללת",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13-55; 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73-94; Engel, "Away from a Definition of Antisemitism," pp. 30-53.</w:t>
      </w:r>
    </w:p>
  </w:footnote>
  <w:footnote w:id="1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דיוויד פלדמן, "אנטישמיות ואסלאמופוביה", תרגם דורון מגן,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295-296.</w:t>
      </w:r>
    </w:p>
  </w:footnote>
  <w:footnote w:id="1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צפריר ברזלי, "המושג 'אנטישמיות' כקטגוריה לחקר ההיסטוריה של היהודים בימי הביניים",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195-196, 206-207.</w:t>
      </w:r>
    </w:p>
  </w:footnote>
  <w:footnote w:id="1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אנגל, "גלגולי המושג 'אנטישמיות'", עמ' 13-55; ברזלי, "המושג 'אנטישמיות' כקטגוריה", עמ' 206-207.</w:t>
      </w:r>
    </w:p>
  </w:footnote>
  <w:footnote w:id="1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261-289;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88-105.</w:t>
      </w:r>
    </w:p>
  </w:footnote>
  <w:footnote w:id="1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אדולף שטקר, "תביעתנו כלפי היהדות המודרנית"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345-347.</w:t>
      </w:r>
    </w:p>
  </w:footnote>
  <w:footnote w:id="20">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וילהלם מאר, "ניצחון היהדות על הגרמאניות"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349-352.</w:t>
      </w:r>
    </w:p>
  </w:footnote>
  <w:footnote w:id="21">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היינריך פון טרייצ'קה, "דבר על יהדותנו"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357-360.</w:t>
      </w:r>
    </w:p>
  </w:footnote>
  <w:footnote w:id="2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אויגן דירינג, "שאלת היהודים כשאלת הגזע" (1881),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355-356.</w:t>
      </w:r>
    </w:p>
  </w:footnote>
  <w:footnote w:id="2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290-308;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49-52, 92-95.</w:t>
      </w:r>
    </w:p>
  </w:footnote>
  <w:footnote w:id="2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106-130.</w:t>
      </w:r>
    </w:p>
  </w:footnote>
  <w:footnote w:id="2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"ההכרזה הפומבית על הקמת האגודה המרכזית של אזרחים גרמנים בני הדת היהודית" (26 במאי 1893),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363; 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309-320; Pulzer, </w:t>
      </w:r>
      <w:r>
        <w:rPr>
          <w:rFonts w:ascii="David" w:cs="David" w:eastAsia="David" w:hAnsi="David"/>
          <w:i/>
          <w:iCs/>
          <w:sz w:val="20"/>
          <w:szCs w:val="20"/>
          <w:rtl/>
        </w:rPr>
        <w:t xml:space="preserve">The Rise of Political Anti-Semitism</w:t>
      </w:r>
      <w:r>
        <w:rPr>
          <w:rFonts w:ascii="David" w:cs="David" w:eastAsia="David" w:hAnsi="David"/>
          <w:sz w:val="20"/>
          <w:szCs w:val="20"/>
          <w:rtl/>
        </w:rPr>
        <w:t xml:space="preserve"> (1988), pp. 121-130.</w:t>
      </w:r>
    </w:p>
  </w:footnote>
  <w:footnote w:id="2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שולמית וולקוב, </w:t>
      </w:r>
      <w:r>
        <w:rPr>
          <w:rFonts w:ascii="David" w:cs="David" w:eastAsia="David" w:hAnsi="David"/>
          <w:b/>
          <w:bCs/>
          <w:i w:val="false"/>
          <w:iCs w:val="false"/>
          <w:sz w:val="20"/>
          <w:szCs w:val="20"/>
          <w:rtl/>
        </w:rPr>
        <w:t xml:space="preserve">במעגל המכושף: יהודים, אנטישמים וגרמנים אחרים</w:t>
      </w:r>
      <w:r>
        <w:rPr>
          <w:rFonts w:ascii="David" w:cs="David" w:eastAsia="David" w:hAnsi="David"/>
          <w:sz w:val="20"/>
          <w:szCs w:val="20"/>
          <w:rtl/>
        </w:rPr>
        <w:t xml:space="preserve"> (תל אביב: עם עובד, 2002), עמ' 71-98; Shulamit Volkov, "Antisemitism as a Cultural Code: Reflections on the History and Historiography of Antisemitism in Imperial Germany," </w:t>
      </w:r>
      <w:r>
        <w:rPr>
          <w:rFonts w:ascii="David" w:cs="David" w:eastAsia="David" w:hAnsi="David"/>
          <w:i/>
          <w:iCs/>
          <w:sz w:val="20"/>
          <w:szCs w:val="20"/>
          <w:rtl w:val="false"/>
        </w:rPr>
        <w:t xml:space="preserve">Leo Baeck Institute Year Book</w:t>
      </w:r>
      <w:r>
        <w:rPr>
          <w:rFonts w:ascii="David" w:cs="David" w:eastAsia="David" w:hAnsi="David"/>
          <w:sz w:val="20"/>
          <w:szCs w:val="20"/>
          <w:rtl w:val="false"/>
        </w:rPr>
        <w:t xml:space="preserve"> 23 (1978), pp. 25-46.</w:t>
      </w:r>
    </w:p>
  </w:footnote>
  <w:footnote w:id="2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גיא מירון, </w:t>
      </w:r>
      <w:r>
        <w:rPr>
          <w:rFonts w:ascii="David" w:cs="David" w:eastAsia="David" w:hAnsi="David"/>
          <w:b/>
          <w:bCs/>
          <w:i w:val="false"/>
          <w:iCs w:val="false"/>
          <w:sz w:val="20"/>
          <w:szCs w:val="20"/>
          <w:rtl/>
        </w:rPr>
        <w:t xml:space="preserve">האנטישמיות במאה ה-19: מדריך למידה</w:t>
      </w:r>
      <w:r>
        <w:rPr>
          <w:rFonts w:ascii="David" w:cs="David" w:eastAsia="David" w:hAnsi="David"/>
          <w:sz w:val="20"/>
          <w:szCs w:val="20"/>
          <w:rtl/>
        </w:rPr>
        <w:t xml:space="preserve"> (רעננה: האוניברסיטה הפתוחה, 2022), עמ' 54-56; Peter G. J.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(New York: John Wiley &amp; Sons, 1964), pp. 122-137.</w:t>
      </w:r>
    </w:p>
  </w:footnote>
  <w:footnote w:id="2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w:t>
      </w:r>
      <w:r>
        <w:rPr>
          <w:rFonts w:ascii="David" w:cs="David" w:eastAsia="David" w:hAnsi="David"/>
          <w:i/>
          <w:iCs/>
          <w:sz w:val="20"/>
          <w:szCs w:val="20"/>
          <w:rtl w:val="false"/>
        </w:rPr>
        <w:t xml:space="preserve">The Jews of Vienna in the Age of Franz Joseph</w:t>
      </w:r>
      <w:r>
        <w:rPr>
          <w:rFonts w:ascii="David" w:cs="David" w:eastAsia="David" w:hAnsi="David"/>
          <w:sz w:val="20"/>
          <w:szCs w:val="20"/>
          <w:rtl w:val="false"/>
        </w:rPr>
        <w:t xml:space="preserve"> (Oxford: Oxford University Press, 1989), pp. 3-61.</w:t>
      </w:r>
    </w:p>
  </w:footnote>
  <w:footnote w:id="2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56-59;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(1964), pp. 156-183;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205-256.</w:t>
      </w:r>
    </w:p>
  </w:footnote>
  <w:footnote w:id="3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58-59; Carl E. Schorske, </w:t>
      </w:r>
      <w:r>
        <w:rPr>
          <w:rFonts w:ascii="David" w:cs="David" w:eastAsia="David" w:hAnsi="David"/>
          <w:i/>
          <w:iCs/>
          <w:sz w:val="20"/>
          <w:szCs w:val="20"/>
          <w:rtl w:val="false"/>
        </w:rPr>
        <w:t xml:space="preserve">Fin-de-siècle Vienna: Politics and Culture</w:t>
      </w:r>
      <w:r>
        <w:rPr>
          <w:rFonts w:ascii="David" w:cs="David" w:eastAsia="David" w:hAnsi="David"/>
          <w:sz w:val="20"/>
          <w:szCs w:val="20"/>
          <w:rtl w:val="false"/>
        </w:rPr>
        <w:t xml:space="preserve"> (New York: Alfred A. Knopf, 1980), pp. 116-180.</w:t>
      </w:r>
    </w:p>
  </w:footnote>
  <w:footnote w:id="3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60-62; Paula E.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(Berkeley: University of California Press, 1998), pp. 91-95.</w:t>
      </w:r>
    </w:p>
  </w:footnote>
  <w:footnote w:id="3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95-99; Stephen Wilson, </w:t>
      </w:r>
      <w:r>
        <w:rPr>
          <w:rFonts w:ascii="David" w:cs="David" w:eastAsia="David" w:hAnsi="David"/>
          <w:i/>
          <w:iCs/>
          <w:sz w:val="20"/>
          <w:szCs w:val="20"/>
          <w:rtl w:val="false"/>
        </w:rPr>
        <w:t xml:space="preserve">Ideology and Experience: Antisemitism in France at the Time of the Dreyfus Affair</w:t>
      </w:r>
      <w:r>
        <w:rPr>
          <w:rFonts w:ascii="David" w:cs="David" w:eastAsia="David" w:hAnsi="David"/>
          <w:sz w:val="20"/>
          <w:szCs w:val="20"/>
          <w:rtl w:val="false"/>
        </w:rPr>
        <w:t xml:space="preserve"> (Rutherford: Fairleigh Dickinson University Press, 1982), pp. 3-35.</w:t>
      </w:r>
    </w:p>
  </w:footnote>
  <w:footnote w:id="3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אדואר דרימון, "צרפת המיוהדת" (1886),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443-444;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96-98.</w:t>
      </w:r>
    </w:p>
  </w:footnote>
  <w:footnote w:id="3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36-70; Eric Cahm, </w:t>
      </w:r>
      <w:r>
        <w:rPr>
          <w:rFonts w:ascii="David" w:cs="David" w:eastAsia="David" w:hAnsi="David"/>
          <w:i/>
          <w:iCs/>
          <w:sz w:val="20"/>
          <w:szCs w:val="20"/>
          <w:rtl w:val="false"/>
        </w:rPr>
        <w:t xml:space="preserve">The Dreyfus Affair in French Society and Politics</w:t>
      </w:r>
      <w:r>
        <w:rPr>
          <w:rFonts w:ascii="David" w:cs="David" w:eastAsia="David" w:hAnsi="David"/>
          <w:sz w:val="20"/>
          <w:szCs w:val="20"/>
          <w:rtl w:val="false"/>
        </w:rPr>
        <w:t xml:space="preserve"> (London: Longman, 1996), pp. 1-24.</w:t>
      </w:r>
    </w:p>
  </w:footnote>
  <w:footnote w:id="3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171-200; Pierre Birnbaum, </w:t>
      </w:r>
      <w:r>
        <w:rPr>
          <w:rFonts w:ascii="David" w:cs="David" w:eastAsia="David" w:hAnsi="David"/>
          <w:i/>
          <w:iCs/>
          <w:sz w:val="20"/>
          <w:szCs w:val="20"/>
          <w:rtl w:val="false"/>
        </w:rPr>
        <w:t xml:space="preserve">The Anti-Semitic Moment: A Tour of France in 1898</w:t>
      </w:r>
      <w:r>
        <w:rPr>
          <w:rFonts w:ascii="David" w:cs="David" w:eastAsia="David" w:hAnsi="David"/>
          <w:sz w:val="20"/>
          <w:szCs w:val="20"/>
          <w:rtl w:val="false"/>
        </w:rPr>
        <w:t xml:space="preserve">, trans. Jane Marie Todd (New York: Hill and Wang, 2003), pp. 1-22.</w:t>
      </w:r>
    </w:p>
  </w:footnote>
  <w:footnote w:id="3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102-103, 111-112; Michael R. Marrus, </w:t>
      </w:r>
      <w:r>
        <w:rPr>
          <w:rFonts w:ascii="David" w:cs="David" w:eastAsia="David" w:hAnsi="David"/>
          <w:i/>
          <w:iCs/>
          <w:sz w:val="20"/>
          <w:szCs w:val="20"/>
          <w:rtl w:val="false"/>
        </w:rPr>
        <w:t xml:space="preserve">The Politics of Assimilation: A Study of the French Jewish Community at the Time of the Dreyfus Affair</w:t>
      </w:r>
      <w:r>
        <w:rPr>
          <w:rFonts w:ascii="David" w:cs="David" w:eastAsia="David" w:hAnsi="David"/>
          <w:sz w:val="20"/>
          <w:szCs w:val="20"/>
          <w:rtl w:val="false"/>
        </w:rPr>
        <w:t xml:space="preserve"> (Oxford: Clarendon Press, 1971), pp. 196-242.</w:t>
      </w:r>
    </w:p>
  </w:footnote>
  <w:footnote w:id="3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98-99, 111-114.</w:t>
      </w:r>
    </w:p>
  </w:footnote>
  <w:footnote w:id="3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 w:id="3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15-56;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2026-09-19T10:04:44.482Z</dcterms:created>
  <dcterms:modified xsi:type="dcterms:W3CDTF">2026-09-19T10:04:44.482Z</dcterms:modified>
</cp:coreProperties>
</file>

<file path=docProps/custom.xml><?xml version="1.0" encoding="utf-8"?>
<Properties xmlns="http://schemas.openxmlformats.org/officeDocument/2006/custom-properties" xmlns:vt="http://schemas.openxmlformats.org/officeDocument/2006/docPropsVTypes"/>
</file>