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w:t>
      </w:r>
      <w:r>
        <w:rPr>
          <w:rStyle w:val="FootnoteReference"/>
        </w:rPr>
        <w:footnoteReference w:id="1"/>
      </w:r>
      <w:r>
        <w:rPr>
          <w:rFonts w:ascii="David" w:cs="David" w:eastAsia="David" w:hAnsi="David"/>
          <w:sz w:val="24"/>
          <w:szCs w:val="24"/>
          <w:rtl/>
        </w:rPr>
        <w:t xml:space="preserve">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w:t>
      </w:r>
      <w:r>
        <w:rPr>
          <w:rStyle w:val="FootnoteReference"/>
        </w:rPr>
        <w:footnoteReference w:id="2"/>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w:t>
      </w:r>
      <w:r>
        <w:rPr>
          <w:rStyle w:val="FootnoteReference"/>
        </w:rPr>
        <w:footnoteReference w:id="3"/>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w:t>
      </w:r>
      <w:r>
        <w:rPr>
          <w:rStyle w:val="FootnoteReference"/>
        </w:rPr>
        <w:footnoteReference w:id="4"/>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w:t>
      </w:r>
      <w:r>
        <w:rPr>
          <w:rStyle w:val="FootnoteReference"/>
        </w:rPr>
        <w:footnoteReference w:id="5"/>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w:t>
      </w:r>
      <w:r>
        <w:rPr>
          <w:rStyle w:val="FootnoteReference"/>
        </w:rPr>
        <w:footnoteReference w:id="6"/>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w:t>
      </w:r>
      <w:r>
        <w:rPr>
          <w:rStyle w:val="FootnoteReference"/>
        </w:rPr>
        <w:footnoteReference w:id="7"/>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w:t>
      </w:r>
      <w:r>
        <w:rPr>
          <w:rStyle w:val="FootnoteReference"/>
        </w:rPr>
        <w:footnoteReference w:id="8"/>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w:t>
      </w:r>
      <w:r>
        <w:rPr>
          <w:rStyle w:val="FootnoteReference"/>
        </w:rPr>
        <w:footnoteReference w:id="9"/>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w:t>
      </w:r>
      <w:r>
        <w:rPr>
          <w:rStyle w:val="FootnoteReference"/>
        </w:rPr>
        <w:footnoteReference w:id="10"/>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w:t>
      </w:r>
      <w:r>
        <w:rPr>
          <w:rStyle w:val="FootnoteReference"/>
        </w:rPr>
        <w:footnoteReference w:id="11"/>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w:t>
      </w:r>
      <w:r>
        <w:rPr>
          <w:rStyle w:val="FootnoteReference"/>
        </w:rPr>
        <w:footnoteReference w:id="12"/>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w:t>
      </w:r>
      <w:r>
        <w:rPr>
          <w:rStyle w:val="FootnoteReference"/>
        </w:rPr>
        <w:footnoteReference w:id="13"/>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w:t>
      </w:r>
      <w:r>
        <w:rPr>
          <w:rStyle w:val="FootnoteReference"/>
        </w:rPr>
        <w:footnoteReference w:id="14"/>
      </w:r>
      <w:r>
        <w:rPr>
          <w:rFonts w:ascii="David" w:cs="David" w:eastAsia="David" w:hAnsi="David"/>
          <w:sz w:val="24"/>
          <w:szCs w:val="24"/>
          <w:rtl/>
        </w:rPr>
        <w:t xml:space="preserve">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w:t>
      </w:r>
      <w:r>
        <w:rPr>
          <w:rStyle w:val="FootnoteReference"/>
        </w:rPr>
        <w:footnoteReference w:id="15"/>
      </w:r>
      <w:r>
        <w:rPr>
          <w:rFonts w:ascii="David" w:cs="David" w:eastAsia="David" w:hAnsi="David"/>
          <w:sz w:val="24"/>
          <w:szCs w:val="24"/>
          <w:rtl/>
        </w:rPr>
        <w:t xml:space="preserve">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w:t>
      </w:r>
      <w:r>
        <w:rPr>
          <w:rStyle w:val="FootnoteReference"/>
        </w:rPr>
        <w:footnoteReference w:id="16"/>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w:t>
      </w:r>
      <w:r>
        <w:rPr>
          <w:rStyle w:val="FootnoteReference"/>
        </w:rPr>
        <w:footnoteReference w:id="17"/>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w:t>
      </w:r>
      <w:r>
        <w:rPr>
          <w:rStyle w:val="FootnoteReference"/>
        </w:rPr>
        <w:footnoteReference w:id="18"/>
      </w:r>
    </w:p>
    <w:p>
      <w:pPr>
        <w:bidi/>
        <w:spacing w:after="120" w:line="360" w:lineRule="auto"/>
        <w:jc w:val="right"/>
      </w:pPr>
      <w:r>
        <w:rPr>
          <w:rFonts w:ascii="David" w:cs="David" w:eastAsia="David" w:hAnsi="David"/>
          <w:sz w:val="24"/>
          <w:szCs w:val="24"/>
          <w:rtl/>
        </w:rPr>
        <w:t xml:space="preserve">המקורות הראשוניים שבמקראת הקורס מאפשרים לעמוד על טיב הטענות. שטקר, בנאומו "תביעתנו כלפי היהדות המודרנית" (ספטמבר 1879), תיאר את היהודים כ"עם בתוך עם, מדינה בתוך מדינה", הזהיר מפני ארבעים וחמישה אלף היהודים של ברלין השולטים לדבריו בכסף, בבנקים ובעיתונות, ודרש מהם "להשתתף בעבודה הגרמנית" ולוותר על השאיפה "להפוך לאדוניה של גרמניה" .</w:t>
      </w:r>
      <w:r>
        <w:rPr>
          <w:rStyle w:val="FootnoteReference"/>
        </w:rPr>
        <w:footnoteReference w:id="19"/>
      </w:r>
      <w:r>
        <w:rPr>
          <w:rFonts w:ascii="David" w:cs="David" w:eastAsia="David" w:hAnsi="David"/>
          <w:sz w:val="24"/>
          <w:szCs w:val="24"/>
          <w:rtl/>
        </w:rPr>
        <w:t xml:space="preserve"> מאר, בחיבורו "ניצחון היהדות על הגרמאניות", הציג את הדברים בלשון של גורל היסטורי: היהדות כבר ניצחה, המדינה "הנוצרית" אינה יכולה לעצור אותה, ובתוך ארבעה דורות לא תיוותר משרה בגרמניה שלא תיכבש בידי יהודים .</w:t>
      </w:r>
      <w:r>
        <w:rPr>
          <w:rStyle w:val="FootnoteReference"/>
        </w:rPr>
        <w:footnoteReference w:id="20"/>
      </w:r>
      <w:r>
        <w:rPr>
          <w:rFonts w:ascii="David" w:cs="David" w:eastAsia="David" w:hAnsi="David"/>
          <w:sz w:val="24"/>
          <w:szCs w:val="24"/>
          <w:rtl/>
        </w:rPr>
        <w:t xml:space="preserve"> טרייצ'קה ניסח את הדברים במתינות של מלומד, אך הגיע לאותה מסקנה: ההגירה מ"העריסה הפולנית שאינה נדלית" מאיימת על התרבות הלאומית, העיתונות הגרמנית נשלטת בידי יהודים, ו"עד לחוגים בעלי ההשכלה הגבוהה ביותר נשמע כיום פה אחד: היהודים הם אסוננו" .</w:t>
      </w:r>
      <w:r>
        <w:rPr>
          <w:rStyle w:val="FootnoteReference"/>
        </w:rPr>
        <w:footnoteReference w:id="21"/>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שבה אפילו עלילת הדם מוסברת כביטוי ל"אהבה העצמית העצומה של העברים, העוינת לכל זולתם", וזהו החיבור שהרצל קרא בשנת 1882 .</w:t>
      </w:r>
      <w:r>
        <w:rPr>
          <w:rStyle w:val="FootnoteReference"/>
        </w:rPr>
        <w:footnoteReference w:id="22"/>
      </w:r>
      <w:r>
        <w:rPr>
          <w:rFonts w:ascii="David" w:cs="David" w:eastAsia="David" w:hAnsi="David"/>
          <w:sz w:val="24"/>
          <w:szCs w:val="24"/>
          <w:rtl/>
        </w:rPr>
        <w:t xml:space="preserve">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w:t>
      </w:r>
      <w:r>
        <w:rPr>
          <w:rStyle w:val="FootnoteReference"/>
        </w:rPr>
        <w:footnoteReference w:id="23"/>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w:t>
      </w:r>
      <w:r>
        <w:rPr>
          <w:rStyle w:val="FootnoteReference"/>
        </w:rPr>
        <w:footnoteReference w:id="24"/>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בכרוז הייסוד שלה הכריזה האגודה שהיהודים הגרמנים "נמסרו בשמחה ובהתלהבות לחיי הכלל של העם הגרמני", ושהם מתארגנים כדי "להגן בכוחנו שלנו על מעמדנו במולדתנו". ההתארגנות היהודית הזאת, שראתה בהגנה על האמנציפציה ולא ביציאה ממנה את התשובה, היא הרקע שעל פניו יבלוט הפתרון של הרצל .</w:t>
      </w:r>
      <w:r>
        <w:rPr>
          <w:rStyle w:val="FootnoteReference"/>
        </w:rPr>
        <w:footnoteReference w:id="25"/>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w:t>
      </w:r>
      <w:r>
        <w:rPr>
          <w:rStyle w:val="FootnoteReference"/>
        </w:rPr>
        <w:footnoteReference w:id="26"/>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w:t>
      </w:r>
      <w:r>
        <w:rPr>
          <w:rStyle w:val="FootnoteReference"/>
        </w:rPr>
        <w:footnoteReference w:id="27"/>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t>
      </w:r>
      <w:r>
        <w:rPr>
          <w:rStyle w:val="FootnoteReference"/>
        </w:rPr>
        <w:footnoteReference w:id="28"/>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w:t>
      </w:r>
      <w:r>
        <w:rPr>
          <w:rStyle w:val="FootnoteReference"/>
        </w:rPr>
        <w:footnoteReference w:id="29"/>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w:t>
      </w:r>
      <w:r>
        <w:rPr>
          <w:rStyle w:val="FootnoteReference"/>
        </w:rPr>
        <w:footnoteReference w:id="30"/>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w:t>
      </w:r>
      <w:r>
        <w:rPr>
          <w:rStyle w:val="FootnoteReference"/>
        </w:rPr>
        <w:footnoteReference w:id="31"/>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w:t>
      </w:r>
      <w:r>
        <w:rPr>
          <w:rStyle w:val="FootnoteReference"/>
        </w:rPr>
        <w:footnoteReference w:id="32"/>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w:t>
      </w:r>
      <w:r>
        <w:rPr>
          <w:rStyle w:val="FootnoteReference"/>
        </w:rPr>
        <w:footnoteReference w:id="33"/>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t>
      </w:r>
      <w:r>
        <w:rPr>
          <w:rStyle w:val="FootnoteReference"/>
        </w:rPr>
        <w:footnoteReference w:id="34"/>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t>
      </w:r>
      <w:r>
        <w:rPr>
          <w:rStyle w:val="FootnoteReference"/>
        </w:rPr>
        <w:footnoteReference w:id="35"/>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w:t>
      </w:r>
      <w:r>
        <w:rPr>
          <w:rStyle w:val="FootnoteReference"/>
        </w:rPr>
        <w:footnoteReference w:id="36"/>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w:t>
      </w:r>
      <w:r>
        <w:rPr>
          <w:rStyle w:val="FootnoteReference"/>
        </w:rPr>
        <w:footnoteReference w:id="37"/>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w:t>
      </w:r>
      <w:r>
        <w:rPr>
          <w:rStyle w:val="FootnoteReference"/>
        </w:rPr>
        <w:footnoteReference w:id="38"/>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w:t>
      </w:r>
      <w:r>
        <w:rPr>
          <w:rStyle w:val="FootnoteReference"/>
        </w:rPr>
        <w:footnoteReference w:id="39"/>
      </w:r>
    </w:p>
    <w:p>
      <w:pPr>
        <w:pStyle w:val="Heading1"/>
        <w:pageBreakBefore/>
        <w:bidi/>
        <w:spacing w:after="160" w:before="360" w:line="360"/>
        <w:jc w:val="right"/>
      </w:pPr>
      <w:r>
        <w:rPr>
          <w:rFonts w:ascii="David" w:cs="David" w:eastAsia="David" w:hAnsi="David"/>
          <w:b/>
          <w:bCs/>
          <w:sz w:val="32"/>
          <w:szCs w:val="32"/>
          <w:rtl/>
        </w:rPr>
        <w:t xml:space="preserve">פרק שני: הגורמים למהפך שאינם קשורים לפרשת דרייפוס</w:t>
      </w:r>
    </w:p>
    <w:p>
      <w:pPr>
        <w:bidi/>
        <w:spacing w:after="120" w:line="360" w:lineRule="auto"/>
        <w:jc w:val="right"/>
      </w:pPr>
      <w:r>
        <w:rPr>
          <w:rFonts w:ascii="David" w:cs="David" w:eastAsia="David" w:hAnsi="David"/>
          <w:sz w:val="24"/>
          <w:szCs w:val="24"/>
          <w:rt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sz w:val="28"/>
          <w:szCs w:val="28"/>
          <w:rtl/>
        </w:rPr>
        <w:t xml:space="preserve">1. עדות הרצל: רשימת הגורמים ביומן (יוני 1895)</w:t>
      </w:r>
    </w:p>
    <w:p>
      <w:pPr>
        <w:bidi/>
        <w:spacing w:after="120" w:line="360" w:lineRule="auto"/>
        <w:jc w:val="right"/>
      </w:pPr>
      <w:r>
        <w:rPr>
          <w:rFonts w:ascii="David" w:cs="David" w:eastAsia="David" w:hAnsi="David"/>
          <w:sz w:val="24"/>
          <w:szCs w:val="24"/>
          <w:rt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w:t>
      </w:r>
      <w:r>
        <w:rPr>
          <w:rStyle w:val="FootnoteReference"/>
        </w:rPr>
        <w:footnoteReference w:id="40"/>
      </w:r>
    </w:p>
    <w:p>
      <w:pPr>
        <w:bidi/>
        <w:spacing w:after="120" w:line="360" w:lineRule="auto"/>
        <w:jc w:val="right"/>
      </w:pPr>
      <w:r>
        <w:rPr>
          <w:rFonts w:ascii="David" w:cs="David" w:eastAsia="David" w:hAnsi="David"/>
          <w:sz w:val="24"/>
          <w:szCs w:val="24"/>
          <w:rt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w:t>
      </w:r>
      <w:r>
        <w:rPr>
          <w:rStyle w:val="FootnoteReference"/>
        </w:rPr>
        <w:footnoteReference w:id="41"/>
      </w:r>
    </w:p>
    <w:p>
      <w:pPr>
        <w:pStyle w:val="Heading2"/>
        <w:bidi/>
        <w:spacing w:after="160" w:before="240" w:line="360"/>
        <w:jc w:val="right"/>
      </w:pPr>
      <w:r>
        <w:rPr>
          <w:rFonts w:ascii="David" w:cs="David" w:eastAsia="David" w:hAnsi="David"/>
          <w:b/>
          <w:bCs/>
          <w:sz w:val="28"/>
          <w:szCs w:val="28"/>
          <w:rtl/>
        </w:rPr>
        <w:t xml:space="preserve">2. המפגשים המוקדמים: דירינג ואגודת "אלביה"</w:t>
      </w:r>
    </w:p>
    <w:p>
      <w:pPr>
        <w:bidi/>
        <w:spacing w:after="120" w:line="360" w:lineRule="auto"/>
        <w:jc w:val="right"/>
      </w:pPr>
      <w:r>
        <w:rPr>
          <w:rFonts w:ascii="David" w:cs="David" w:eastAsia="David" w:hAnsi="David"/>
          <w:sz w:val="24"/>
          <w:szCs w:val="24"/>
          <w:rt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w:t>
      </w:r>
      <w:r>
        <w:rPr>
          <w:rStyle w:val="FootnoteReference"/>
        </w:rPr>
        <w:footnoteReference w:id="42"/>
      </w:r>
    </w:p>
    <w:p>
      <w:pPr>
        <w:bidi/>
        <w:spacing w:after="120" w:line="360" w:lineRule="auto"/>
        <w:jc w:val="right"/>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w:t>
      </w:r>
      <w:r>
        <w:rPr>
          <w:rStyle w:val="FootnoteReference"/>
        </w:rPr>
        <w:footnoteReference w:id="43"/>
      </w:r>
    </w:p>
    <w:p>
      <w:pPr>
        <w:pStyle w:val="Heading2"/>
        <w:bidi/>
        <w:spacing w:after="160" w:before="240" w:line="360"/>
        <w:jc w:val="right"/>
      </w:pPr>
      <w:r>
        <w:rPr>
          <w:rFonts w:ascii="David" w:cs="David" w:eastAsia="David" w:hAnsi="David"/>
          <w:b/>
          <w:bCs/>
          <w:sz w:val="28"/>
          <w:szCs w:val="28"/>
          <w:rtl/>
        </w:rPr>
        <w:t xml:space="preserve">3. בית הספר של פריז: פרלמנט, המונים ודרימון</w:t>
      </w:r>
    </w:p>
    <w:p>
      <w:pPr>
        <w:bidi/>
        <w:spacing w:after="120" w:line="360" w:lineRule="auto"/>
        <w:jc w:val="right"/>
      </w:pPr>
      <w:r>
        <w:rPr>
          <w:rFonts w:ascii="David" w:cs="David" w:eastAsia="David" w:hAnsi="David"/>
          <w:sz w:val="24"/>
          <w:szCs w:val="24"/>
          <w:rt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w:t>
      </w:r>
      <w:r>
        <w:rPr>
          <w:rStyle w:val="FootnoteReference"/>
        </w:rPr>
        <w:footnoteReference w:id="44"/>
      </w:r>
    </w:p>
    <w:p>
      <w:pPr>
        <w:bidi/>
        <w:spacing w:after="120" w:line="360" w:lineRule="auto"/>
        <w:jc w:val="right"/>
      </w:pPr>
      <w:r>
        <w:rPr>
          <w:rFonts w:ascii="David" w:cs="David" w:eastAsia="David" w:hAnsi="David"/>
          <w:sz w:val="24"/>
          <w:szCs w:val="24"/>
          <w:rt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w:t>
      </w:r>
      <w:r>
        <w:rPr>
          <w:rStyle w:val="FootnoteReference"/>
        </w:rPr>
        <w:footnoteReference w:id="45"/>
      </w:r>
    </w:p>
    <w:p>
      <w:pPr>
        <w:bidi/>
        <w:spacing w:after="120" w:line="360" w:lineRule="auto"/>
        <w:jc w:val="right"/>
      </w:pPr>
      <w:r>
        <w:rPr>
          <w:rFonts w:ascii="David" w:cs="David" w:eastAsia="David" w:hAnsi="David"/>
          <w:sz w:val="24"/>
          <w:szCs w:val="24"/>
          <w:rt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w:t>
      </w:r>
      <w:r>
        <w:rPr>
          <w:rStyle w:val="FootnoteReference"/>
        </w:rPr>
        <w:footnoteReference w:id="46"/>
      </w:r>
    </w:p>
    <w:p>
      <w:pPr>
        <w:pStyle w:val="Heading2"/>
        <w:bidi/>
        <w:spacing w:after="160" w:before="240" w:line="360"/>
        <w:jc w:val="right"/>
      </w:pPr>
      <w:r>
        <w:rPr>
          <w:rFonts w:ascii="David" w:cs="David" w:eastAsia="David" w:hAnsi="David"/>
          <w:b/>
          <w:bCs/>
          <w:sz w:val="28"/>
          <w:szCs w:val="28"/>
          <w:rtl/>
        </w:rPr>
        <w:t xml:space="preserve">4. המשבר האישי ו"הגטו החדש"</w:t>
      </w:r>
    </w:p>
    <w:p>
      <w:pPr>
        <w:bidi/>
        <w:spacing w:after="120" w:line="360" w:lineRule="auto"/>
        <w:jc w:val="right"/>
      </w:pPr>
      <w:r>
        <w:rPr>
          <w:rFonts w:ascii="David" w:cs="David" w:eastAsia="David" w:hAnsi="David"/>
          <w:sz w:val="24"/>
          <w:szCs w:val="24"/>
          <w:rt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w:t>
      </w:r>
      <w:r>
        <w:rPr>
          <w:rStyle w:val="FootnoteReference"/>
        </w:rPr>
        <w:footnoteReference w:id="47"/>
      </w:r>
    </w:p>
    <w:p>
      <w:pPr>
        <w:bidi/>
        <w:spacing w:after="120" w:line="360" w:lineRule="auto"/>
        <w:jc w:val="right"/>
      </w:pPr>
      <w:r>
        <w:rPr>
          <w:rFonts w:ascii="David" w:cs="David" w:eastAsia="David" w:hAnsi="David"/>
          <w:sz w:val="24"/>
          <w:szCs w:val="24"/>
          <w:rt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w:t>
      </w:r>
      <w:r>
        <w:rPr>
          <w:rStyle w:val="FootnoteReference"/>
        </w:rPr>
        <w:footnoteReference w:id="48"/>
      </w:r>
    </w:p>
    <w:p>
      <w:pPr>
        <w:bidi/>
        <w:spacing w:after="120" w:line="360" w:lineRule="auto"/>
        <w:jc w:val="right"/>
      </w:pPr>
      <w:r>
        <w:rPr>
          <w:rFonts w:ascii="David" w:cs="David" w:eastAsia="David" w:hAnsi="David"/>
          <w:sz w:val="24"/>
          <w:szCs w:val="24"/>
          <w:rt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w:t>
      </w:r>
      <w:r>
        <w:rPr>
          <w:rStyle w:val="FootnoteReference"/>
        </w:rPr>
        <w:footnoteReference w:id="49"/>
      </w:r>
    </w:p>
    <w:p>
      <w:pPr>
        <w:pStyle w:val="Heading2"/>
        <w:bidi/>
        <w:spacing w:after="160" w:before="240" w:line="360"/>
        <w:jc w:val="right"/>
      </w:pPr>
      <w:r>
        <w:rPr>
          <w:rFonts w:ascii="David" w:cs="David" w:eastAsia="David" w:hAnsi="David"/>
          <w:b/>
          <w:bCs/>
          <w:sz w:val="28"/>
          <w:szCs w:val="28"/>
          <w:rtl/>
        </w:rPr>
        <w:t xml:space="preserve">5. וינה 1895: עליית לואגר</w:t>
      </w:r>
    </w:p>
    <w:p>
      <w:pPr>
        <w:bidi/>
        <w:spacing w:after="120" w:line="360" w:lineRule="auto"/>
        <w:jc w:val="right"/>
      </w:pPr>
      <w:r>
        <w:rPr>
          <w:rFonts w:ascii="David" w:cs="David" w:eastAsia="David" w:hAnsi="David"/>
          <w:sz w:val="24"/>
          <w:szCs w:val="24"/>
          <w:rt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w:t>
      </w:r>
      <w:r>
        <w:rPr>
          <w:rStyle w:val="FootnoteReference"/>
        </w:rPr>
        <w:footnoteReference w:id="50"/>
      </w:r>
    </w:p>
    <w:p>
      <w:pPr>
        <w:bidi/>
        <w:spacing w:after="120" w:line="360" w:lineRule="auto"/>
        <w:jc w:val="right"/>
      </w:pPr>
      <w:r>
        <w:rPr>
          <w:rFonts w:ascii="David" w:cs="David" w:eastAsia="David" w:hAnsi="David"/>
          <w:sz w:val="24"/>
          <w:szCs w:val="24"/>
          <w:rt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w:t>
      </w:r>
      <w:r>
        <w:rPr>
          <w:rStyle w:val="FootnoteReference"/>
        </w:rPr>
        <w:footnoteReference w:id="51"/>
      </w:r>
    </w:p>
    <w:p>
      <w:pPr>
        <w:pStyle w:val="Heading2"/>
        <w:bidi/>
        <w:spacing w:after="160" w:before="240" w:line="360"/>
        <w:jc w:val="right"/>
      </w:pPr>
      <w:r>
        <w:rPr>
          <w:rFonts w:ascii="David" w:cs="David" w:eastAsia="David" w:hAnsi="David"/>
          <w:b/>
          <w:bCs/>
          <w:sz w:val="28"/>
          <w:szCs w:val="28"/>
          <w:rtl/>
        </w:rPr>
        <w:t xml:space="preserve">6. הגורמים במחקר: קורנברג, אבינרי, שורסקה ובלר</w:t>
      </w:r>
    </w:p>
    <w:p>
      <w:pPr>
        <w:bidi/>
        <w:spacing w:after="120" w:line="360" w:lineRule="auto"/>
        <w:jc w:val="right"/>
      </w:pPr>
      <w:r>
        <w:rPr>
          <w:rFonts w:ascii="David" w:cs="David" w:eastAsia="David" w:hAnsi="David"/>
          <w:sz w:val="24"/>
          <w:szCs w:val="24"/>
          <w:rt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w:t>
      </w:r>
      <w:r>
        <w:rPr>
          <w:rStyle w:val="FootnoteReference"/>
        </w:rPr>
        <w:footnoteReference w:id="52"/>
      </w:r>
    </w:p>
    <w:p>
      <w:pPr>
        <w:bidi/>
        <w:spacing w:after="120" w:line="360" w:lineRule="auto"/>
        <w:jc w:val="right"/>
      </w:pPr>
      <w:r>
        <w:rPr>
          <w:rFonts w:ascii="David" w:cs="David" w:eastAsia="David" w:hAnsi="David"/>
          <w:sz w:val="24"/>
          <w:szCs w:val="24"/>
          <w:rt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w:t>
      </w:r>
      <w:r>
        <w:rPr>
          <w:rStyle w:val="FootnoteReference"/>
        </w:rPr>
        <w:footnoteReference w:id="53"/>
      </w:r>
      <w:r>
        <w:rPr>
          <w:rFonts w:ascii="David" w:cs="David" w:eastAsia="David" w:hAnsi="David"/>
          <w:sz w:val="24"/>
          <w:szCs w:val="24"/>
          <w:rtl/>
        </w:rPr>
        <w:t xml:space="preserve">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w:t>
      </w:r>
      <w:r>
        <w:rPr>
          <w:rStyle w:val="FootnoteReference"/>
        </w:rPr>
        <w:footnoteReference w:id="54"/>
      </w:r>
      <w:r>
        <w:rPr>
          <w:rFonts w:ascii="David" w:cs="David" w:eastAsia="David" w:hAnsi="David"/>
          <w:sz w:val="24"/>
          <w:szCs w:val="24"/>
          <w:rtl/>
        </w:rPr>
        <w:t xml:space="preserve"> רוברט ויסטריך הדגיש אף הוא את המקור הווינאי ואת כישרונו של הרצל לבנות מיתוסים, ובכלל זה את מיתוס הולדתו שלו כציוני .</w:t>
      </w:r>
      <w:r>
        <w:rPr>
          <w:rStyle w:val="FootnoteReference"/>
        </w:rPr>
        <w:footnoteReference w:id="55"/>
      </w:r>
    </w:p>
    <w:p>
      <w:pPr>
        <w:bidi/>
        <w:spacing w:after="120" w:line="360" w:lineRule="auto"/>
        <w:jc w:val="right"/>
      </w:pPr>
      <w:r>
        <w:rPr>
          <w:rFonts w:ascii="David" w:cs="David" w:eastAsia="David" w:hAnsi="David"/>
          <w:sz w:val="24"/>
          <w:szCs w:val="24"/>
          <w:rt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w:t>
      </w:r>
      <w:r>
        <w:rPr>
          <w:rStyle w:val="FootnoteReference"/>
        </w:rPr>
        <w:footnoteReference w:id="56"/>
      </w:r>
    </w:p>
    <w:p>
      <w:pPr>
        <w:pStyle w:val="Heading2"/>
        <w:bidi/>
        <w:spacing w:after="160" w:before="240" w:line="360"/>
        <w:jc w:val="right"/>
      </w:pPr>
      <w:r>
        <w:rPr>
          <w:rFonts w:ascii="David" w:cs="David" w:eastAsia="David" w:hAnsi="David"/>
          <w:b/>
          <w:bCs/>
          <w:sz w:val="28"/>
          <w:szCs w:val="28"/>
          <w:rtl/>
        </w:rPr>
        <w:t xml:space="preserve">7. סיכום הפרק</w:t>
      </w:r>
    </w:p>
    <w:p>
      <w:pPr>
        <w:bidi/>
        <w:spacing w:after="120" w:line="360" w:lineRule="auto"/>
        <w:jc w:val="right"/>
      </w:pPr>
      <w:r>
        <w:rPr>
          <w:rFonts w:ascii="David" w:cs="David" w:eastAsia="David" w:hAnsi="David"/>
          <w:sz w:val="24"/>
          <w:szCs w:val="24"/>
          <w:rt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הרצל עצמו, כשמנה את הגורמים ביומנו, מנה את אלה ולא את דרייפוס. הפרק הבא יבחן מה מקומה של הפרשה לצדם .</w:t>
      </w:r>
      <w:r>
        <w:rPr>
          <w:rStyle w:val="FootnoteReference"/>
        </w:rPr>
        <w:footnoteReference w:id="57"/>
      </w:r>
    </w:p>
    <w:p>
      <w:pPr>
        <w:pStyle w:val="Heading1"/>
        <w:pageBreakBefore/>
        <w:bidi/>
        <w:spacing w:after="160" w:before="360" w:line="360"/>
        <w:jc w:val="right"/>
      </w:pPr>
      <w:r>
        <w:rPr>
          <w:rFonts w:ascii="David" w:cs="David" w:eastAsia="David" w:hAnsi="David"/>
          <w:b/>
          <w:bCs/>
          <w:sz w:val="32"/>
          <w:szCs w:val="32"/>
          <w:rtl/>
        </w:rPr>
        <w:t xml:space="preserve">פרק שלישי: פרשת דרייפוס והרצל</w:t>
      </w:r>
    </w:p>
    <w:p>
      <w:pPr>
        <w:bidi/>
        <w:spacing w:after="120" w:line="360" w:lineRule="auto"/>
        <w:jc w:val="right"/>
      </w:pPr>
      <w:r>
        <w:rPr>
          <w:rFonts w:ascii="David" w:cs="David" w:eastAsia="David" w:hAnsi="David"/>
          <w:sz w:val="24"/>
          <w:szCs w:val="24"/>
          <w:rt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sz w:val="28"/>
          <w:szCs w:val="28"/>
          <w:rtl/>
        </w:rPr>
        <w:t xml:space="preserve">1. השתלשלות הפרשה (1894-1906)</w:t>
      </w:r>
    </w:p>
    <w:p>
      <w:pPr>
        <w:bidi/>
        <w:spacing w:after="120" w:line="360" w:lineRule="auto"/>
        <w:jc w:val="right"/>
      </w:pPr>
      <w:r>
        <w:rPr>
          <w:rFonts w:ascii="David" w:cs="David" w:eastAsia="David" w:hAnsi="David"/>
          <w:sz w:val="24"/>
          <w:szCs w:val="24"/>
          <w:rt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w:t>
      </w:r>
      <w:r>
        <w:rPr>
          <w:rStyle w:val="FootnoteReference"/>
        </w:rPr>
        <w:footnoteReference w:id="58"/>
      </w:r>
    </w:p>
    <w:p>
      <w:pPr>
        <w:bidi/>
        <w:spacing w:after="120" w:line="360" w:lineRule="auto"/>
        <w:jc w:val="right"/>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w:t>
      </w:r>
      <w:r>
        <w:rPr>
          <w:rStyle w:val="FootnoteReference"/>
        </w:rPr>
        <w:footnoteReference w:id="59"/>
      </w:r>
    </w:p>
    <w:p>
      <w:pPr>
        <w:bidi/>
        <w:spacing w:after="120" w:line="360" w:lineRule="auto"/>
        <w:jc w:val="right"/>
      </w:pPr>
      <w:r>
        <w:rPr>
          <w:rFonts w:ascii="David" w:cs="David" w:eastAsia="David" w:hAnsi="David"/>
          <w:sz w:val="24"/>
          <w:szCs w:val="24"/>
          <w:rt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w:t>
      </w:r>
      <w:r>
        <w:rPr>
          <w:rStyle w:val="FootnoteReference"/>
        </w:rPr>
        <w:footnoteReference w:id="60"/>
      </w:r>
    </w:p>
    <w:p>
      <w:pPr>
        <w:bidi/>
        <w:spacing w:after="120" w:line="360" w:lineRule="auto"/>
        <w:jc w:val="right"/>
      </w:pPr>
      <w:r>
        <w:rPr>
          <w:rFonts w:ascii="David" w:cs="David" w:eastAsia="David" w:hAnsi="David"/>
          <w:sz w:val="24"/>
          <w:szCs w:val="24"/>
          <w:rt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w:t>
      </w:r>
      <w:r>
        <w:rPr>
          <w:rStyle w:val="FootnoteReference"/>
        </w:rPr>
        <w:footnoteReference w:id="61"/>
      </w:r>
    </w:p>
    <w:p>
      <w:pPr>
        <w:bidi/>
        <w:spacing w:after="120" w:line="360" w:lineRule="auto"/>
        <w:jc w:val="right"/>
      </w:pPr>
      <w:r>
        <w:rPr>
          <w:rFonts w:ascii="David" w:cs="David" w:eastAsia="David" w:hAnsi="David"/>
          <w:sz w:val="24"/>
          <w:szCs w:val="24"/>
          <w:rt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w:t>
      </w:r>
      <w:r>
        <w:rPr>
          <w:rStyle w:val="FootnoteReference"/>
        </w:rPr>
        <w:footnoteReference w:id="62"/>
      </w:r>
    </w:p>
    <w:p>
      <w:pPr>
        <w:pStyle w:val="Heading2"/>
        <w:bidi/>
        <w:spacing w:after="160" w:before="240" w:line="360"/>
        <w:jc w:val="right"/>
      </w:pPr>
      <w:r>
        <w:rPr>
          <w:rFonts w:ascii="David" w:cs="David" w:eastAsia="David" w:hAnsi="David"/>
          <w:b/>
          <w:bCs/>
          <w:sz w:val="28"/>
          <w:szCs w:val="28"/>
          <w:rtl/>
        </w:rPr>
        <w:t xml:space="preserve">2. הרצל כעד: דיווחים, יומן ו"מדינת היהודים"</w:t>
      </w:r>
    </w:p>
    <w:p>
      <w:pPr>
        <w:bidi/>
        <w:spacing w:after="120" w:line="360" w:lineRule="auto"/>
        <w:jc w:val="right"/>
      </w:pPr>
      <w:r>
        <w:rPr>
          <w:rFonts w:ascii="David" w:cs="David" w:eastAsia="David" w:hAnsi="David"/>
          <w:sz w:val="24"/>
          <w:szCs w:val="24"/>
          <w:rt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וניתוחם המדוקדק נעשה בידי קורנברג ואבינרי.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גדעון קוץ, שבחן את הדיווחים במסגרת מחקרו על סיקור הפרשה בעיתונות היהודית, הגיע לאותה מסקנה: דיווחי הרצל לא נקטו עמדה בשאלת חפותו של הנאשם, הזכירו את יהדותו פעם אחת בלבד ונמנעו מלתאר תגובות אנטישמיות, גם בטקס שלילת הדרגה .</w:t>
      </w:r>
      <w:r>
        <w:rPr>
          <w:rStyle w:val="FootnoteReference"/>
        </w:rPr>
        <w:footnoteReference w:id="63"/>
      </w:r>
    </w:p>
    <w:p>
      <w:pPr>
        <w:bidi/>
        <w:spacing w:after="120" w:line="360" w:lineRule="auto"/>
        <w:jc w:val="right"/>
      </w:pPr>
      <w:r>
        <w:rPr>
          <w:rFonts w:ascii="David" w:cs="David" w:eastAsia="David" w:hAnsi="David"/>
          <w:sz w:val="24"/>
          <w:szCs w:val="24"/>
          <w:rt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w:t>
      </w:r>
      <w:r>
        <w:rPr>
          <w:rStyle w:val="FootnoteReference"/>
        </w:rPr>
        <w:footnoteReference w:id="64"/>
      </w:r>
    </w:p>
    <w:p>
      <w:pPr>
        <w:bidi/>
        <w:spacing w:after="120" w:line="360" w:lineRule="auto"/>
        <w:jc w:val="right"/>
      </w:pPr>
      <w:r>
        <w:rPr>
          <w:rFonts w:ascii="David" w:cs="David" w:eastAsia="David" w:hAnsi="David"/>
          <w:sz w:val="24"/>
          <w:szCs w:val="24"/>
          <w:rt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w:t>
      </w:r>
      <w:r>
        <w:rPr>
          <w:rStyle w:val="FootnoteReference"/>
        </w:rPr>
        <w:footnoteReference w:id="65"/>
      </w:r>
    </w:p>
    <w:p>
      <w:pPr>
        <w:pStyle w:val="Heading2"/>
        <w:bidi/>
        <w:spacing w:after="160" w:before="240" w:line="360"/>
        <w:jc w:val="right"/>
      </w:pPr>
      <w:r>
        <w:rPr>
          <w:rFonts w:ascii="David" w:cs="David" w:eastAsia="David" w:hAnsi="David"/>
          <w:b/>
          <w:bCs/>
          <w:sz w:val="28"/>
          <w:szCs w:val="28"/>
          <w:rtl/>
        </w:rPr>
        <w:t xml:space="preserve">3. הפרשה חוזרת: 1897-1899 ומאמר "ציונות"</w:t>
      </w:r>
    </w:p>
    <w:p>
      <w:pPr>
        <w:bidi/>
        <w:spacing w:after="120" w:line="360" w:lineRule="auto"/>
        <w:jc w:val="right"/>
      </w:pPr>
      <w:r>
        <w:rPr>
          <w:rFonts w:ascii="David" w:cs="David" w:eastAsia="David" w:hAnsi="David"/>
          <w:sz w:val="24"/>
          <w:szCs w:val="24"/>
          <w:rt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לנג ציין שבקרב יהודי צרפת, שהגיבו על הפרשה "בדיסקרטיות רבה", נתקבלו מאמריו של הרצל על הפרשה בהסתייגות כבלתי מתאימים, בעוד דבריהם של לאזאר ושל ההיסטוריון יוסף ריינך נחשבו ראויים .</w:t>
      </w:r>
      <w:r>
        <w:rPr>
          <w:rStyle w:val="FootnoteReference"/>
        </w:rPr>
        <w:footnoteReference w:id="66"/>
      </w:r>
    </w:p>
    <w:p>
      <w:pPr>
        <w:bidi/>
        <w:spacing w:after="120" w:line="360" w:lineRule="auto"/>
        <w:jc w:val="right"/>
      </w:pPr>
      <w:r>
        <w:rPr>
          <w:rFonts w:ascii="David" w:cs="David" w:eastAsia="David" w:hAnsi="David"/>
          <w:sz w:val="24"/>
          <w:szCs w:val="24"/>
          <w:rtl/>
        </w:rPr>
        <w:t xml:space="preserve">עד ינואר 1898 היה "מקרה דרייפוס" עניין צרפתי בעיקרו. קוץ הראה שהעיתונות היהודית בצרפת טיפלה בראשית הפרשה בזהירות, מתוך הנחה שהפרשה גרמה להתפרצות האנטישמית ולא שהאנטישמיות הביאה לעלילה, ושבעיתונות העברית באירופה נחלקו העמדות לפי קו אידאולוגי: העיתונים הציוניים, "המליץ" ו"המגיד", ראו בדרייפוס קורבן לעלילה אנטישמית, ואילו "הצפירה" של נחום סוקולוב, שהאמין בעתיד היהודים כאזרחים שווים, נטה לקבל את הרשעתו. גם בארץ ישראל, כפי שהראה יוסף לנג, פירשה עיתונותו של אליעזר בן־יהודה את הפרשה בכלים לאומיים, ואברהם לודוויפול כתב ב"הצבי" שהתקרבותם של לאזאר ונורדאו לרעיון הלאומי נבעה מ"מדינת היהודים" של הרצל .</w:t>
      </w:r>
      <w:r>
        <w:rPr>
          <w:rStyle w:val="FootnoteReference"/>
        </w:rPr>
        <w:footnoteReference w:id="67"/>
      </w:r>
      <w:r>
        <w:rPr>
          <w:rFonts w:ascii="David" w:cs="David" w:eastAsia="David" w:hAnsi="David"/>
          <w:sz w:val="24"/>
          <w:szCs w:val="24"/>
          <w:rtl/>
        </w:rPr>
        <w:t xml:space="preserve"> רק עם משפט זולא והמהומות נעשתה הפרשה לנושא הראשון במעלה בעיתונות האירופית והאמריקנית, והתמונה של "צרפת האנטישמית" התקבעה. הדיה הגיעו הרחק מעבר לצרפת ולעולם היהודי. אגניישקה פרידריך הראתה שהשבועון האנטישמי הוורשאי "רולה", שדיווח על המעצר כבר בנובמבר 1894 והפנה את תשומת הלב למוצאו היהודי של החשוד, השתמש בפרשה כהוכחה לבגידת היהודים והחזיק באשמתו של דרייפוס גם לאחר זיכויו הסופי, בעוד השבועון היהודי "איזראליטה" היה משוכנע בחפותו מן הרגע הראשון .</w:t>
      </w:r>
      <w:r>
        <w:rPr>
          <w:rStyle w:val="FootnoteReference"/>
        </w:rPr>
        <w:footnoteReference w:id="68"/>
      </w:r>
      <w:r>
        <w:rPr>
          <w:rFonts w:ascii="David" w:cs="David" w:eastAsia="David" w:hAnsi="David"/>
          <w:sz w:val="24"/>
          <w:szCs w:val="24"/>
          <w:rtl/>
        </w:rPr>
        <w:t xml:space="preserve"> שאול סחייק מצא שגם העיתונות הערבית במצרים ובסוריה עקבה אחר הפרשה: רוב העיתונים החזיקו תחילה באשמת דרייפוס, אך עם התפתחות הפרשה מתחו ביקורת חריפה על ראשי השלטון והצבא בצרפת והביעו שאט נפש מגילויי השנאה נגד היהודים .</w:t>
      </w:r>
      <w:r>
        <w:rPr>
          <w:rStyle w:val="FootnoteReference"/>
        </w:rPr>
        <w:footnoteReference w:id="69"/>
      </w:r>
      <w:r>
        <w:rPr>
          <w:rFonts w:ascii="David" w:cs="David" w:eastAsia="David" w:hAnsi="David"/>
          <w:sz w:val="24"/>
          <w:szCs w:val="24"/>
          <w:rtl/>
        </w:rPr>
        <w:t xml:space="preserve">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w:t>
      </w:r>
      <w:r>
        <w:rPr>
          <w:rStyle w:val="FootnoteReference"/>
        </w:rPr>
        <w:footnoteReference w:id="70"/>
      </w:r>
    </w:p>
    <w:p>
      <w:pPr>
        <w:bidi/>
        <w:spacing w:after="120" w:line="360" w:lineRule="auto"/>
        <w:jc w:val="right"/>
      </w:pPr>
      <w:r>
        <w:rPr>
          <w:rFonts w:ascii="David" w:cs="David" w:eastAsia="David" w:hAnsi="David"/>
          <w:sz w:val="24"/>
          <w:szCs w:val="24"/>
          <w:rt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w:t>
      </w:r>
      <w:r>
        <w:rPr>
          <w:rStyle w:val="FootnoteReference"/>
        </w:rPr>
        <w:footnoteReference w:id="71"/>
      </w:r>
    </w:p>
    <w:p>
      <w:pPr>
        <w:pStyle w:val="Heading2"/>
        <w:bidi/>
        <w:spacing w:after="160" w:before="240" w:line="360"/>
        <w:jc w:val="right"/>
      </w:pPr>
      <w:r>
        <w:rPr>
          <w:rFonts w:ascii="David" w:cs="David" w:eastAsia="David" w:hAnsi="David"/>
          <w:b/>
          <w:bCs/>
          <w:sz w:val="28"/>
          <w:szCs w:val="28"/>
          <w:rtl/>
        </w:rPr>
        <w:t xml:space="preserve">4. הוויכוח ההיסטוריוגרפי</w:t>
      </w:r>
    </w:p>
    <w:p>
      <w:pPr>
        <w:bidi/>
        <w:spacing w:after="120" w:line="360" w:lineRule="auto"/>
        <w:jc w:val="right"/>
      </w:pPr>
      <w:r>
        <w:rPr>
          <w:rFonts w:ascii="David" w:cs="David" w:eastAsia="David" w:hAnsi="David"/>
          <w:sz w:val="24"/>
          <w:szCs w:val="24"/>
          <w:rt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w:t>
      </w:r>
      <w:r>
        <w:rPr>
          <w:rStyle w:val="FootnoteReference"/>
        </w:rPr>
        <w:footnoteReference w:id="72"/>
      </w:r>
    </w:p>
    <w:p>
      <w:pPr>
        <w:bidi/>
        <w:spacing w:after="120" w:line="360" w:lineRule="auto"/>
        <w:jc w:val="right"/>
      </w:pPr>
      <w:r>
        <w:rPr>
          <w:rFonts w:ascii="David" w:cs="David" w:eastAsia="David" w:hAnsi="David"/>
          <w:sz w:val="24"/>
          <w:szCs w:val="24"/>
          <w:rt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w:t>
      </w:r>
      <w:r>
        <w:rPr>
          <w:rStyle w:val="FootnoteReference"/>
        </w:rPr>
        <w:footnoteReference w:id="73"/>
      </w:r>
    </w:p>
    <w:p>
      <w:pPr>
        <w:pStyle w:val="Heading2"/>
        <w:bidi/>
        <w:spacing w:after="160" w:before="240" w:line="360"/>
        <w:jc w:val="right"/>
      </w:pPr>
      <w:r>
        <w:rPr>
          <w:rFonts w:ascii="David" w:cs="David" w:eastAsia="David" w:hAnsi="David"/>
          <w:b/>
          <w:bCs/>
          <w:sz w:val="28"/>
          <w:szCs w:val="28"/>
          <w:rtl/>
        </w:rPr>
        <w:t xml:space="preserve">5. הערכה: שני שלבים</w:t>
      </w:r>
    </w:p>
    <w:p>
      <w:pPr>
        <w:bidi/>
        <w:spacing w:after="120" w:line="360" w:lineRule="auto"/>
        <w:jc w:val="right"/>
      </w:pPr>
      <w:r>
        <w:rPr>
          <w:rFonts w:ascii="David" w:cs="David" w:eastAsia="David" w:hAnsi="David"/>
          <w:sz w:val="24"/>
          <w:szCs w:val="24"/>
          <w:rt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 .</w:t>
      </w:r>
      <w:r>
        <w:rPr>
          <w:rStyle w:val="FootnoteReference"/>
        </w:rPr>
        <w:footnoteReference w:id="74"/>
      </w:r>
    </w:p>
    <w:p>
      <w:pPr>
        <w:bidi/>
        <w:spacing w:after="120" w:line="360" w:lineRule="auto"/>
        <w:jc w:val="right"/>
      </w:pPr>
      <w:r>
        <w:rPr>
          <w:rFonts w:ascii="David" w:cs="David" w:eastAsia="David" w:hAnsi="David"/>
          <w:sz w:val="24"/>
          <w:szCs w:val="24"/>
          <w:rt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t>
      </w:r>
      <w:r>
        <w:rPr>
          <w:rStyle w:val="FootnoteReference"/>
        </w:rPr>
        <w:footnoteReference w:id="75"/>
      </w:r>
    </w:p>
    <w:p>
      <w:pPr>
        <w:pStyle w:val="Heading1"/>
        <w:pageBreakBefore/>
        <w:bidi/>
        <w:spacing w:after="160" w:before="360" w:line="360"/>
        <w:jc w:val="right"/>
      </w:pPr>
      <w:r>
        <w:rPr>
          <w:rFonts w:ascii="David" w:cs="David" w:eastAsia="David" w:hAnsi="David"/>
          <w:b/>
          <w:bCs/>
          <w:sz w:val="32"/>
          <w:szCs w:val="32"/>
          <w:rtl/>
        </w:rPr>
        <w:t xml:space="preserve">סיכום</w:t>
      </w:r>
    </w:p>
    <w:p>
      <w:pPr>
        <w:bidi/>
        <w:spacing w:after="120" w:line="360" w:lineRule="auto"/>
        <w:jc w:val="right"/>
      </w:pPr>
      <w:r>
        <w:rPr>
          <w:rFonts w:ascii="David" w:cs="David" w:eastAsia="David" w:hAnsi="David"/>
          <w:sz w:val="24"/>
          <w:szCs w:val="24"/>
          <w:rt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right"/>
      </w:pPr>
      <w:r>
        <w:rPr>
          <w:rFonts w:ascii="David" w:cs="David" w:eastAsia="David" w:hAnsi="David"/>
          <w:sz w:val="24"/>
          <w:szCs w:val="24"/>
          <w:rt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right"/>
      </w:pPr>
      <w:r>
        <w:rPr>
          <w:rFonts w:ascii="David" w:cs="David" w:eastAsia="David" w:hAnsi="David"/>
          <w:sz w:val="24"/>
          <w:szCs w:val="24"/>
          <w:rt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right"/>
      </w:pPr>
      <w:r>
        <w:rPr>
          <w:rFonts w:ascii="David" w:cs="David" w:eastAsia="David" w:hAnsi="David"/>
          <w:sz w:val="24"/>
          <w:szCs w:val="24"/>
          <w:rt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right"/>
      </w:pPr>
      <w:r>
        <w:rPr>
          <w:rFonts w:ascii="David" w:cs="David" w:eastAsia="David" w:hAnsi="David"/>
          <w:sz w:val="24"/>
          <w:szCs w:val="24"/>
          <w:rt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(1990).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(מהדורה שנייה). תל אביב: מורשת.</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דירינג, א' (1881). שאלת היהודים כשאלת הגזע.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355-356). רעננה: האוניברסיטה הפתוחה.</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ההכרזה הפומבית על הקמת האגודה המרכזית של אזרחים גרמנים בני הדת היהודית (1893).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363).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73-94.</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מאר, ו' (1879). ניצחון היהדות על הגרמאניות.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349-352). רעננה: האוניברסיטה הפתוחה.</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לנג, י' (2014). תגובות העיתונות העברית בארץ ישראל על פרשת דרייפוס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16-29.</w:t>
      </w:r>
    </w:p>
    <w:p>
      <w:pPr>
        <w:bidi/>
        <w:spacing w:after="240" w:line="240" w:lineRule="auto"/>
        <w:ind w:left="720" w:hanging="720"/>
        <w:jc w:val="right"/>
      </w:pPr>
      <w:r>
        <w:rPr>
          <w:rFonts w:ascii="David" w:cs="David" w:eastAsia="David" w:hAnsi="David"/>
          <w:sz w:val="24"/>
          <w:szCs w:val="24"/>
          <w:rtl/>
        </w:rPr>
        <w:t xml:space="preserve">סחייק, ש' (1997). פרשת דרייפוס בעיתונות הערבית. </w:t>
      </w:r>
      <w:r>
        <w:rPr>
          <w:rFonts w:ascii="David" w:cs="David" w:eastAsia="David" w:hAnsi="David"/>
          <w:b/>
          <w:bCs/>
          <w:i w:val="false"/>
          <w:iCs w:val="false"/>
          <w:sz w:val="24"/>
          <w:szCs w:val="24"/>
          <w:rtl/>
        </w:rPr>
        <w:t xml:space="preserve">מיכאל: מאסף לתולדות היהודים בתפוצות</w:t>
      </w:r>
      <w:r>
        <w:rPr>
          <w:rFonts w:ascii="David" w:cs="David" w:eastAsia="David" w:hAnsi="David"/>
          <w:sz w:val="24"/>
          <w:szCs w:val="24"/>
          <w:rtl/>
        </w:rPr>
        <w:t xml:space="preserve">, יד, קפז-ריד.</w:t>
      </w:r>
    </w:p>
    <w:p>
      <w:pPr>
        <w:bidi/>
        <w:spacing w:after="240" w:line="240" w:lineRule="auto"/>
        <w:ind w:left="720" w:hanging="720"/>
        <w:jc w:val="right"/>
      </w:pPr>
      <w:r>
        <w:rPr>
          <w:rFonts w:ascii="David" w:cs="David" w:eastAsia="David" w:hAnsi="David"/>
          <w:sz w:val="24"/>
          <w:szCs w:val="24"/>
          <w:rtl/>
        </w:rPr>
        <w:t xml:space="preserve">טרייצ'קה, ה' פ' (1879). דבר על יהדותנו.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357-360). רעננה: האוניברסיטה הפתוחה.</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spacing w:after="240" w:line="240" w:lineRule="auto"/>
        <w:ind w:left="720" w:hanging="720"/>
        <w:jc w:val="right"/>
      </w:pPr>
      <w:r>
        <w:rPr>
          <w:rFonts w:ascii="David" w:cs="David" w:eastAsia="David" w:hAnsi="David"/>
          <w:sz w:val="24"/>
          <w:szCs w:val="24"/>
          <w:rtl/>
        </w:rPr>
        <w:t xml:space="preserve">פרידריך, א' (2014). פרשת דרייפוס וכתב העת הוורשאי Rola בין השנים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39-43.</w:t>
      </w:r>
    </w:p>
    <w:p>
      <w:pPr>
        <w:bidi/>
        <w:spacing w:after="240" w:line="240" w:lineRule="auto"/>
        <w:ind w:left="720" w:hanging="720"/>
        <w:jc w:val="right"/>
      </w:pPr>
      <w:r>
        <w:rPr>
          <w:rFonts w:ascii="David" w:cs="David" w:eastAsia="David" w:hAnsi="David"/>
          <w:sz w:val="24"/>
          <w:szCs w:val="24"/>
          <w:rtl/>
        </w:rPr>
        <w:t xml:space="preserve">שטקר, א' (1879). תביעתנו כלפי היהדות המודרנית.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345-347). רעננה: האוניברסיטה הפתוחה.</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כוחן של אידאולוגיות.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4-15.</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G. J. (1964).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New York: John Wiley &amp; Sons.</w:t>
      </w:r>
    </w:p>
    <w:p>
      <w:pPr>
        <w:bidi w:val="false"/>
        <w:spacing w:after="240" w:line="240" w:lineRule="auto"/>
        <w:ind w:left="720" w:hanging="720"/>
        <w:jc w:val="left"/>
      </w:pPr>
      <w:r>
        <w:rPr>
          <w:rFonts w:ascii="David" w:cs="David" w:eastAsia="David" w:hAnsi="David"/>
          <w:sz w:val="24"/>
          <w:szCs w:val="24"/>
          <w:rtl w:val="false"/>
        </w:rPr>
        <w:t xml:space="preserve">Pulzer, P. G. J.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September 19, 2026,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Theodor Herzl, "Zionism," </w:t>
      </w:r>
      <w:r>
        <w:rPr>
          <w:rFonts w:ascii="David" w:cs="David" w:eastAsia="David" w:hAnsi="David"/>
          <w:i/>
          <w:iCs/>
          <w:sz w:val="20"/>
          <w:szCs w:val="20"/>
          <w:rtl w:val="false"/>
        </w:rPr>
        <w:t xml:space="preserve">The North American Review</w:t>
      </w:r>
      <w:r>
        <w:rPr>
          <w:rFonts w:ascii="David" w:cs="David" w:eastAsia="David" w:hAnsi="David"/>
          <w:sz w:val="20"/>
          <w:szCs w:val="20"/>
          <w:rtl w:val="false"/>
        </w:rPr>
        <w:t xml:space="preserve"> 169 (July 1899), pp. 1-8.</w:t>
      </w:r>
    </w:p>
  </w:footnote>
  <w:footnote w:id="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שלמה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(ירושלים: מרכז זלמן שזר, 2007), עמ' 84-108; Jacques Kornberg, </w:t>
      </w:r>
      <w:r>
        <w:rPr>
          <w:rFonts w:ascii="David" w:cs="David" w:eastAsia="David" w:hAnsi="David"/>
          <w:i/>
          <w:iCs/>
          <w:sz w:val="20"/>
          <w:szCs w:val="20"/>
          <w:rtl w:val="false"/>
        </w:rPr>
        <w:t xml:space="preserve">Theodor Herzl: From Assimilation to Zionism</w:t>
      </w:r>
      <w:r>
        <w:rPr>
          <w:rFonts w:ascii="David" w:cs="David" w:eastAsia="David" w:hAnsi="David"/>
          <w:sz w:val="20"/>
          <w:szCs w:val="20"/>
          <w:rtl w:val="false"/>
        </w:rPr>
        <w:t xml:space="preserve"> (Bloomington: Indiana University Press, 1993), pp. 183-202.</w:t>
      </w:r>
    </w:p>
  </w:footnote>
  <w:footnote w:id="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שמואל אטינגר, </w:t>
      </w:r>
      <w:r>
        <w:rPr>
          <w:rFonts w:ascii="David" w:cs="David" w:eastAsia="David" w:hAnsi="David"/>
          <w:b/>
          <w:bCs/>
          <w:i w:val="false"/>
          <w:iCs w:val="false"/>
          <w:sz w:val="20"/>
          <w:szCs w:val="20"/>
          <w:rtl/>
        </w:rPr>
        <w:t xml:space="preserve">האנטישמיות בעת החדשה: פרקי מחקר ועיון</w:t>
      </w:r>
      <w:r>
        <w:rPr>
          <w:rFonts w:ascii="David" w:cs="David" w:eastAsia="David" w:hAnsi="David"/>
          <w:sz w:val="20"/>
          <w:szCs w:val="20"/>
          <w:rtl/>
        </w:rPr>
        <w:t xml:space="preserve">, מהדורה שנייה (תל אביב: מורשת, 1990), עמ' 1-2; David Engel, "Away from a Definition of Antisemitism: An Essay in the Semantics of Historical Description," in Jeremy Cohen and Moshe Rosman (eds.), </w:t>
      </w:r>
      <w:r>
        <w:rPr>
          <w:rFonts w:ascii="David" w:cs="David" w:eastAsia="David" w:hAnsi="David"/>
          <w:i/>
          <w:iCs/>
          <w:sz w:val="20"/>
          <w:szCs w:val="20"/>
          <w:rtl w:val="false"/>
        </w:rPr>
        <w:t xml:space="preserve">Rethinking European Jewish History</w:t>
      </w:r>
      <w:r>
        <w:rPr>
          <w:rFonts w:ascii="David" w:cs="David" w:eastAsia="David" w:hAnsi="David"/>
          <w:sz w:val="20"/>
          <w:szCs w:val="20"/>
          <w:rtl w:val="false"/>
        </w:rPr>
        <w:t xml:space="preserve"> (Oxford: Littman Library, 2009), pp. 30-53.</w:t>
      </w:r>
    </w:p>
  </w:footnote>
  <w:footnote w:id="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 Derek Penslar, </w:t>
      </w:r>
      <w:r>
        <w:rPr>
          <w:rFonts w:ascii="David" w:cs="David" w:eastAsia="David" w:hAnsi="David"/>
          <w:i/>
          <w:iCs/>
          <w:sz w:val="20"/>
          <w:szCs w:val="20"/>
          <w:rtl w:val="false"/>
        </w:rPr>
        <w:t xml:space="preserve">Theodor Herzl: The Charismatic Leader</w:t>
      </w:r>
      <w:r>
        <w:rPr>
          <w:rFonts w:ascii="David" w:cs="David" w:eastAsia="David" w:hAnsi="David"/>
          <w:sz w:val="20"/>
          <w:szCs w:val="20"/>
          <w:rtl w:val="false"/>
        </w:rPr>
        <w:t xml:space="preserve"> (New Haven: Yale University Press, 2020), pp. 49-70.</w:t>
      </w:r>
    </w:p>
  </w:footnote>
  <w:footnote w:id="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15-33; Alex Bein, </w:t>
      </w:r>
      <w:r>
        <w:rPr>
          <w:rFonts w:ascii="David" w:cs="David" w:eastAsia="David" w:hAnsi="David"/>
          <w:i/>
          <w:iCs/>
          <w:sz w:val="20"/>
          <w:szCs w:val="20"/>
          <w:rtl w:val="false"/>
        </w:rPr>
        <w:t xml:space="preserve">Theodore Herzl: A Biography</w:t>
      </w:r>
      <w:r>
        <w:rPr>
          <w:rFonts w:ascii="David" w:cs="David" w:eastAsia="David" w:hAnsi="David"/>
          <w:sz w:val="20"/>
          <w:szCs w:val="20"/>
          <w:rtl w:val="false"/>
        </w:rPr>
        <w:t xml:space="preserve">, trans. Maurice Samuel (Philadelphia: Jewish Publication Society, 1941), pp. 1-40.</w:t>
      </w:r>
    </w:p>
  </w:footnote>
  <w:footnote w:id="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Jacques Kornberg, "Theodor Herzl: A Reevaluation," </w:t>
      </w:r>
      <w:r>
        <w:rPr>
          <w:rFonts w:ascii="David" w:cs="David" w:eastAsia="David" w:hAnsi="David"/>
          <w:i/>
          <w:iCs/>
          <w:sz w:val="20"/>
          <w:szCs w:val="20"/>
          <w:rtl w:val="false"/>
        </w:rPr>
        <w:t xml:space="preserve">Journal of Modern History</w:t>
      </w:r>
      <w:r>
        <w:rPr>
          <w:rFonts w:ascii="David" w:cs="David" w:eastAsia="David" w:hAnsi="David"/>
          <w:sz w:val="20"/>
          <w:szCs w:val="20"/>
          <w:rtl w:val="false"/>
        </w:rPr>
        <w:t xml:space="preserve"> 52 (1980),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1-41.</w:t>
      </w:r>
    </w:p>
  </w:footnote>
  <w:footnote w:id="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34-56; Amos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(New York: Holt, Rinehart and Winston, 1975), pp. 55-66.</w:t>
      </w:r>
    </w:p>
  </w:footnote>
  <w:footnote w:id="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42-56; Steven 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(London: Peter Halban, 1991), pp. 9-19.</w:t>
      </w:r>
    </w:p>
  </w:footnote>
  <w:footnote w:id="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87-113;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31-48.</w:t>
      </w:r>
    </w:p>
  </w:footnote>
  <w:footnote w:id="1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 Ernst Pawel, </w:t>
      </w:r>
      <w:r>
        <w:rPr>
          <w:rFonts w:ascii="David" w:cs="David" w:eastAsia="David" w:hAnsi="David"/>
          <w:i/>
          <w:iCs/>
          <w:sz w:val="20"/>
          <w:szCs w:val="20"/>
          <w:rtl w:val="false"/>
        </w:rPr>
        <w:t xml:space="preserve">The Labyrinth of Exile: A Life of Theodor Herzl</w:t>
      </w:r>
      <w:r>
        <w:rPr>
          <w:rFonts w:ascii="David" w:cs="David" w:eastAsia="David" w:hAnsi="David"/>
          <w:sz w:val="20"/>
          <w:szCs w:val="20"/>
          <w:rtl w:val="false"/>
        </w:rPr>
        <w:t xml:space="preserve"> (New York: Farrar, Straus and Giroux, 1989), pp. 189-240.</w:t>
      </w:r>
    </w:p>
  </w:footnote>
  <w:footnote w:id="1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יעקב כ"ץ, </w:t>
      </w:r>
      <w:r>
        <w:rPr>
          <w:rFonts w:ascii="David" w:cs="David" w:eastAsia="David" w:hAnsi="David"/>
          <w:b/>
          <w:bCs/>
          <w:i w:val="false"/>
          <w:iCs w:val="false"/>
          <w:sz w:val="20"/>
          <w:szCs w:val="20"/>
          <w:rtl/>
        </w:rPr>
        <w:t xml:space="preserve">שנאת ישראל: משנאת הדת לשלילת הגזע</w:t>
      </w:r>
      <w:r>
        <w:rPr>
          <w:rFonts w:ascii="David" w:cs="David" w:eastAsia="David" w:hAnsi="David"/>
          <w:sz w:val="20"/>
          <w:szCs w:val="20"/>
          <w:rtl/>
        </w:rPr>
        <w:t xml:space="preserve"> (תל אביב: עם עובד, 1979), עמ' 9-17, 245-260; Peter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rev. ed. (Cambridge, MA: Harvard University Press, 1988), pp. 47-57.</w:t>
      </w:r>
    </w:p>
  </w:footnote>
  <w:footnote w:id="1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227-244.</w:t>
      </w:r>
    </w:p>
  </w:footnote>
  <w:footnote w:id="1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אטינגר, </w:t>
      </w:r>
      <w:r>
        <w:rPr>
          <w:rFonts w:ascii="David" w:cs="David" w:eastAsia="David" w:hAnsi="David"/>
          <w:b/>
          <w:bCs/>
          <w:i w:val="false"/>
          <w:iCs w:val="false"/>
          <w:sz w:val="20"/>
          <w:szCs w:val="20"/>
          <w:rtl/>
        </w:rPr>
        <w:t xml:space="preserve">האנטישמיות בעת החדשה</w:t>
      </w:r>
      <w:r>
        <w:rPr>
          <w:rFonts w:ascii="David" w:cs="David" w:eastAsia="David" w:hAnsi="David"/>
          <w:sz w:val="20"/>
          <w:szCs w:val="20"/>
          <w:rtl/>
        </w:rPr>
        <w:t xml:space="preserve">, עמ' 1-27.</w:t>
      </w:r>
    </w:p>
  </w:footnote>
  <w:footnote w:id="1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אנגל, "גלגולי המושג 'אנטישמיות' והשימוש בו כקטגוריה כוללת",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13-55; 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73-94; Engel, "Away from a Definition of Antisemitism," pp. 30-53.</w:t>
      </w:r>
    </w:p>
  </w:footnote>
  <w:footnote w:id="1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דיוויד פלדמן, "אנטישמיות ואסלאמופוביה", תרגם דורון מגן,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295-296.</w:t>
      </w:r>
    </w:p>
  </w:footnote>
  <w:footnote w:id="1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צפריר ברזלי, "המושג 'אנטישמיות' כקטגוריה לחקר ההיסטוריה של היהודים בימי הביניים",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195-196, 206-207.</w:t>
      </w:r>
    </w:p>
  </w:footnote>
  <w:footnote w:id="1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אנגל, "גלגולי המושג 'אנטישמיות'", עמ' 13-55; ברזלי, "המושג 'אנטישמיות' כקטגוריה", עמ' 206-207.</w:t>
      </w:r>
    </w:p>
  </w:footnote>
  <w:footnote w:id="1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261-289;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88-105.</w:t>
      </w:r>
    </w:p>
  </w:footnote>
  <w:footnote w:id="1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אדולף שטקר, "תביעתנו כלפי היהדות המודרנית"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345-347.</w:t>
      </w:r>
    </w:p>
  </w:footnote>
  <w:footnote w:id="20">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וילהלם מאר, "ניצחון היהדות על הגרמאניות"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349-352.</w:t>
      </w:r>
    </w:p>
  </w:footnote>
  <w:footnote w:id="21">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היינריך פון טרייצ'קה, "דבר על יהדותנו"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357-360.</w:t>
      </w:r>
    </w:p>
  </w:footnote>
  <w:footnote w:id="2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אויגן דירינג, "שאלת היהודים כשאלת הגזע" (1881),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355-356.</w:t>
      </w:r>
    </w:p>
  </w:footnote>
  <w:footnote w:id="2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290-308;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49-52, 92-95.</w:t>
      </w:r>
    </w:p>
  </w:footnote>
  <w:footnote w:id="2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106-130.</w:t>
      </w:r>
    </w:p>
  </w:footnote>
  <w:footnote w:id="2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"ההכרזה הפומבית על הקמת האגודה המרכזית של אזרחים גרמנים בני הדת היהודית" (26 במאי 1893),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363; 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309-320; Pulzer, </w:t>
      </w:r>
      <w:r>
        <w:rPr>
          <w:rFonts w:ascii="David" w:cs="David" w:eastAsia="David" w:hAnsi="David"/>
          <w:i/>
          <w:iCs/>
          <w:sz w:val="20"/>
          <w:szCs w:val="20"/>
          <w:rtl/>
        </w:rPr>
        <w:t xml:space="preserve">The Rise of Political Anti-Semitism</w:t>
      </w:r>
      <w:r>
        <w:rPr>
          <w:rFonts w:ascii="David" w:cs="David" w:eastAsia="David" w:hAnsi="David"/>
          <w:sz w:val="20"/>
          <w:szCs w:val="20"/>
          <w:rtl/>
        </w:rPr>
        <w:t xml:space="preserve"> (1988), pp. 121-130.</w:t>
      </w:r>
    </w:p>
  </w:footnote>
  <w:footnote w:id="2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שולמית וולקוב, </w:t>
      </w:r>
      <w:r>
        <w:rPr>
          <w:rFonts w:ascii="David" w:cs="David" w:eastAsia="David" w:hAnsi="David"/>
          <w:b/>
          <w:bCs/>
          <w:i w:val="false"/>
          <w:iCs w:val="false"/>
          <w:sz w:val="20"/>
          <w:szCs w:val="20"/>
          <w:rtl/>
        </w:rPr>
        <w:t xml:space="preserve">במעגל המכושף: יהודים, אנטישמים וגרמנים אחרים</w:t>
      </w:r>
      <w:r>
        <w:rPr>
          <w:rFonts w:ascii="David" w:cs="David" w:eastAsia="David" w:hAnsi="David"/>
          <w:sz w:val="20"/>
          <w:szCs w:val="20"/>
          <w:rtl/>
        </w:rPr>
        <w:t xml:space="preserve"> (תל אביב: עם עובד, 2002), עמ' 71-98; Shulamit Volkov, "Antisemitism as a Cultural Code: Reflections on the History and Historiography of Antisemitism in Imperial Germany," </w:t>
      </w:r>
      <w:r>
        <w:rPr>
          <w:rFonts w:ascii="David" w:cs="David" w:eastAsia="David" w:hAnsi="David"/>
          <w:i/>
          <w:iCs/>
          <w:sz w:val="20"/>
          <w:szCs w:val="20"/>
          <w:rtl w:val="false"/>
        </w:rPr>
        <w:t xml:space="preserve">Leo Baeck Institute Year Book</w:t>
      </w:r>
      <w:r>
        <w:rPr>
          <w:rFonts w:ascii="David" w:cs="David" w:eastAsia="David" w:hAnsi="David"/>
          <w:sz w:val="20"/>
          <w:szCs w:val="20"/>
          <w:rtl w:val="false"/>
        </w:rPr>
        <w:t xml:space="preserve"> 23 (1978), pp. 25-46.</w:t>
      </w:r>
    </w:p>
  </w:footnote>
  <w:footnote w:id="2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גיא מירון, </w:t>
      </w:r>
      <w:r>
        <w:rPr>
          <w:rFonts w:ascii="David" w:cs="David" w:eastAsia="David" w:hAnsi="David"/>
          <w:b/>
          <w:bCs/>
          <w:i w:val="false"/>
          <w:iCs w:val="false"/>
          <w:sz w:val="20"/>
          <w:szCs w:val="20"/>
          <w:rtl/>
        </w:rPr>
        <w:t xml:space="preserve">האנטישמיות במאה ה-19: מדריך למידה</w:t>
      </w:r>
      <w:r>
        <w:rPr>
          <w:rFonts w:ascii="David" w:cs="David" w:eastAsia="David" w:hAnsi="David"/>
          <w:sz w:val="20"/>
          <w:szCs w:val="20"/>
          <w:rtl/>
        </w:rPr>
        <w:t xml:space="preserve"> (רעננה: האוניברסיטה הפתוחה, 2022), עמ' 54-56; Peter G. J.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(New York: John Wiley &amp; Sons, 1964), pp. 122-137.</w:t>
      </w:r>
    </w:p>
  </w:footnote>
  <w:footnote w:id="2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w:t>
      </w:r>
      <w:r>
        <w:rPr>
          <w:rFonts w:ascii="David" w:cs="David" w:eastAsia="David" w:hAnsi="David"/>
          <w:i/>
          <w:iCs/>
          <w:sz w:val="20"/>
          <w:szCs w:val="20"/>
          <w:rtl w:val="false"/>
        </w:rPr>
        <w:t xml:space="preserve">The Jews of Vienna in the Age of Franz Joseph</w:t>
      </w:r>
      <w:r>
        <w:rPr>
          <w:rFonts w:ascii="David" w:cs="David" w:eastAsia="David" w:hAnsi="David"/>
          <w:sz w:val="20"/>
          <w:szCs w:val="20"/>
          <w:rtl w:val="false"/>
        </w:rPr>
        <w:t xml:space="preserve"> (Oxford: Oxford University Press, 1989), pp. 3-61.</w:t>
      </w:r>
    </w:p>
  </w:footnote>
  <w:footnote w:id="2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56-59;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(1964), pp. 156-183;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205-256.</w:t>
      </w:r>
    </w:p>
  </w:footnote>
  <w:footnote w:id="3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58-59; Carl E. Schorske, </w:t>
      </w:r>
      <w:r>
        <w:rPr>
          <w:rFonts w:ascii="David" w:cs="David" w:eastAsia="David" w:hAnsi="David"/>
          <w:i/>
          <w:iCs/>
          <w:sz w:val="20"/>
          <w:szCs w:val="20"/>
          <w:rtl w:val="false"/>
        </w:rPr>
        <w:t xml:space="preserve">Fin-de-siècle Vienna: Politics and Culture</w:t>
      </w:r>
      <w:r>
        <w:rPr>
          <w:rFonts w:ascii="David" w:cs="David" w:eastAsia="David" w:hAnsi="David"/>
          <w:sz w:val="20"/>
          <w:szCs w:val="20"/>
          <w:rtl w:val="false"/>
        </w:rPr>
        <w:t xml:space="preserve"> (New York: Alfred A. Knopf, 1980), pp. 116-180.</w:t>
      </w:r>
    </w:p>
  </w:footnote>
  <w:footnote w:id="3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60-62; Paula E.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(Berkeley: University of California Press, 1998), pp. 91-95.</w:t>
      </w:r>
    </w:p>
  </w:footnote>
  <w:footnote w:id="3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95-99; Stephen Wilson, </w:t>
      </w:r>
      <w:r>
        <w:rPr>
          <w:rFonts w:ascii="David" w:cs="David" w:eastAsia="David" w:hAnsi="David"/>
          <w:i/>
          <w:iCs/>
          <w:sz w:val="20"/>
          <w:szCs w:val="20"/>
          <w:rtl w:val="false"/>
        </w:rPr>
        <w:t xml:space="preserve">Ideology and Experience: Antisemitism in France at the Time of the Dreyfus Affair</w:t>
      </w:r>
      <w:r>
        <w:rPr>
          <w:rFonts w:ascii="David" w:cs="David" w:eastAsia="David" w:hAnsi="David"/>
          <w:sz w:val="20"/>
          <w:szCs w:val="20"/>
          <w:rtl w:val="false"/>
        </w:rPr>
        <w:t xml:space="preserve"> (Rutherford: Fairleigh Dickinson University Press, 1982), pp. 3-35.</w:t>
      </w:r>
    </w:p>
  </w:footnote>
  <w:footnote w:id="3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אדואר דרימון, "צרפת המיוהדת" (1886),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443-444;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96-98.</w:t>
      </w:r>
    </w:p>
  </w:footnote>
  <w:footnote w:id="3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36-70; Eric Cahm, </w:t>
      </w:r>
      <w:r>
        <w:rPr>
          <w:rFonts w:ascii="David" w:cs="David" w:eastAsia="David" w:hAnsi="David"/>
          <w:i/>
          <w:iCs/>
          <w:sz w:val="20"/>
          <w:szCs w:val="20"/>
          <w:rtl w:val="false"/>
        </w:rPr>
        <w:t xml:space="preserve">The Dreyfus Affair in French Society and Politics</w:t>
      </w:r>
      <w:r>
        <w:rPr>
          <w:rFonts w:ascii="David" w:cs="David" w:eastAsia="David" w:hAnsi="David"/>
          <w:sz w:val="20"/>
          <w:szCs w:val="20"/>
          <w:rtl w:val="false"/>
        </w:rPr>
        <w:t xml:space="preserve"> (London: Longman, 1996), pp. 1-24.</w:t>
      </w:r>
    </w:p>
  </w:footnote>
  <w:footnote w:id="3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171-200; Pierre Birnbaum, </w:t>
      </w:r>
      <w:r>
        <w:rPr>
          <w:rFonts w:ascii="David" w:cs="David" w:eastAsia="David" w:hAnsi="David"/>
          <w:i/>
          <w:iCs/>
          <w:sz w:val="20"/>
          <w:szCs w:val="20"/>
          <w:rtl w:val="false"/>
        </w:rPr>
        <w:t xml:space="preserve">The Anti-Semitic Moment: A Tour of France in 1898</w:t>
      </w:r>
      <w:r>
        <w:rPr>
          <w:rFonts w:ascii="David" w:cs="David" w:eastAsia="David" w:hAnsi="David"/>
          <w:sz w:val="20"/>
          <w:szCs w:val="20"/>
          <w:rtl w:val="false"/>
        </w:rPr>
        <w:t xml:space="preserve">, trans. Jane Marie Todd (New York: Hill and Wang, 2003), pp. 1-22.</w:t>
      </w:r>
    </w:p>
  </w:footnote>
  <w:footnote w:id="3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102-103, 111-112; Michael R. Marrus, </w:t>
      </w:r>
      <w:r>
        <w:rPr>
          <w:rFonts w:ascii="David" w:cs="David" w:eastAsia="David" w:hAnsi="David"/>
          <w:i/>
          <w:iCs/>
          <w:sz w:val="20"/>
          <w:szCs w:val="20"/>
          <w:rtl w:val="false"/>
        </w:rPr>
        <w:t xml:space="preserve">The Politics of Assimilation: A Study of the French Jewish Community at the Time of the Dreyfus Affair</w:t>
      </w:r>
      <w:r>
        <w:rPr>
          <w:rFonts w:ascii="David" w:cs="David" w:eastAsia="David" w:hAnsi="David"/>
          <w:sz w:val="20"/>
          <w:szCs w:val="20"/>
          <w:rtl w:val="false"/>
        </w:rPr>
        <w:t xml:space="preserve"> (Oxford: Clarendon Press, 1971), pp. 196-242.</w:t>
      </w:r>
    </w:p>
  </w:footnote>
  <w:footnote w:id="3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98-99, 111-114.</w:t>
      </w:r>
    </w:p>
  </w:footnote>
  <w:footnote w:id="3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 w:id="3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15-56;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 w:id="4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בנימין זאב הרצל, </w:t>
      </w:r>
      <w:r>
        <w:rPr>
          <w:rFonts w:ascii="David" w:cs="David" w:eastAsia="David" w:hAnsi="David"/>
          <w:b/>
          <w:bCs/>
          <w:i w:val="false"/>
          <w:iCs w:val="false"/>
          <w:sz w:val="20"/>
          <w:szCs w:val="20"/>
          <w:rtl/>
        </w:rPr>
        <w:t xml:space="preserve">עניין היהודים: ספרי יומן 1895-1904</w:t>
      </w:r>
      <w:r>
        <w:rPr>
          <w:rFonts w:ascii="David" w:cs="David" w:eastAsia="David" w:hAnsi="David"/>
          <w:sz w:val="20"/>
          <w:szCs w:val="20"/>
          <w:rtl/>
        </w:rPr>
        <w:t xml:space="preserve">, תרגם יוסף ונקרט (ירושלים: מוסד ביאליק, 1997), כרך א, רשימות הפתיחה; Theodor Herzl, </w:t>
      </w:r>
      <w:r>
        <w:rPr>
          <w:rFonts w:ascii="David" w:cs="David" w:eastAsia="David" w:hAnsi="David"/>
          <w:i/>
          <w:iCs/>
          <w:sz w:val="20"/>
          <w:szCs w:val="20"/>
          <w:rtl w:val="false"/>
        </w:rPr>
        <w:t xml:space="preserve">The Complete Diaries of Theodor Herzl</w:t>
      </w:r>
      <w:r>
        <w:rPr>
          <w:rFonts w:ascii="David" w:cs="David" w:eastAsia="David" w:hAnsi="David"/>
          <w:sz w:val="20"/>
          <w:szCs w:val="20"/>
          <w:rtl w:val="false"/>
        </w:rPr>
        <w:t xml:space="preserve">, ed. Raphael Patai, trans. Harry Zohn (New York: Herzl Press and Thomas Yoseloff, 1960), vol. 1, pp. 3-12.</w:t>
      </w:r>
    </w:p>
  </w:footnote>
  <w:footnote w:id="4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93-108; Shlomo Avineri, "Theodor Herzl's Diaries as a Bildungsroman," </w:t>
      </w:r>
      <w:r>
        <w:rPr>
          <w:rFonts w:ascii="David" w:cs="David" w:eastAsia="David" w:hAnsi="David"/>
          <w:i/>
          <w:iCs/>
          <w:sz w:val="20"/>
          <w:szCs w:val="20"/>
          <w:rtl w:val="false"/>
        </w:rPr>
        <w:t xml:space="preserve">Jewish Social Studies</w:t>
      </w:r>
      <w:r>
        <w:rPr>
          <w:rFonts w:ascii="David" w:cs="David" w:eastAsia="David" w:hAnsi="David"/>
          <w:sz w:val="20"/>
          <w:szCs w:val="20"/>
          <w:rtl w:val="false"/>
        </w:rPr>
        <w:t xml:space="preserve"> 5:3 (1999), pp. 1-46.</w:t>
      </w:r>
    </w:p>
  </w:footnote>
  <w:footnote w:id="4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דירינג, "שאלת היהודים כשאלת הגזע", עמ' 355-356;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34-41;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42-58.</w:t>
      </w:r>
    </w:p>
  </w:footnote>
  <w:footnote w:id="4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41-54; 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150-153.</w:t>
      </w:r>
    </w:p>
  </w:footnote>
  <w:footnote w:id="4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100-113;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40-48.</w:t>
      </w:r>
    </w:p>
  </w:footnote>
  <w:footnote w:id="4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57-70;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115-133.</w:t>
      </w:r>
    </w:p>
  </w:footnote>
  <w:footnote w:id="4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 22;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159-182; Theodor Herzl, </w:t>
      </w:r>
      <w:r>
        <w:rPr>
          <w:rFonts w:ascii="David" w:cs="David" w:eastAsia="David" w:hAnsi="David"/>
          <w:i/>
          <w:iCs/>
          <w:sz w:val="20"/>
          <w:szCs w:val="20"/>
          <w:rtl w:val="false"/>
        </w:rPr>
        <w:t xml:space="preserve">The Jewish State</w:t>
      </w:r>
      <w:r>
        <w:rPr>
          <w:rFonts w:ascii="David" w:cs="David" w:eastAsia="David" w:hAnsi="David"/>
          <w:sz w:val="20"/>
          <w:szCs w:val="20"/>
          <w:rtl w:val="false"/>
        </w:rPr>
        <w:t xml:space="preserve"> (New York: Dover, 1988; first published 1896), pp. 80-83.</w:t>
      </w:r>
    </w:p>
  </w:footnote>
  <w:footnote w:id="4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114-130;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49-70.</w:t>
      </w:r>
    </w:p>
  </w:footnote>
  <w:footnote w:id="4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71-83;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w:t>
      </w:r>
    </w:p>
  </w:footnote>
  <w:footnote w:id="4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189-202.</w:t>
      </w:r>
    </w:p>
  </w:footnote>
  <w:footnote w:id="50">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100-108; 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רשימות מיוני 1895.</w:t>
      </w:r>
    </w:p>
  </w:footnote>
  <w:footnote w:id="5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13-130; 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218-240.</w:t>
      </w:r>
    </w:p>
  </w:footnote>
  <w:footnote w:id="5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"A Reevaluation,"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w:t>
      </w:r>
    </w:p>
  </w:footnote>
  <w:footnote w:id="5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w:t>
      </w:r>
    </w:p>
  </w:footnote>
  <w:footnote w:id="5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146-175.</w:t>
      </w:r>
    </w:p>
  </w:footnote>
  <w:footnote w:id="5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"Theodor Herzl: Zionist Icon, Myth-Maker, and Social Utopian," </w:t>
      </w:r>
      <w:r>
        <w:rPr>
          <w:rFonts w:ascii="David" w:cs="David" w:eastAsia="David" w:hAnsi="David"/>
          <w:i/>
          <w:iCs/>
          <w:sz w:val="20"/>
          <w:szCs w:val="20"/>
          <w:rtl w:val="false"/>
        </w:rPr>
        <w:t xml:space="preserve">Israel Affairs</w:t>
      </w:r>
      <w:r>
        <w:rPr>
          <w:rFonts w:ascii="David" w:cs="David" w:eastAsia="David" w:hAnsi="David"/>
          <w:sz w:val="20"/>
          <w:szCs w:val="20"/>
          <w:rtl w:val="false"/>
        </w:rPr>
        <w:t xml:space="preserve"> 1:3 (1995), pp. 1-37.</w:t>
      </w:r>
    </w:p>
  </w:footnote>
  <w:footnote w:id="5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20-45.</w:t>
      </w:r>
    </w:p>
  </w:footnote>
  <w:footnote w:id="5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93-108;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159-202.</w:t>
      </w:r>
    </w:p>
  </w:footnote>
  <w:footnote w:id="5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Jean-Denis Bredin, </w:t>
      </w:r>
      <w:r>
        <w:rPr>
          <w:rFonts w:ascii="David" w:cs="David" w:eastAsia="David" w:hAnsi="David"/>
          <w:i/>
          <w:iCs/>
          <w:sz w:val="20"/>
          <w:szCs w:val="20"/>
          <w:rtl w:val="false"/>
        </w:rPr>
        <w:t xml:space="preserve">The Affair: The Case of Alfred Dreyfus</w:t>
      </w:r>
      <w:r>
        <w:rPr>
          <w:rFonts w:ascii="David" w:cs="David" w:eastAsia="David" w:hAnsi="David"/>
          <w:sz w:val="20"/>
          <w:szCs w:val="20"/>
          <w:rtl w:val="false"/>
        </w:rPr>
        <w:t xml:space="preserve">, trans. Jeffrey Mehlman (New York: George Braziller, 1986), pp. 59-95;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99-102.</w:t>
      </w:r>
    </w:p>
  </w:footnote>
  <w:footnote w:id="5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96-128; Ruth Harris, </w:t>
      </w:r>
      <w:r>
        <w:rPr>
          <w:rFonts w:ascii="David" w:cs="David" w:eastAsia="David" w:hAnsi="David"/>
          <w:i/>
          <w:iCs/>
          <w:sz w:val="20"/>
          <w:szCs w:val="20"/>
          <w:rtl w:val="false"/>
        </w:rPr>
        <w:t xml:space="preserve">Dreyfus: Politics, Emotion, and the Scandal of the Century</w:t>
      </w:r>
      <w:r>
        <w:rPr>
          <w:rFonts w:ascii="David" w:cs="David" w:eastAsia="David" w:hAnsi="David"/>
          <w:sz w:val="20"/>
          <w:szCs w:val="20"/>
          <w:rtl w:val="false"/>
        </w:rPr>
        <w:t xml:space="preserve"> (New York: Metropolitan Books, 2010), pp. 20-43.</w:t>
      </w:r>
    </w:p>
  </w:footnote>
  <w:footnote w:id="6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Bernard Lazare, </w:t>
      </w:r>
      <w:r>
        <w:rPr>
          <w:rFonts w:ascii="David" w:cs="David" w:eastAsia="David" w:hAnsi="David"/>
          <w:i/>
          <w:iCs/>
          <w:sz w:val="20"/>
          <w:szCs w:val="20"/>
          <w:rtl w:val="false"/>
        </w:rPr>
        <w:t xml:space="preserve">Une erreur judiciaire: La vérité sur l'affaire Dreyfus</w:t>
      </w:r>
      <w:r>
        <w:rPr>
          <w:rFonts w:ascii="David" w:cs="David" w:eastAsia="David" w:hAnsi="David"/>
          <w:sz w:val="20"/>
          <w:szCs w:val="20"/>
          <w:rtl w:val="false"/>
        </w:rPr>
        <w:t xml:space="preserve"> (Brussels: Veuve Monnom, 1896);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102-104; 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129-247.</w:t>
      </w:r>
    </w:p>
  </w:footnote>
  <w:footnote w:id="6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Émile Zola, "J'accuse...! Lettre au Président de la République," </w:t>
      </w:r>
      <w:r>
        <w:rPr>
          <w:rFonts w:ascii="David" w:cs="David" w:eastAsia="David" w:hAnsi="David"/>
          <w:i/>
          <w:iCs/>
          <w:sz w:val="20"/>
          <w:szCs w:val="20"/>
          <w:rtl w:val="false"/>
        </w:rPr>
        <w:t xml:space="preserve">L'Aurore</w:t>
      </w:r>
      <w:r>
        <w:rPr>
          <w:rFonts w:ascii="David" w:cs="David" w:eastAsia="David" w:hAnsi="David"/>
          <w:sz w:val="20"/>
          <w:szCs w:val="20"/>
          <w:rtl w:val="false"/>
        </w:rPr>
        <w:t xml:space="preserve">, 13 January 1898; 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104-160.</w:t>
      </w:r>
    </w:p>
  </w:footnote>
  <w:footnote w:id="6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379-485;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106-114.</w:t>
      </w:r>
    </w:p>
  </w:footnote>
  <w:footnote w:id="6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84-92; גדעון קוץ, "ראשיתה של פרשת דרייפוס בעיתונות העברית והיהודית באירופה: כוחן של אידאולוגיות",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8;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183-194.</w:t>
      </w:r>
    </w:p>
  </w:footnote>
  <w:footnote w:id="6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3-130.</w:t>
      </w:r>
    </w:p>
  </w:footnote>
  <w:footnote w:id="6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ויטל, </w:t>
      </w:r>
      <w:r>
        <w:rPr>
          <w:rFonts w:ascii="David" w:cs="David" w:eastAsia="David" w:hAnsi="David"/>
          <w:b/>
          <w:bCs/>
          <w:i w:val="false"/>
          <w:iCs w:val="false"/>
          <w:sz w:val="20"/>
          <w:szCs w:val="20"/>
          <w:rtl/>
        </w:rPr>
        <w:t xml:space="preserve">המהפכה הציונית: ראשית התנועה</w:t>
      </w:r>
      <w:r>
        <w:rPr>
          <w:rFonts w:ascii="David" w:cs="David" w:eastAsia="David" w:hAnsi="David"/>
          <w:sz w:val="20"/>
          <w:szCs w:val="20"/>
          <w:rtl/>
        </w:rPr>
        <w:t xml:space="preserve"> (תל אביב: עם עובד, 1978), עמ' 217-262; שלמה אבינרי, </w:t>
      </w:r>
      <w:r>
        <w:rPr>
          <w:rFonts w:ascii="David" w:cs="David" w:eastAsia="David" w:hAnsi="David"/>
          <w:b/>
          <w:bCs/>
          <w:i w:val="false"/>
          <w:iCs w:val="false"/>
          <w:sz w:val="20"/>
          <w:szCs w:val="20"/>
          <w:rtl/>
        </w:rPr>
        <w:t xml:space="preserve">הרעיון הציוני לגווניו: פרקים בתולדות המחשבה המדינית היהודית</w:t>
      </w:r>
      <w:r>
        <w:rPr>
          <w:rFonts w:ascii="David" w:cs="David" w:eastAsia="David" w:hAnsi="David"/>
          <w:sz w:val="20"/>
          <w:szCs w:val="20"/>
          <w:rtl/>
        </w:rPr>
        <w:t xml:space="preserve"> (תל אביב: עם עובד, 1980), עמ' 107-124; Herzl, </w:t>
      </w:r>
      <w:r>
        <w:rPr>
          <w:rFonts w:ascii="David" w:cs="David" w:eastAsia="David" w:hAnsi="David"/>
          <w:i/>
          <w:iCs/>
          <w:sz w:val="20"/>
          <w:szCs w:val="20"/>
          <w:rtl/>
        </w:rPr>
        <w:t xml:space="preserve">The Jewish State</w:t>
      </w:r>
      <w:r>
        <w:rPr>
          <w:rFonts w:ascii="David" w:cs="David" w:eastAsia="David" w:hAnsi="David"/>
          <w:sz w:val="20"/>
          <w:szCs w:val="20"/>
          <w:rtl/>
        </w:rPr>
        <w:t xml:space="preserve">, pp. 75-100.</w:t>
      </w:r>
    </w:p>
  </w:footnote>
  <w:footnote w:id="6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יוסף לנג, "תגובות העיתונות העברית בארץ ישראל על פרשת דרייפוס (1894-1906)",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21; Elon, </w:t>
      </w:r>
      <w:r>
        <w:rPr>
          <w:rFonts w:ascii="David" w:cs="David" w:eastAsia="David" w:hAnsi="David"/>
          <w:i/>
          <w:iCs/>
          <w:sz w:val="20"/>
          <w:szCs w:val="20"/>
          <w:rtl/>
        </w:rPr>
        <w:t xml:space="preserve">Herzl</w:t>
      </w:r>
      <w:r>
        <w:rPr>
          <w:rFonts w:ascii="David" w:cs="David" w:eastAsia="David" w:hAnsi="David"/>
          <w:sz w:val="20"/>
          <w:szCs w:val="20"/>
          <w:rtl/>
        </w:rPr>
        <w:t xml:space="preserve">, pp. 253-260;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104, 111-113.</w:t>
      </w:r>
    </w:p>
  </w:footnote>
  <w:footnote w:id="6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קוץ, "ראשיתה של פרשת דרייפוס", עמ' 14-15; לנג, "תגובות העיתונות העברית", עמ' 18-19.</w:t>
      </w:r>
    </w:p>
  </w:footnote>
  <w:footnote w:id="68">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אגניישקה פרידריך, "פרשת דרייפוס וכתב העת הוורשאי Rola בין השנים 1894-1906",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39-43.</w:t>
      </w:r>
    </w:p>
  </w:footnote>
  <w:footnote w:id="6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שאול סחייק, "פרשת דרייפוס בעיתונות הערבית", </w:t>
      </w:r>
      <w:r>
        <w:rPr>
          <w:rFonts w:ascii="David" w:cs="David" w:eastAsia="David" w:hAnsi="David"/>
          <w:b/>
          <w:bCs/>
          <w:i w:val="false"/>
          <w:iCs w:val="false"/>
          <w:sz w:val="20"/>
          <w:szCs w:val="20"/>
          <w:rtl/>
        </w:rPr>
        <w:t xml:space="preserve">מיכאל: מאסף לתולדות היהודים בתפוצות</w:t>
      </w:r>
      <w:r>
        <w:rPr>
          <w:rFonts w:ascii="David" w:cs="David" w:eastAsia="David" w:hAnsi="David"/>
          <w:sz w:val="20"/>
          <w:szCs w:val="20"/>
          <w:rtl/>
        </w:rPr>
        <w:t xml:space="preserve"> יד (תשנ"ז), עמ' ריג-ריד.</w:t>
      </w:r>
    </w:p>
  </w:footnote>
  <w:footnote w:id="7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49-68.</w:t>
      </w:r>
    </w:p>
  </w:footnote>
  <w:footnote w:id="7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86-90; Herzl, "Zionism," pp. 1-8.</w:t>
      </w:r>
    </w:p>
  </w:footnote>
  <w:footnote w:id="7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95-124;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114-130; Desmond Stewart, </w:t>
      </w:r>
      <w:r>
        <w:rPr>
          <w:rFonts w:ascii="David" w:cs="David" w:eastAsia="David" w:hAnsi="David"/>
          <w:i/>
          <w:iCs/>
          <w:sz w:val="20"/>
          <w:szCs w:val="20"/>
          <w:rtl w:val="false"/>
        </w:rPr>
        <w:t xml:space="preserve">Theodor Herzl: Artist and Politician</w:t>
      </w:r>
      <w:r>
        <w:rPr>
          <w:rFonts w:ascii="David" w:cs="David" w:eastAsia="David" w:hAnsi="David"/>
          <w:sz w:val="20"/>
          <w:szCs w:val="20"/>
          <w:rtl w:val="false"/>
        </w:rPr>
        <w:t xml:space="preserve"> (London: Hamish Hamilton, 1974), pp. 155-182.</w:t>
      </w:r>
    </w:p>
  </w:footnote>
  <w:footnote w:id="7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השל, "לקראת היסטוריוגרפיה ארוטית", עמ' 73-94; Penslar, </w:t>
      </w:r>
      <w:r>
        <w:rPr>
          <w:rFonts w:ascii="David" w:cs="David" w:eastAsia="David" w:hAnsi="David"/>
          <w:i/>
          <w:iCs/>
          <w:sz w:val="20"/>
          <w:szCs w:val="20"/>
          <w:rtl/>
        </w:rPr>
        <w:t xml:space="preserve">Theodor Herzl</w:t>
      </w:r>
      <w:r>
        <w:rPr>
          <w:rFonts w:ascii="David" w:cs="David" w:eastAsia="David" w:hAnsi="David"/>
          <w:sz w:val="20"/>
          <w:szCs w:val="20"/>
          <w:rtl/>
        </w:rPr>
        <w:t xml:space="preserve">, pp. 49-70.</w:t>
      </w:r>
    </w:p>
  </w:footnote>
  <w:footnote w:id="7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קוץ, "ראשיתה של פרשת דרייפוס", עמ' 8;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183-202.</w:t>
      </w:r>
    </w:p>
  </w:footnote>
  <w:footnote w:id="7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Wistrich, "Theodor Herzl: Zionist Icon," pp. 1-37;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60-70.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2026-09-19T10:04:44.198Z</dcterms:created>
  <dcterms:modified xsi:type="dcterms:W3CDTF">2026-09-19T10:04:44.207Z</dcterms:modified>
</cp:coreProperties>
</file>

<file path=docProps/custom.xml><?xml version="1.0" encoding="utf-8"?>
<Properties xmlns="http://schemas.openxmlformats.org/officeDocument/2006/custom-properties" xmlns:vt="http://schemas.openxmlformats.org/officeDocument/2006/docPropsVTypes"/>
</file>