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480"/>
        <w:jc w:val="center"/>
      </w:pPr>
      <w:r>
        <w:rPr>
          <w:rFonts w:ascii="David" w:cs="David" w:hAnsi="David"/>
          <w:sz w:val="24"/>
          <w:szCs w:val="24"/>
          <w:rtl/>
        </w:rPr>
        <w:t xml:space="preserve"/>
      </w:r>
    </w:p>
    <w:p>
      <w:pPr>
        <w:bidi/>
        <w:spacing w:line="480"/>
        <w:jc w:val="center"/>
      </w:pPr>
      <w:r>
        <w:rPr>
          <w:rFonts w:ascii="David" w:cs="David" w:hAnsi="David"/>
          <w:sz w:val="24"/>
          <w:szCs w:val="24"/>
          <w:rtl/>
        </w:rPr>
        <w:t xml:space="preserve"/>
      </w:r>
    </w:p>
    <w:p>
      <w:pPr>
        <w:bidi/>
        <w:spacing w:line="480"/>
        <w:jc w:val="center"/>
      </w:pPr>
      <w:r>
        <w:rPr>
          <w:rFonts w:ascii="David" w:cs="David" w:hAnsi="David"/>
          <w:b/>
          <w:bCs/>
          <w:sz w:val="24"/>
          <w:szCs w:val="24"/>
          <w:rtl/>
        </w:rPr>
        <w:t xml:space="preserve">המחלקה ל-BA רב תחומי במדעי הרוח והחברה</w:t>
      </w:r>
    </w:p>
    <w:p>
      <w:pPr>
        <w:bidi/>
        <w:spacing w:line="480"/>
        <w:jc w:val="center"/>
      </w:pPr>
      <w:r>
        <w:rPr>
          <w:rFonts w:ascii="David" w:cs="David" w:hAnsi="David"/>
          <w:sz w:val="24"/>
          <w:szCs w:val="24"/>
          <w:rtl/>
        </w:rPr>
        <w:t xml:space="preserve"/>
      </w:r>
    </w:p>
    <w:p>
      <w:pPr>
        <w:bidi/>
        <w:spacing w:line="480"/>
        <w:jc w:val="center"/>
      </w:pPr>
      <w:r>
        <w:rPr>
          <w:rFonts w:ascii="David" w:cs="David" w:hAnsi="David"/>
          <w:b/>
          <w:bCs/>
          <w:sz w:val="24"/>
          <w:szCs w:val="24"/>
          <w:rtl/>
        </w:rPr>
        <w:t xml:space="preserve">מטלת אמצע בקורס: תולדות המערב</w:t>
      </w:r>
    </w:p>
    <w:p>
      <w:pPr>
        <w:bidi/>
        <w:spacing w:line="480"/>
        <w:jc w:val="center"/>
      </w:pPr>
      <w:r>
        <w:rPr>
          <w:rFonts w:ascii="David" w:cs="David" w:hAnsi="David"/>
          <w:sz w:val="24"/>
          <w:szCs w:val="24"/>
          <w:rtl/>
        </w:rPr>
        <w:t xml:space="preserve"/>
      </w:r>
    </w:p>
    <w:p>
      <w:pPr>
        <w:bidi/>
        <w:spacing w:line="480"/>
        <w:jc w:val="center"/>
      </w:pPr>
      <w:r>
        <w:rPr>
          <w:rFonts w:ascii="David" w:cs="David" w:hAnsi="David"/>
          <w:b/>
          <w:bCs/>
          <w:sz w:val="24"/>
          <w:szCs w:val="24"/>
          <w:rtl/>
        </w:rPr>
        <w:t xml:space="preserve">‏"הדיאלוג המלי"</w:t>
      </w:r>
    </w:p>
    <w:p>
      <w:pPr>
        <w:bidi/>
        <w:spacing w:line="480"/>
        <w:jc w:val="center"/>
      </w:pPr>
      <w:r>
        <w:rPr>
          <w:rFonts w:ascii="David" w:cs="David" w:hAnsi="David"/>
          <w:sz w:val="24"/>
          <w:szCs w:val="24"/>
          <w:rtl/>
        </w:rPr>
        <w:t xml:space="preserve"/>
      </w:r>
    </w:p>
    <w:p>
      <w:pPr>
        <w:bidi/>
        <w:spacing w:line="480"/>
        <w:jc w:val="center"/>
      </w:pPr>
      <w:r>
        <w:rPr>
          <w:rFonts w:ascii="David" w:cs="David" w:hAnsi="David"/>
          <w:sz w:val="24"/>
          <w:szCs w:val="24"/>
          <w:rtl/>
        </w:rPr>
        <w:t xml:space="preserve"/>
      </w:r>
    </w:p>
    <w:p>
      <w:pPr>
        <w:bidi/>
        <w:spacing w:line="480"/>
        <w:jc w:val="center"/>
      </w:pPr>
      <w:r>
        <w:rPr>
          <w:rFonts w:ascii="David" w:cs="David" w:hAnsi="David"/>
          <w:sz w:val="24"/>
          <w:szCs w:val="24"/>
          <w:rtl/>
        </w:rPr>
        <w:t xml:space="preserve">שם המרצה: ____________</w:t>
      </w:r>
    </w:p>
    <w:p>
      <w:pPr>
        <w:bidi/>
        <w:spacing w:line="480"/>
        <w:jc w:val="center"/>
      </w:pPr>
      <w:r>
        <w:rPr>
          <w:rFonts w:ascii="David" w:cs="David" w:hAnsi="David"/>
          <w:sz w:val="24"/>
          <w:szCs w:val="24"/>
          <w:rtl/>
        </w:rPr>
        <w:t xml:space="preserve"/>
      </w:r>
    </w:p>
    <w:p>
      <w:pPr>
        <w:bidi/>
        <w:spacing w:line="480"/>
        <w:jc w:val="center"/>
      </w:pPr>
      <w:r>
        <w:rPr>
          <w:rFonts w:ascii="David" w:cs="David" w:hAnsi="David"/>
          <w:sz w:val="24"/>
          <w:szCs w:val="24"/>
          <w:rtl/>
        </w:rPr>
        <w:t xml:space="preserve">שם המגיש/ה: ____________     ת"ז: ____________</w:t>
      </w:r>
    </w:p>
    <w:p>
      <w:pPr>
        <w:bidi/>
        <w:spacing w:line="480"/>
        <w:jc w:val="center"/>
      </w:pPr>
      <w:r>
        <w:rPr>
          <w:rFonts w:ascii="David" w:cs="David" w:hAnsi="David"/>
          <w:sz w:val="24"/>
          <w:szCs w:val="24"/>
          <w:rtl/>
        </w:rPr>
        <w:t xml:space="preserve"/>
      </w:r>
    </w:p>
    <w:p>
      <w:pPr>
        <w:bidi/>
        <w:spacing w:line="480"/>
        <w:jc w:val="center"/>
      </w:pPr>
      <w:r>
        <w:rPr>
          <w:rFonts w:ascii="David" w:cs="David" w:hAnsi="David"/>
          <w:sz w:val="24"/>
          <w:szCs w:val="24"/>
          <w:rtl/>
        </w:rPr>
        <w:t xml:space="preserve">תאריך: אלול תשפ"ו, אוגוסט 2026</w:t>
      </w:r>
    </w:p>
    <w:p>
      <w:r>
        <w:br w:type="page"/>
      </w:r>
    </w:p>
    <w:p>
      <w:pPr>
        <w:bidi/>
        <w:spacing w:line="480"/>
        <w:jc w:val="both"/>
      </w:pPr>
      <w:r>
        <w:rPr>
          <w:rFonts w:ascii="David" w:cs="David" w:hAnsi="David"/>
          <w:b/>
          <w:bCs/>
          <w:sz w:val="24"/>
          <w:szCs w:val="24"/>
          <w:rtl/>
        </w:rPr>
        <w:t xml:space="preserve">שאלה 1</w:t>
      </w:r>
    </w:p>
    <w:p>
      <w:pPr>
        <w:bidi/>
        <w:spacing w:line="480"/>
        <w:jc w:val="both"/>
      </w:pPr>
      <w:r>
        <w:rPr>
          <w:rFonts w:ascii="David" w:cs="David" w:hAnsi="David"/>
          <w:sz w:val="24"/>
          <w:szCs w:val="24"/>
          <w:rtl/>
        </w:rPr>
        <w:t xml:space="preserve">הדיאלוג המלי הוא קטע מתוך החיבור תולדות מלחמת פילופוניס שכתב תוקידידס, היסטוריון אתונאי שחי בקירוב בין 460 ל-400 לפנה"ס, שירת כמצביא במלחמה והוגלה מאתונה לאחר כישלונו באמפיפוליס. את החיבור כתב במהלך המלחמה ולאחריה, בשלהי המאה החמישית לפנה"ס. הדיאלוג מופיע בספר החמישי, פרקים 84-116, ומתאר משא ומתן שנערך בשנת 416 לפנה"ס, בשנה השש-עשרה למלחמה שבין אתונה לספרטה, בתקופת שלום ניקיאס הרעוע. צבא אתונאי גדול עגן באי מלוס, ובטרם נפתח המצור שלחו המצביאים צירים אל הנהגת האי (תוקידידס, 1959, ה 84).</w:t>
      </w:r>
    </w:p>
    <w:p>
      <w:pPr>
        <w:bidi/>
        <w:spacing w:line="480"/>
        <w:jc w:val="both"/>
      </w:pPr>
      <w:r>
        <w:rPr>
          <w:rFonts w:ascii="David" w:cs="David" w:hAnsi="David"/>
          <w:sz w:val="24"/>
          <w:szCs w:val="24"/>
          <w:rtl/>
        </w:rPr>
        <w:t xml:space="preserve">האתונאים שבדיאלוג הם שליחיה של המעצמה הימית ששלטה באיי הים האגאי, והמליים הם חברי המועצה והשלטונות של מלוס, אי קטן שתושביו היו מתיישבים יוצאי ספרטה. מטעם זה סירבו המליים להצטרף לברית האתונאית וביקשו לשבת בשלווה כניטרלים. האיבה נבעה מן הדרישה האתונאית לשעבוד: בעיני אתונה, אי שנותר חופשי בלב ים שבשליטתה נתפס כעדות לחולשתה, ומשסירבה מלוס להיכנע השחיתו האתונאים את אדמתה והביאו אותה לידי מלחמה גלויה (תוקידידס, 1959, ה 84, 97).</w:t>
      </w:r>
    </w:p>
    <w:p>
      <w:pPr>
        <w:bidi/>
        <w:spacing w:line="480"/>
        <w:jc w:val="both"/>
      </w:pPr>
      <w:r>
        <w:rPr>
          <w:rFonts w:ascii="David" w:cs="David" w:hAnsi="David"/>
          <w:sz w:val="24"/>
          <w:szCs w:val="24"/>
          <w:rtl/>
        </w:rPr>
        <w:t xml:space="preserve">שני הקולות שבדיאלוג מגלמים שתי תפיסות עולם. האתונאים מייצגים ריאלפוליטיק צרוף: כבר בפתיחה הם מסלקים מן הדיון את שאלת הצדק וקובעים כי בין צדדים שאינם שווים בכוחם ידובר בתועלת בלבד, שכן החזק עושה מה שבכוחו והחלש נכנע (תוקידידס, 1959, ה 89). המליים מייצגים אידיאליזם: אמונה בצדקת עניינם, בתקוות המזל, בחסד האלים ובנאמנותה של ספרטה, ונכונות לסכן הכול ובלבד שלא לאבד חירות שעמדה להם שבע מאות שנה (תוקידידס, 1959, ה 104, 112).</w:t>
      </w:r>
    </w:p>
    <w:p>
      <w:pPr>
        <w:bidi/>
        <w:spacing w:line="480"/>
        <w:jc w:val="both"/>
      </w:pPr>
      <w:r>
        <w:rPr>
          <w:rFonts w:ascii="David" w:cs="David" w:hAnsi="David"/>
          <w:b/>
          <w:bCs/>
          <w:sz w:val="24"/>
          <w:szCs w:val="24"/>
          <w:rtl/>
        </w:rPr>
        <w:t xml:space="preserve">שאלה 2</w:t>
      </w:r>
    </w:p>
    <w:tbl>
      <w:tblPr>
        <w:bidiVisual/>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3050"/>
        <w:gridCol w:w="3050"/>
        <w:gridCol w:w="3050"/>
      </w:tblGrid>
      <w:tr>
        <w:trPr>
          <w:tblHeader/>
        </w:trPr>
        <w:tc>
          <w:tcPr>
            <w:tcW w:type="dxa" w:w="3050"/>
            <w:shd w:fill="EFEFEF" w:val="clear"/>
            <w:tcMar>
              <w:top w:type="dxa" w:w="80"/>
              <w:left w:type="dxa" w:w="120"/>
              <w:bottom w:type="dxa" w:w="80"/>
              <w:right w:type="dxa" w:w="120"/>
            </w:tcMar>
          </w:tcPr>
          <w:p>
            <w:pPr>
              <w:bidi/>
              <w:spacing w:line="276"/>
              <w:jc w:val="both"/>
            </w:pPr>
            <w:r>
              <w:rPr>
                <w:rFonts w:ascii="David" w:cs="David" w:hAnsi="David"/>
                <w:b/>
                <w:bCs/>
                <w:sz w:val="24"/>
                <w:szCs w:val="24"/>
                <w:rtl/>
              </w:rPr>
              <w:t xml:space="preserve">טיעוני האתונאים</w:t>
            </w:r>
          </w:p>
        </w:tc>
        <w:tc>
          <w:tcPr>
            <w:tcW w:type="dxa" w:w="3050"/>
            <w:shd w:fill="EFEFEF" w:val="clear"/>
            <w:tcMar>
              <w:top w:type="dxa" w:w="80"/>
              <w:left w:type="dxa" w:w="120"/>
              <w:bottom w:type="dxa" w:w="80"/>
              <w:right w:type="dxa" w:w="120"/>
            </w:tcMar>
          </w:tcPr>
          <w:p>
            <w:pPr>
              <w:bidi/>
              <w:spacing w:line="276"/>
              <w:jc w:val="both"/>
            </w:pPr>
            <w:r>
              <w:rPr>
                <w:rFonts w:ascii="David" w:cs="David" w:hAnsi="David"/>
                <w:b/>
                <w:bCs/>
                <w:sz w:val="24"/>
                <w:szCs w:val="24"/>
                <w:rtl/>
              </w:rPr>
              <w:t xml:space="preserve">תשובת המליים</w:t>
            </w:r>
          </w:p>
        </w:tc>
        <w:tc>
          <w:tcPr>
            <w:tcW w:type="dxa" w:w="3050"/>
            <w:shd w:fill="EFEFEF" w:val="clear"/>
            <w:tcMar>
              <w:top w:type="dxa" w:w="80"/>
              <w:left w:type="dxa" w:w="120"/>
              <w:bottom w:type="dxa" w:w="80"/>
              <w:right w:type="dxa" w:w="120"/>
            </w:tcMar>
          </w:tcPr>
          <w:p>
            <w:pPr>
              <w:bidi/>
              <w:spacing w:line="276"/>
              <w:jc w:val="both"/>
            </w:pPr>
            <w:r>
              <w:rPr>
                <w:rFonts w:ascii="David" w:cs="David" w:hAnsi="David"/>
                <w:b/>
                <w:bCs/>
                <w:sz w:val="24"/>
                <w:szCs w:val="24"/>
                <w:rtl/>
              </w:rPr>
              <w:t xml:space="preserve">דעתי</w:t>
            </w:r>
          </w:p>
        </w:tc>
      </w:tr>
      <w:tr>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אין טעם לדבר על צדק: הוא מוכרע רק בין שווים בכוחם. החזק עושה מה שבכוחו והחלש נכנע (ה 89).</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גם לחזק יש עניין לשמור על עקרון ההגינות, שהרי יום אחד עלול גם הוא ליפול ולהזדקק לו (ה 90).</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טענת המליים חזקה יותר לטווח הארוך: אתונה עצמה נפלה בשנת 404 והייתה תלויה בחסד מנצחיה, בדיוק כפי שהזהירו המליים.</w:t>
            </w:r>
          </w:p>
        </w:tc>
      </w:tr>
      <w:tr>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כניעתכם מועילה לשני הצדדים: אתם תינצלו מחורבן ואנחנו נרוויח שלטון ללא מלחמה מיותרת (ה 91, 93).</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מדוע ששעבוד ייחשב בעינינו תועלת? הניחו לנו להיות ידידים לשני הצדדים ובני ברית של איש מהם (ה 92, 94).</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כאן האתונאים כנים יותר: הם לפחות מציעים עסקה מפורשת של חיים תמורת חירות, ואילו הצעת הידידות המלית מתעלמת ממאזן הכוחות בפועל.</w:t>
            </w:r>
          </w:p>
        </w:tc>
      </w:tr>
      <w:tr>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ניטרליות שלכם אינה אפשרית: ידידות עם אי חלש תתפרש כחולשתנו, ואילו שנאתכם היא גילוי של כוחנו כלפי המשועבדים (ה 95, 97).</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מדיניות כזאת תהפוך לאויביכם את כל הניטרלים בעולם היווני, שיבינו כי בבוא היום תבואו גם עליהם (ה 98).</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טענת המליים מדויקת פוליטית ומתממשת בהמשך המלחמה, אך היא לא הועילה להם: החשבון האתונאי הצר גבר באותו רגע.</w:t>
            </w:r>
          </w:p>
        </w:tc>
      </w:tr>
      <w:tr>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אל תיתלו בתקווה, במזל, באלים או בספרטה. התקווה מנחמת ומחריבה, וגם האלים שולטים בכל מקום שכוחם מגיע, כחוק טבע קיים ועומד. ספרטה רואה את הנעים לה כנאה ואת המועיל לה כצודק, ולא תסתכן למענכם (ה 103, 105, 109).</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המזל אינו נושא פנים, האלים יעמדו לימין יראי האלוהים הניצבים מול עושי עוול, וספרטה תחוש לעזרתנו מחמת קרבת הדם ומפני הבושה (ה 104, 106, 108).</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בנקודה זו צדקו האתונאים לחלוטין: ספרטה לא באה, המזל לא התהפך והאלים לא התערבו. זה החלק המפוכח והמדויק ביותר בעמדתם.</w:t>
            </w:r>
          </w:p>
        </w:tc>
      </w:tr>
    </w:tbl>
    <w:p>
      <w:pPr>
        <w:bidi/>
        <w:spacing w:line="480"/>
        <w:jc w:val="both"/>
      </w:pPr>
      <w:r>
        <w:rPr>
          <w:rFonts w:ascii="David" w:cs="David" w:hAnsi="David"/>
          <w:sz w:val="24"/>
          <w:szCs w:val="24"/>
          <w:rtl/>
        </w:rPr>
        <w:t xml:space="preserve"/>
      </w:r>
    </w:p>
    <w:p>
      <w:pPr>
        <w:bidi/>
        <w:spacing w:line="480"/>
        <w:jc w:val="both"/>
      </w:pPr>
      <w:r>
        <w:rPr>
          <w:rFonts w:ascii="David" w:cs="David" w:hAnsi="David"/>
          <w:sz w:val="24"/>
          <w:szCs w:val="24"/>
          <w:rtl/>
        </w:rPr>
        <w:t xml:space="preserve">במבט כולל, בכל סעיף וסעיף ניתחו האתונאים את המציאות המיידית טוב יותר, והאירועים שבפרקים 114-116 הוכיחו זאת. ובכל זאת הטיעון המלי הראשון נראה לי המנצח האמיתי של הדיאלוג: כלל שהחזק קובע לבדו סופו לפגוע גם במי שניסח אותו, ואתונה של 404 למדה זאת על בשרה.</w:t>
      </w:r>
    </w:p>
    <w:p>
      <w:pPr>
        <w:bidi/>
        <w:spacing w:line="480"/>
        <w:jc w:val="both"/>
      </w:pPr>
      <w:r>
        <w:rPr>
          <w:rFonts w:ascii="David" w:cs="David" w:hAnsi="David"/>
          <w:b/>
          <w:bCs/>
          <w:sz w:val="24"/>
          <w:szCs w:val="24"/>
          <w:rtl/>
        </w:rPr>
        <w:t xml:space="preserve">שאלה 3</w:t>
      </w:r>
    </w:p>
    <w:p>
      <w:pPr>
        <w:bidi/>
        <w:spacing w:line="480"/>
        <w:jc w:val="both"/>
      </w:pPr>
      <w:r>
        <w:rPr>
          <w:rFonts w:ascii="David" w:cs="David" w:hAnsi="David"/>
          <w:sz w:val="24"/>
          <w:szCs w:val="24"/>
          <w:rtl/>
        </w:rPr>
        <w:t xml:space="preserve">מומיליאנו (1980) מתאר התפתחות הדרגתית ביחסם של ההיסטוריונים העתיקים לגורמי המלחמה. אצל הומרוס המלחמה היא מצב טבעי של חיי האדם, מובן מאליו כלידה וכמוות, ולכן אין הוא דן כלל בגורמיה. מה שמעסיק אותו הוא מניעיהם האישיים של הלוחמים: זעם, כבוד, נקמה, שלל ותהילה. הרודוטוס כבר שואל מדוע פרצה המלחמה, אך הסיבה (aitia) שלו קרובה יותר לתלונה או להאשמה: שרשרת של עוולות ומעשי תגמול הדדיים בין מזרח למערב, וברקע מאבקה של החירות היוונית בשעבוד הפרסי. תוקידידס הוא הראשון שהפך את גורמי המלחמה לבעיית מחקר של ממש, בהבחינו בין העילות הגלויות, המדוברות בפי כול, ובין הסיבה האמיתית ביותר, הנסתרת מן הדיבורים: עליית כוחה של אתונה והפחד שהטילה על ספרטה, ולצדם ההכרח (ananke) הפועל בענייני בני האדם. פוליביוס השלים את המהלך וקבע טרמינולוגיה סדורה המבחינה בין סיבה (aitia), אמתלה (prophasis) והתחלה (arche), תוך הדגשת גורמים פוליטיים ארוכי טווח (מומיליאנו, 1980).</w:t>
      </w:r>
    </w:p>
    <w:p>
      <w:pPr>
        <w:bidi/>
        <w:spacing w:line="480"/>
        <w:jc w:val="both"/>
      </w:pPr>
      <w:r>
        <w:rPr>
          <w:rFonts w:ascii="David" w:cs="David" w:hAnsi="David"/>
          <w:sz w:val="24"/>
          <w:szCs w:val="24"/>
          <w:rtl/>
        </w:rPr>
        <w:t xml:space="preserve">כל הגורמים האלה נוכחים בדיאלוג המלי. הגורם התוקידידי הוא לבו של המעמד: לאתונאים אין שום תלונה על עוול מלי, ומניעיהם הם כוח ופחד בלבד, שכן חירותה של מלוס עלולה להתפרש כחולשה אתונאית בעיני המשועבדים (תוקידידס, 1959, ה 95, 97). לשון ההכרח מופיעה במפורש כשהאתונאים טוענים כי מתוך כורח טבעם שולטים האלים ובני האדם בכל מקום שכוחם מגיע (תוקידידס, 1959, ה 105). הגורם ההומרי, הכבוד, עולה דווקא מפי המליים, המסרבים להיכנע בלא קרב מפני הבושה והחרפה, והאתונאים משיבים כי רגש הכבוד הוא שם מדיח שהפיל בני אדם לאסונות (תוקידידס, 1959, ה 100, 111). מניע החירות של הרודוטוס פועם בסירובם של המליים לוותר על חירות בת שבע מאות שנה (תוקידידס, 1959, ה 112). ואילו ההבחנה הפוליביאנית מסבירה מה חריג כאן: במלוס אין אפילו אמתלה, והסיבה האמיתית נאמרת בקול רם. מומיליאנו עצמו מונה את חורבן מלוס עם המעשים שבני הזמן ראו בהם התנגשות גלויה בין חירות ובין הכרח (מומיליאנו, 1980).</w:t>
      </w:r>
    </w:p>
    <w:p>
      <w:pPr>
        <w:bidi/>
        <w:spacing w:line="480"/>
        <w:jc w:val="both"/>
      </w:pPr>
      <w:r>
        <w:rPr>
          <w:rFonts w:ascii="David" w:cs="David" w:hAnsi="David"/>
          <w:b/>
          <w:bCs/>
          <w:sz w:val="24"/>
          <w:szCs w:val="24"/>
          <w:rtl/>
        </w:rPr>
        <w:t xml:space="preserve">שאלה 4</w:t>
      </w:r>
    </w:p>
    <w:p>
      <w:pPr>
        <w:bidi/>
        <w:spacing w:line="480"/>
        <w:jc w:val="both"/>
      </w:pPr>
      <w:r>
        <w:rPr>
          <w:rFonts w:ascii="David" w:cs="David" w:hAnsi="David"/>
          <w:sz w:val="24"/>
          <w:szCs w:val="24"/>
          <w:rtl/>
        </w:rPr>
        <w:t xml:space="preserve">אמירתו של הלורד אקטון (1887), שלפיה כוח נוטה להשחית וכוח מוחלט משחית באופן מוחלט, מתממשת בדיאלוג המלי בשני מובנים: השחתת המוסר והשחתת שיקול הדעת. במישור המוסרי, אתונה של 416 לפנה"ס כה בטוחה בכוחה עד שאינה טורחת עוד אפילו להעמיד פנים. בפרק 89 מנוסח הדבר בגלוי: "ונשאף להשיג מה שניתן להשיג, שכן אתם יודעים כמונו, שבעניינים האנושיים הצדק בא על אישורו רק כשכוחם של שני הצדדים שקול, ושהחזקים מבצעים את מה שבכוחם לעשות והחלשים נכנעים בפניהם וסובלים" (תוקידידס, 1959, ה 89). המשפט הזה הוא כמעט ניסוח מוקדם של אקטון: הצדק מתקיים רק כשיש שקילות כוחות, כלומר רק כשקיים בלם חיצוני. משנעלם הבלם, נעלם הצדק עצמו. התוצאה מתוארת בפרק 116: לאחר הכניעה הרגו האתונאים את כל הגברים המבוגרים, מכרו את הנשים והילדים לעבדות ושלחו חמש מאות מתיישבים ליישב את האי (תוקידידס, 1959, ה 116). כוח מוחלט מול אי זעיר הוליד זוועה מוחלטת.</w:t>
      </w:r>
    </w:p>
    <w:p>
      <w:pPr>
        <w:bidi/>
        <w:spacing w:line="480"/>
        <w:jc w:val="both"/>
      </w:pPr>
      <w:r>
        <w:rPr>
          <w:rFonts w:ascii="David" w:cs="David" w:hAnsi="David"/>
          <w:sz w:val="24"/>
          <w:szCs w:val="24"/>
          <w:rtl/>
        </w:rPr>
        <w:t xml:space="preserve">המובן השני נוגע לאתונה עצמה. הביטחון שאין גבול לכוחה השחית גם את כושר השיפוט שלה: שנה בלבד אחרי מלוס יצאה אתונה למסע הכיבוש בסיציליה, איבדה בו את ציה ואת מיטב כוחותיה, ובשנת 404 נכנעה בעצמה, כשגורלה של מלוס מרחף מעל ראשה והיא ניצלת ממנו רק בזכות מתינות מנצחיה. החוק שניסחו האתונאים במלוס חזר אפוא ופגע בהם. במובן זה הדיאלוג ותוצאותיו מאשרים את אקטון פעמיים: הכוח המוחלט השחית תחילה את מוסרה של אתונה, ולבסוף את תבונתה.</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2026-08-27T16:50:00.964Z</dcterms:created>
  <dcterms:modified xsi:type="dcterms:W3CDTF">2026-08-27T16:50:00.964Z</dcterms:modified>
</cp:coreProperties>
</file>

<file path=docProps/custom.xml><?xml version="1.0" encoding="utf-8"?>
<Properties xmlns="http://schemas.openxmlformats.org/officeDocument/2006/custom-properties" xmlns:vt="http://schemas.openxmlformats.org/officeDocument/2006/docPropsVTypes"/>
</file>