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line="360" w:lineRule="auto"/>
        <w:jc w:val="right"/>
      </w:pPr>
      <w:r>
        <w:rPr>
          <w:rFonts w:ascii="David" w:cs="David" w:eastAsia="David" w:hAnsi="David"/>
          <w:b w:val="false"/>
          <w:bCs w:val="false"/>
          <w:sz w:val="24"/>
          <w:szCs w:val="24"/>
          <w:rtl/>
        </w:rPr>
        <w:t xml:space="preserve"/>
      </w:r>
    </w:p>
    <w:p>
      <w:pPr>
        <w:bidi/>
        <w:spacing w:after="120" w:line="360" w:lineRule="auto"/>
        <w:jc w:val="right"/>
      </w:pPr>
      <w:r>
        <w:rPr>
          <w:rFonts w:ascii="David" w:cs="David" w:eastAsia="David" w:hAnsi="David"/>
          <w:b w:val="false"/>
          <w:bCs w:val="false"/>
          <w:sz w:val="24"/>
          <w:szCs w:val="24"/>
          <w:rtl/>
        </w:rPr>
        <w:t xml:space="preserve"/>
      </w:r>
    </w:p>
    <w:p>
      <w:pPr>
        <w:bidi/>
        <w:spacing w:after="120" w:line="360" w:lineRule="auto"/>
        <w:jc w:val="right"/>
      </w:pPr>
      <w:r>
        <w:rPr>
          <w:rFonts w:ascii="David" w:cs="David" w:eastAsia="David" w:hAnsi="David"/>
          <w:b w:val="false"/>
          <w:bCs w:val="false"/>
          <w:sz w:val="24"/>
          <w:szCs w:val="24"/>
          <w:rtl/>
        </w:rPr>
        <w:t xml:space="preserve"/>
      </w:r>
    </w:p>
    <w:p>
      <w:pPr>
        <w:bidi/>
        <w:spacing w:after="120" w:line="360" w:lineRule="auto"/>
        <w:jc w:val="center"/>
      </w:pPr>
      <w:r>
        <w:rPr>
          <w:rFonts w:ascii="David" w:cs="David" w:eastAsia="David" w:hAnsi="David"/>
          <w:b/>
          <w:bCs/>
          <w:sz w:val="30"/>
          <w:szCs w:val="30"/>
          <w:rtl/>
        </w:rPr>
        <w:t xml:space="preserve">הקריה האקדמית אונו</w:t>
      </w:r>
    </w:p>
    <w:p>
      <w:pPr>
        <w:bidi/>
        <w:spacing w:after="120" w:line="360" w:lineRule="auto"/>
        <w:jc w:val="center"/>
      </w:pPr>
      <w:r>
        <w:rPr>
          <w:rFonts w:ascii="David" w:cs="David" w:eastAsia="David" w:hAnsi="David"/>
          <w:b/>
          <w:bCs/>
          <w:sz w:val="32"/>
          <w:szCs w:val="32"/>
          <w:rtl/>
        </w:rPr>
        <w:t xml:space="preserve">התוכנית למדעי היהדות</w:t>
      </w:r>
    </w:p>
    <w:p>
      <w:pPr>
        <w:bidi/>
        <w:spacing w:after="120" w:line="360" w:lineRule="auto"/>
        <w:jc w:val="center"/>
      </w:pPr>
      <w:r>
        <w:rPr>
          <w:rFonts w:ascii="David" w:cs="David" w:eastAsia="David" w:hAnsi="David"/>
          <w:b w:val="false"/>
          <w:bCs w:val="false"/>
          <w:sz w:val="28"/>
          <w:szCs w:val="28"/>
          <w:rtl/>
        </w:rPr>
        <w:t xml:space="preserve">לימודים לתואר מוסמך (.M.A) ביהדות</w:t>
      </w:r>
    </w:p>
    <w:p>
      <w:pPr>
        <w:bidi/>
        <w:spacing w:after="120" w:line="360" w:lineRule="auto"/>
        <w:jc w:val="right"/>
      </w:pPr>
      <w:r>
        <w:rPr>
          <w:rFonts w:ascii="David" w:cs="David" w:eastAsia="David" w:hAnsi="David"/>
          <w:b w:val="false"/>
          <w:bCs w:val="false"/>
          <w:sz w:val="24"/>
          <w:szCs w:val="24"/>
          <w:rtl/>
        </w:rPr>
        <w:t xml:space="preserve"/>
      </w:r>
    </w:p>
    <w:p>
      <w:pPr>
        <w:bidi/>
        <w:spacing w:after="120" w:line="360" w:lineRule="auto"/>
        <w:jc w:val="right"/>
      </w:pPr>
      <w:r>
        <w:rPr>
          <w:rFonts w:ascii="David" w:cs="David" w:eastAsia="David" w:hAnsi="David"/>
          <w:b w:val="false"/>
          <w:bCs w:val="false"/>
          <w:sz w:val="24"/>
          <w:szCs w:val="24"/>
          <w:rtl/>
        </w:rPr>
        <w:t xml:space="preserve"/>
      </w:r>
    </w:p>
    <w:p>
      <w:pPr>
        <w:bidi/>
        <w:spacing w:after="120" w:line="360" w:lineRule="auto"/>
        <w:jc w:val="center"/>
      </w:pPr>
      <w:r>
        <w:rPr>
          <w:rFonts w:ascii="David" w:cs="David" w:eastAsia="David" w:hAnsi="David"/>
          <w:b w:val="false"/>
          <w:bCs w:val="false"/>
          <w:sz w:val="28"/>
          <w:szCs w:val="28"/>
          <w:rtl/>
        </w:rPr>
        <w:t xml:space="preserve">עבודת סיום קורס:</w:t>
      </w:r>
    </w:p>
    <w:p>
      <w:pPr>
        <w:bidi/>
        <w:spacing w:after="120" w:line="360" w:lineRule="auto"/>
        <w:jc w:val="center"/>
      </w:pPr>
      <w:r>
        <w:rPr>
          <w:rFonts w:ascii="David" w:cs="David" w:eastAsia="David" w:hAnsi="David"/>
          <w:b/>
          <w:bCs/>
          <w:sz w:val="36"/>
          <w:szCs w:val="36"/>
          <w:rtl/>
        </w:rPr>
        <w:t xml:space="preserve">אדם, ספרות ומעשה בימי חז"ל</w:t>
      </w:r>
    </w:p>
    <w:p>
      <w:pPr>
        <w:bidi/>
        <w:spacing w:after="120" w:line="360" w:lineRule="auto"/>
        <w:jc w:val="right"/>
      </w:pPr>
      <w:r>
        <w:rPr>
          <w:rFonts w:ascii="David" w:cs="David" w:eastAsia="David" w:hAnsi="David"/>
          <w:b w:val="false"/>
          <w:bCs w:val="false"/>
          <w:sz w:val="24"/>
          <w:szCs w:val="24"/>
          <w:rtl/>
        </w:rPr>
        <w:t xml:space="preserve"/>
      </w:r>
    </w:p>
    <w:p>
      <w:pPr>
        <w:bidi/>
        <w:spacing w:after="120" w:line="360" w:lineRule="auto"/>
        <w:jc w:val="center"/>
      </w:pPr>
      <w:r>
        <w:rPr>
          <w:rFonts w:ascii="David" w:cs="David" w:eastAsia="David" w:hAnsi="David"/>
          <w:b w:val="false"/>
          <w:bCs w:val="false"/>
          <w:sz w:val="26"/>
          <w:szCs w:val="26"/>
          <w:rtl/>
        </w:rPr>
        <w:t xml:space="preserve">סמסטר ב תשפ"ו</w:t>
      </w:r>
    </w:p>
    <w:p>
      <w:pPr>
        <w:bidi/>
        <w:spacing w:after="120" w:line="360" w:lineRule="auto"/>
        <w:jc w:val="center"/>
      </w:pPr>
      <w:r>
        <w:rPr>
          <w:rFonts w:ascii="David" w:cs="David" w:eastAsia="David" w:hAnsi="David"/>
          <w:b w:val="false"/>
          <w:bCs w:val="false"/>
          <w:sz w:val="26"/>
          <w:szCs w:val="26"/>
          <w:rtl/>
        </w:rPr>
        <w:t xml:space="preserve">שם המרצה: הרב חגית סבאג ישראל</w:t>
      </w:r>
    </w:p>
    <w:p>
      <w:pPr>
        <w:bidi/>
        <w:spacing w:after="120" w:line="360" w:lineRule="auto"/>
        <w:jc w:val="right"/>
      </w:pPr>
      <w:r>
        <w:rPr>
          <w:rFonts w:ascii="David" w:cs="David" w:eastAsia="David" w:hAnsi="David"/>
          <w:b w:val="false"/>
          <w:bCs w:val="false"/>
          <w:sz w:val="24"/>
          <w:szCs w:val="24"/>
          <w:rtl/>
        </w:rPr>
        <w:t xml:space="preserve"/>
      </w:r>
    </w:p>
    <w:p>
      <w:pPr>
        <w:bidi/>
        <w:spacing w:after="120" w:line="360" w:lineRule="auto"/>
        <w:jc w:val="right"/>
      </w:pPr>
      <w:r>
        <w:rPr>
          <w:rFonts w:ascii="David" w:cs="David" w:eastAsia="David" w:hAnsi="David"/>
          <w:b w:val="false"/>
          <w:bCs w:val="false"/>
          <w:sz w:val="24"/>
          <w:szCs w:val="24"/>
          <w:rtl/>
        </w:rPr>
        <w:t xml:space="preserve"/>
      </w:r>
    </w:p>
    <w:p>
      <w:pPr>
        <w:bidi/>
        <w:spacing w:after="120" w:line="360" w:lineRule="auto"/>
        <w:jc w:val="right"/>
      </w:pPr>
      <w:r>
        <w:rPr>
          <w:rFonts w:ascii="David" w:cs="David" w:eastAsia="David" w:hAnsi="David"/>
          <w:b w:val="false"/>
          <w:bCs w:val="false"/>
          <w:sz w:val="24"/>
          <w:szCs w:val="24"/>
          <w:rtl/>
        </w:rPr>
        <w:t xml:space="preserve"/>
      </w:r>
    </w:p>
    <w:p>
      <w:pPr>
        <w:bidi/>
        <w:spacing w:after="120" w:line="360" w:lineRule="auto"/>
        <w:jc w:val="center"/>
      </w:pPr>
      <w:r>
        <w:rPr>
          <w:rFonts w:ascii="David" w:cs="David" w:eastAsia="David" w:hAnsi="David"/>
          <w:b w:val="false"/>
          <w:bCs w:val="false"/>
          <w:sz w:val="26"/>
          <w:szCs w:val="26"/>
          <w:rtl/>
        </w:rPr>
        <w:t xml:space="preserve">מגישה: מסאלחה חסאן</w:t>
      </w:r>
    </w:p>
    <w:p>
      <w:pPr>
        <w:bidi/>
        <w:spacing w:after="120" w:line="360" w:lineRule="auto"/>
        <w:jc w:val="center"/>
      </w:pPr>
      <w:r>
        <w:rPr>
          <w:rFonts w:ascii="David" w:cs="David" w:eastAsia="David" w:hAnsi="David"/>
          <w:b w:val="false"/>
          <w:bCs w:val="false"/>
          <w:sz w:val="26"/>
          <w:szCs w:val="26"/>
          <w:rtl/>
        </w:rPr>
        <w:t xml:space="preserve">ת"ז: 205513898</w:t>
      </w:r>
    </w:p>
    <w:p>
      <w:pPr>
        <w:bidi/>
        <w:spacing w:after="120" w:line="360" w:lineRule="auto"/>
        <w:jc w:val="right"/>
      </w:pPr>
      <w:r>
        <w:rPr>
          <w:rFonts w:ascii="David" w:cs="David" w:eastAsia="David" w:hAnsi="David"/>
          <w:b w:val="false"/>
          <w:bCs w:val="false"/>
          <w:sz w:val="24"/>
          <w:szCs w:val="24"/>
          <w:rtl/>
        </w:rPr>
        <w:t xml:space="preserve"/>
      </w:r>
    </w:p>
    <w:p>
      <w:pPr>
        <w:bidi/>
        <w:spacing w:after="120" w:line="360" w:lineRule="auto"/>
        <w:jc w:val="center"/>
      </w:pPr>
      <w:r>
        <w:rPr>
          <w:rFonts w:ascii="David" w:cs="David" w:eastAsia="David" w:hAnsi="David"/>
          <w:b w:val="false"/>
          <w:bCs w:val="false"/>
          <w:sz w:val="24"/>
          <w:szCs w:val="24"/>
          <w:rtl/>
        </w:rPr>
        <w:t xml:space="preserve">אב תשפ"ו, יולי 2026</w:t>
      </w:r>
    </w:p>
    <w:p>
      <w:r>
        <w:br w:type="page"/>
      </w:r>
    </w:p>
    <w:p>
      <w:pPr>
        <w:bidi/>
        <w:spacing w:after="120" w:before="240" w:line="360" w:lineRule="auto"/>
        <w:jc w:val="right"/>
      </w:pPr>
      <w:r>
        <w:rPr>
          <w:rFonts w:ascii="David" w:cs="David" w:eastAsia="David" w:hAnsi="David"/>
          <w:b/>
          <w:bCs/>
          <w:sz w:val="28"/>
          <w:szCs w:val="28"/>
          <w:rtl/>
        </w:rPr>
        <w:t xml:space="preserve">שאלה 1: מקור טקסטואלי לדברים בפני קבוצה</w:t>
      </w:r>
    </w:p>
    <w:p>
      <w:pPr>
        <w:bidi/>
        <w:spacing w:after="60" w:before="120" w:line="360" w:lineRule="auto"/>
        <w:jc w:val="right"/>
      </w:pPr>
      <w:r>
        <w:rPr>
          <w:rFonts w:ascii="David" w:cs="David" w:eastAsia="David" w:hAnsi="David"/>
          <w:b/>
          <w:bCs/>
          <w:sz w:val="24"/>
          <w:szCs w:val="24"/>
          <w:rtl/>
        </w:rPr>
        <w:t xml:space="preserve">א. הטקסט הנבחר</w:t>
      </w:r>
    </w:p>
    <w:p>
      <w:pPr>
        <w:bidi/>
        <w:spacing w:after="120" w:line="360" w:lineRule="auto"/>
        <w:jc w:val="both"/>
      </w:pPr>
      <w:r>
        <w:rPr>
          <w:rFonts w:ascii="David" w:cs="David" w:eastAsia="David" w:hAnsi="David"/>
          <w:b w:val="false"/>
          <w:bCs w:val="false"/>
          <w:sz w:val="24"/>
          <w:szCs w:val="24"/>
          <w:rtl/>
        </w:rPr>
        <w:t xml:space="preserve">נבחרתי לשאת דברים בפתיחת שנת הפעילות של צוות שאני שותפה בהובלתו, ובחרתי לבסס את הדברים על סוגיית עגלה ערופה שנלמדה במפגש הראשון. התורה (דברים כא) קובעת שכאשר נמצא חלל בשדה ואין יודעים מי הכהו, יוצאים זקני העיר הקרובה אל נחל איתן, עורפים שם עגלה ומצהירים שידיהם לא שפכו את הדם הזה. המשנה שואלת את השאלה המתבקשת, וכי עלה על הדעת שזקני בית דין רוצחים, ומשיבה:</w:t>
      </w:r>
    </w:p>
    <w:p>
      <w:pPr>
        <w:bidi/>
        <w:spacing w:after="120" w:line="360" w:lineRule="auto"/>
        <w:ind w:left="567" w:right="567"/>
        <w:jc w:val="both"/>
      </w:pPr>
      <w:r>
        <w:rPr>
          <w:rFonts w:ascii="David" w:cs="David" w:eastAsia="David" w:hAnsi="David"/>
          <w:i/>
          <w:iCs/>
          <w:sz w:val="24"/>
          <w:szCs w:val="24"/>
          <w:rtl/>
        </w:rPr>
        <w:t xml:space="preserve">"אלא: שלא בא לידינו ופטרנוהו בלא מזון, ולא ראינוהו והנחנוהו בלא לויה."</w:t>
      </w:r>
      <w:r>
        <w:rPr>
          <w:rStyle w:val="FootnoteReference"/>
        </w:rPr>
        <w:footnoteReference w:id="1"/>
      </w:r>
    </w:p>
    <w:p>
      <w:pPr>
        <w:bidi/>
        <w:spacing w:after="120" w:line="360" w:lineRule="auto"/>
        <w:jc w:val="both"/>
      </w:pPr>
      <w:r>
        <w:rPr>
          <w:rFonts w:ascii="David" w:cs="David" w:eastAsia="David" w:hAnsi="David"/>
          <w:sz w:val="24"/>
          <w:szCs w:val="24"/>
          <w:rtl/>
        </w:rPr>
        <w:t xml:space="preserve">ההצהרה, מתברר, אינה על הרצח אלא על המחדל: הזקנים מעידים שהאיש לא יצא מעירם רעב ובלא ליווי. התלמוד מרחיב את הרעיון ומחריף אותו: "כל שאינו מלוה ומתלוה כאילו שופך דמים"</w:t>
      </w:r>
      <w:r>
        <w:rPr>
          <w:rStyle w:val="FootnoteReference"/>
        </w:rPr>
        <w:footnoteReference w:id="2"/>
      </w:r>
      <w:r>
        <w:rPr>
          <w:rFonts w:ascii="David" w:cs="David" w:eastAsia="David" w:hAnsi="David"/>
          <w:sz w:val="24"/>
          <w:szCs w:val="24"/>
          <w:rtl/>
        </w:rPr>
        <w:t xml:space="preserve">, ולצד האזהרה מובאת שם גם הבטחה, שהמלווה את חברו ארבע אמות בעיר שוב אינו ניזוק. בהמשך הסוגיה מלמד רבי יהושע בן לוי שהמהלך בדרך בלא לוויה יעסוק בתורה, ומעשיהם של אמוראים המלווים זה את זה ארבע אמות בעיר נמסרים שם כעדות לערך שהפך לנורמה של ממש.</w:t>
      </w:r>
    </w:p>
    <w:p>
      <w:pPr>
        <w:bidi/>
        <w:spacing w:after="60" w:before="120" w:line="360" w:lineRule="auto"/>
        <w:jc w:val="right"/>
      </w:pPr>
      <w:r>
        <w:rPr>
          <w:rFonts w:ascii="David" w:cs="David" w:eastAsia="David" w:hAnsi="David"/>
          <w:b/>
          <w:bCs/>
          <w:sz w:val="24"/>
          <w:szCs w:val="24"/>
          <w:rtl/>
        </w:rPr>
        <w:t xml:space="preserve">ב. תיאור הטקסט</w:t>
      </w:r>
    </w:p>
    <w:p>
      <w:pPr>
        <w:bidi/>
        <w:spacing w:after="120" w:line="360" w:lineRule="auto"/>
        <w:jc w:val="both"/>
      </w:pPr>
      <w:r>
        <w:rPr>
          <w:rFonts w:ascii="David" w:cs="David" w:eastAsia="David" w:hAnsi="David"/>
          <w:sz w:val="24"/>
          <w:szCs w:val="24"/>
          <w:rtl/>
        </w:rPr>
        <w:t xml:space="preserve">מקור הטקסט במשנה, מסכת סוטה, בפרק התשיעי, העוסק בטקסים שבטלו; באותו פרק עצמו נמסר שמשרבו הרוצחים בטלה עגלה ערופה, כלומר המשנה מתארת טקס שכבר איננו, ובכל זאת טורחת לדרוש את משמעותו. הרחבת הדברים בסוגיה בבבלי שם. הדמויות המרכזיות הן זקני העיר והכוהנים, כלומר ההנהגה, ומולם החלל האלמוני שאיש אינו יודע את שמו. הסיטואציה היא מוות שאין לו אשם ידוע, ודווקא בו מחייבים התורה וחז"ל את ההנהגה כולה לצאת אל הנחל ולתת דין וחשבון פומבי. בקורס נלמד המקור כדוגמה לתנועה של חז"ל מן המקרא אל המשנה ואל התלמוד: מטקס כפרה פולחני אל אמירה מוסרית על אחריות חברתית</w:t>
      </w:r>
      <w:r>
        <w:rPr>
          <w:rStyle w:val="FootnoteReference"/>
        </w:rPr>
        <w:footnoteReference w:id="3"/>
      </w:r>
      <w:r>
        <w:rPr>
          <w:rFonts w:ascii="David" w:cs="David" w:eastAsia="David" w:hAnsi="David"/>
          <w:sz w:val="24"/>
          <w:szCs w:val="24"/>
          <w:rtl/>
        </w:rPr>
        <w:t xml:space="preserve">.</w:t>
      </w:r>
    </w:p>
    <w:p>
      <w:pPr>
        <w:bidi/>
        <w:spacing w:after="60" w:before="120" w:line="360" w:lineRule="auto"/>
        <w:jc w:val="right"/>
      </w:pPr>
      <w:r>
        <w:rPr>
          <w:rFonts w:ascii="David" w:cs="David" w:eastAsia="David" w:hAnsi="David"/>
          <w:b/>
          <w:bCs/>
          <w:sz w:val="24"/>
          <w:szCs w:val="24"/>
          <w:rtl/>
        </w:rPr>
        <w:t xml:space="preserve">ג. מדוע הטקסט מתאים ורלוונטי</w:t>
      </w:r>
    </w:p>
    <w:p>
      <w:pPr>
        <w:bidi/>
        <w:spacing w:after="120" w:line="360" w:lineRule="auto"/>
        <w:jc w:val="both"/>
      </w:pPr>
      <w:r>
        <w:rPr>
          <w:rFonts w:ascii="David" w:cs="David" w:eastAsia="David" w:hAnsi="David"/>
          <w:b w:val="false"/>
          <w:bCs w:val="false"/>
          <w:sz w:val="24"/>
          <w:szCs w:val="24"/>
          <w:rtl/>
        </w:rPr>
        <w:t xml:space="preserve">הטקסט מתאים לדעתי משום שהוא אומר בדיוק את מה שאני מבקשת לחדד: קבוצה נמדדת במה שקל לה להזניח. הזקנים אינם נחשדים ברצח. הם נתבעים על ליווי שלא ניתן ועל מזון שלא הוצע. אחריות, על פי חז"ל, אינה מסתכמת בהימנעות מפגיעה; היא חובת נוכחות פעילה: לראות את מי שבשוליים, ללוות את היוצא לדרך, לא להניח לאיש לצאת מן העיר לבדו. עבור צוות בתחילת שנה זו אמירה מעשית מאוד. תרבות של קבוצה מתגלה ברגעי הפרידה והמעבר של חבריה, ובשאלה אם מישהו נעלם ואיש לא שם לב. האמירה שהובאה לעיל, שמי שאינו מלווה כמוהו כשופך דמים, חריפה במתכוון, והחריפות הזאת היא שנחקקת בזיכרון השומעים. אודה שהמשנה הזאת שינתה גם את הרגלי שלי: מאז שלמדנו אותה אני מוצאת את עצמי בודקת, בסוף כל מפגש, מי יצא מן החדר בלי שמישהו הלך איתו כברת דרך. את הבדיקה הפשוטה הזאת, ולא רעיון מופשט על ערבות הדדית, אני מבקשת להנחיל לחברי הצוות בדבריי.</w:t>
      </w:r>
    </w:p>
    <w:p>
      <w:r>
        <w:br w:type="page"/>
      </w:r>
    </w:p>
    <w:p>
      <w:pPr>
        <w:bidi/>
        <w:spacing w:after="120" w:before="240" w:line="360" w:lineRule="auto"/>
        <w:jc w:val="right"/>
      </w:pPr>
      <w:r>
        <w:rPr>
          <w:rFonts w:ascii="David" w:cs="David" w:eastAsia="David" w:hAnsi="David"/>
          <w:b/>
          <w:bCs/>
          <w:sz w:val="28"/>
          <w:szCs w:val="28"/>
          <w:rtl/>
        </w:rPr>
        <w:t xml:space="preserve">שאלה 2: החיבור המשמעותי ביותר בתקופת חז"ל: המשנה</w:t>
      </w:r>
    </w:p>
    <w:p>
      <w:pPr>
        <w:bidi/>
        <w:spacing w:after="60" w:before="120" w:line="360" w:lineRule="auto"/>
        <w:jc w:val="right"/>
      </w:pPr>
      <w:r>
        <w:rPr>
          <w:rFonts w:ascii="David" w:cs="David" w:eastAsia="David" w:hAnsi="David"/>
          <w:b/>
          <w:bCs/>
          <w:sz w:val="24"/>
          <w:szCs w:val="24"/>
          <w:rtl/>
        </w:rPr>
        <w:t xml:space="preserve">א. תיאור החיבור</w:t>
      </w:r>
    </w:p>
    <w:p>
      <w:pPr>
        <w:bidi/>
        <w:spacing w:after="120" w:line="360" w:lineRule="auto"/>
        <w:jc w:val="both"/>
      </w:pPr>
      <w:r>
        <w:rPr>
          <w:rFonts w:ascii="David" w:cs="David" w:eastAsia="David" w:hAnsi="David"/>
          <w:sz w:val="24"/>
          <w:szCs w:val="24"/>
          <w:rtl/>
        </w:rPr>
        <w:t xml:space="preserve">החיבור המשמעותי ביותר בעיניי מתקופת חז"ל הוא המשנה. המשנה נערכה בארץ ישראל בסביבות שנת 220 לספירה בידי רבי יהודה הנשיא ("רבי"), כסיכום ההלכה התנאית שהתפתחה בבתי המדרש מדורות בית הלל ובית שמאי, דרך משנת רבי עקיבא ותלמידיו, ועד דורו של העורך. מאפייניה, כפי שנלמדו בעקבות מבואו של הלברטל</w:t>
      </w:r>
      <w:r>
        <w:rPr>
          <w:rStyle w:val="FootnoteReference"/>
        </w:rPr>
        <w:footnoteReference w:id="4"/>
      </w:r>
      <w:r>
        <w:rPr>
          <w:rFonts w:ascii="David" w:cs="David" w:eastAsia="David" w:hAnsi="David"/>
          <w:sz w:val="24"/>
          <w:szCs w:val="24"/>
          <w:rtl/>
        </w:rPr>
        <w:t xml:space="preserve">: היקף עצום ויומרה לסכם את כלל הידע ההלכתי; ארגון ענייני בשישה סדרים (זרעים, מועד, נשים, נזיקין, קדשים, טהרות) ולא לפי סדר פסוקי המקרא; עברית ייחודית, "לשון חכמים", קצרה, מדודה וכמעט בלא הנמקות; ועריכה כרצף מחלוקות המשמרת דעות רבים ויחיד בשם אומריהן. המניעים לעריכה שנידונו בשיעור: חשש מאובדן המסורת בתקופה סוערת שלאחר החורבן והמרידות, התרחבות הידע והקושי לשלוט בו, והצורך לשמר את המסורת בלא תלות במוסדות ריכוזיים שחרבו</w:t>
      </w:r>
      <w:r>
        <w:rPr>
          <w:rStyle w:val="FootnoteReference"/>
        </w:rPr>
        <w:footnoteReference w:id="5"/>
      </w:r>
      <w:r>
        <w:rPr>
          <w:rFonts w:ascii="David" w:cs="David" w:eastAsia="David" w:hAnsi="David"/>
          <w:sz w:val="24"/>
          <w:szCs w:val="24"/>
          <w:rtl/>
        </w:rPr>
        <w:t xml:space="preserve">. לצד המשנה הוצגה בשיעור גם התוספתא, קובץ תנאי מקביל ורחב ממנה המיוחס לתלמידי רבי, וההשוואה בין השתיים מבליטה עד כמה עריכת המשנה קפדנית וחסכנית.</w:t>
      </w:r>
    </w:p>
    <w:p>
      <w:pPr>
        <w:bidi/>
        <w:spacing w:after="60" w:before="120" w:line="360" w:lineRule="auto"/>
        <w:jc w:val="right"/>
      </w:pPr>
      <w:r>
        <w:rPr>
          <w:rFonts w:ascii="David" w:cs="David" w:eastAsia="David" w:hAnsi="David"/>
          <w:b/>
          <w:bCs/>
          <w:sz w:val="24"/>
          <w:szCs w:val="24"/>
          <w:rtl/>
        </w:rPr>
        <w:t xml:space="preserve">ב. משמעות החיבור והשינוי שחולל</w:t>
      </w:r>
    </w:p>
    <w:p>
      <w:pPr>
        <w:bidi/>
        <w:spacing w:after="120" w:line="360" w:lineRule="auto"/>
        <w:jc w:val="both"/>
      </w:pPr>
      <w:r>
        <w:rPr>
          <w:rFonts w:ascii="David" w:cs="David" w:eastAsia="David" w:hAnsi="David"/>
          <w:sz w:val="24"/>
          <w:szCs w:val="24"/>
          <w:rtl/>
        </w:rPr>
        <w:t xml:space="preserve">המשנה היא החיבור הראשון שהעלה את התורה שבעל פה מאוסף מסורות מפוזרות לכדי קורפוס ערוך ומחייב, ומכאן עיקר כוחה. אחרי החורבן, משבטלה עבודת הקרבנות, נעשה לימוד הטקסט למרכז החיים הדתיים, והמשנה היא שהעניקה ללימוד הזה צורה: בלשון מצגת הקורס, היא "הזיכרון המארגן" של עולם החכמים</w:t>
      </w:r>
      <w:r>
        <w:rPr>
          <w:rStyle w:val="FootnoteReference"/>
        </w:rPr>
        <w:footnoteReference w:id="6"/>
      </w:r>
      <w:r>
        <w:rPr>
          <w:rFonts w:ascii="David" w:cs="David" w:eastAsia="David" w:hAnsi="David"/>
          <w:sz w:val="24"/>
          <w:szCs w:val="24"/>
          <w:rtl/>
        </w:rPr>
        <w:t xml:space="preserve">. ראוי לשים לב שגם לאחר העריכה נשארה המשנה תורה שבעל פה במלוא מובן המילה: רבי ערך אותה אך המשיך למוסרה לתלמידיו על פה, ובבית המדרש התקיים תפקיד מיוחד, ה"תנא", השונה את המשניות בעל פה. היא גם יצרה שפה משותפת לעם כולו. שני התלמודים, הבבלי והירושלמי, נבנו כפירוש עליה, וכל ספרות ההלכה שאחריהם נשענת עליה עד ימינו. ושינוי נוסף, מהפכני לא פחות: בעריכתה כרצף מחלוקות קיבעה המשנה את המחלוקת הלגיטימית כדרכה של תורה שבעל פה. בניגוד לחתירה לאחידות שאפיינה את האמונה המקראית, בית המדרש רואה בריבוי דעות ובביקורת הדדית את הדרך לבירור האמת.</w:t>
      </w:r>
    </w:p>
    <w:p>
      <w:pPr>
        <w:bidi/>
        <w:spacing w:after="60" w:before="120" w:line="360" w:lineRule="auto"/>
        <w:jc w:val="right"/>
      </w:pPr>
      <w:r>
        <w:rPr>
          <w:rFonts w:ascii="David" w:cs="David" w:eastAsia="David" w:hAnsi="David"/>
          <w:b/>
          <w:bCs/>
          <w:sz w:val="24"/>
          <w:szCs w:val="24"/>
          <w:rtl/>
        </w:rPr>
        <w:t xml:space="preserve">ג. דוגמה מתוך החיבור</w:t>
      </w:r>
    </w:p>
    <w:p>
      <w:pPr>
        <w:bidi/>
        <w:spacing w:after="120" w:line="360" w:lineRule="auto"/>
        <w:jc w:val="both"/>
      </w:pPr>
      <w:r>
        <w:rPr>
          <w:rFonts w:ascii="David" w:cs="David" w:eastAsia="David" w:hAnsi="David"/>
          <w:b w:val="false"/>
          <w:bCs w:val="false"/>
          <w:sz w:val="24"/>
          <w:szCs w:val="24"/>
          <w:rtl/>
        </w:rPr>
        <w:t xml:space="preserve">דוגמה הממחישה זאת, מתוך דף החברותא על מאפייני המשנה: משנה, מסכת סוכה פרק א, משנה א.</w:t>
      </w:r>
    </w:p>
    <w:p>
      <w:pPr>
        <w:bidi/>
        <w:spacing w:after="120" w:line="360" w:lineRule="auto"/>
        <w:ind w:left="567" w:right="567"/>
        <w:jc w:val="both"/>
      </w:pPr>
      <w:r>
        <w:rPr>
          <w:rFonts w:ascii="David" w:cs="David" w:eastAsia="David" w:hAnsi="David"/>
          <w:i/>
          <w:iCs/>
          <w:sz w:val="24"/>
          <w:szCs w:val="24"/>
          <w:rtl/>
        </w:rPr>
        <w:t xml:space="preserve">"סֻכָּה שֶׁהִיא גְבוֹהָה לְמַעְלָה מֵעֶשְׂרִים אַמָּה, פְּסוּלָה. רַבִּי יְהוּדָה מַכְשִׁיר. וְשֶׁאֵינָהּ גְּבוֹהָה עֲשָׂרָה טְפָחִים, וְשֶׁאֵין לָהּ שְׁלֹשָׁה דְּפָנוֹת, וְשֶׁחַמָּתָהּ מְרֻבָּה מִצִּלָּתָהּ, פְּסוּלָה."</w:t>
      </w:r>
      <w:r>
        <w:rPr>
          <w:rStyle w:val="FootnoteReference"/>
        </w:rPr>
        <w:footnoteReference w:id="7"/>
      </w:r>
    </w:p>
    <w:p>
      <w:pPr>
        <w:bidi/>
        <w:spacing w:after="120" w:line="360" w:lineRule="auto"/>
        <w:jc w:val="both"/>
      </w:pPr>
      <w:r>
        <w:rPr>
          <w:rFonts w:ascii="David" w:cs="David" w:eastAsia="David" w:hAnsi="David"/>
          <w:b w:val="false"/>
          <w:bCs w:val="false"/>
          <w:sz w:val="24"/>
          <w:szCs w:val="24"/>
          <w:rtl/>
        </w:rPr>
        <w:t xml:space="preserve">במשנה קצרה זו ניכר כל מה שתואר לעיל. היא פותחת מסכת שלמה המוקדשת לנושא אחד, הסוכה, בלא זיקה לסדר הפסוקים. לשונה פסקנית, בלשון חכמים החיה של ארץ ישראל, קובעת שיעורים מספריים מדויקים במונחים קצובים, עשרים אמה, עשרה טפחים, שלוש דפנות, ואינה מנמקת דבר. והיא משמרת בגוף ההלכה את דעת היחיד החולקת, זו של רבי יהודה, בלא הכרעה מפורשת ובלא מחיקת הדעה שנדחתה. כך נראה השינוי שחוללה המשנה הלכה למעשה: חוק מקיף ומאורגן שהמחלוקת אינה תקלה בו אלא חלק ממהותו, והוא שהזמין את הדורות הבאים, בתלמודים ואילך, להמשיך ולדון בו.</w:t>
      </w:r>
    </w:p>
    <w:p>
      <w:r>
        <w:br w:type="page"/>
      </w:r>
    </w:p>
    <w:p>
      <w:pPr>
        <w:bidi/>
        <w:spacing w:after="120" w:before="240" w:line="360" w:lineRule="auto"/>
        <w:jc w:val="right"/>
      </w:pPr>
      <w:r>
        <w:rPr>
          <w:rFonts w:ascii="David" w:cs="David" w:eastAsia="David" w:hAnsi="David"/>
          <w:b/>
          <w:bCs/>
          <w:sz w:val="28"/>
          <w:szCs w:val="28"/>
          <w:rtl/>
        </w:rPr>
        <w:t xml:space="preserve">שאלה 3: הקטע מתוך הסרט "אגדת חורבן"</w:t>
      </w:r>
    </w:p>
    <w:p>
      <w:pPr>
        <w:bidi/>
        <w:spacing w:after="60" w:before="120" w:line="360" w:lineRule="auto"/>
        <w:jc w:val="right"/>
      </w:pPr>
      <w:r>
        <w:rPr>
          <w:rFonts w:ascii="David" w:cs="David" w:eastAsia="David" w:hAnsi="David"/>
          <w:b/>
          <w:bCs/>
          <w:sz w:val="24"/>
          <w:szCs w:val="24"/>
          <w:rtl/>
        </w:rPr>
        <w:t xml:space="preserve">א. המדרש שעליו מבוסס הקטע</w:t>
      </w:r>
    </w:p>
    <w:p>
      <w:pPr>
        <w:bidi/>
        <w:spacing w:after="120" w:line="360" w:lineRule="auto"/>
        <w:jc w:val="both"/>
      </w:pPr>
      <w:r>
        <w:rPr>
          <w:rFonts w:ascii="David" w:cs="David" w:eastAsia="David" w:hAnsi="David"/>
          <w:b w:val="false"/>
          <w:bCs w:val="false"/>
          <w:sz w:val="24"/>
          <w:szCs w:val="24"/>
          <w:rtl/>
        </w:rPr>
        <w:t xml:space="preserve">הקטע (דקות 01:03:30 עד 01:10:00) מבוסס על אגדת יציאתו של רבן יוחנן בן זכאי מירושלים הנצורה, שנלמדה ביחידה "צמיחה מתוך משבר". האגדה באה בבבלי בתוך קובץ שלם של סיפורי חורבן במסכת גיטין, והיא מוכרת בגרסאות נוספות בספרות חז"ל, ובהן איכה רבה ואבות דרבי נתן. להלן החלק הרלוונטי, בתרגום לעברית על פי דף המקורות של הקורס:</w:t>
      </w:r>
    </w:p>
    <w:p>
      <w:pPr>
        <w:bidi/>
        <w:spacing w:after="120" w:line="360" w:lineRule="auto"/>
        <w:ind w:left="567" w:right="567"/>
        <w:jc w:val="both"/>
      </w:pPr>
      <w:r>
        <w:rPr>
          <w:rFonts w:ascii="David" w:cs="David" w:eastAsia="David" w:hAnsi="David"/>
          <w:i/>
          <w:iCs/>
          <w:sz w:val="24"/>
          <w:szCs w:val="24"/>
          <w:rtl/>
        </w:rPr>
        <w:t xml:space="preserve">"אבא סיקרא, ראש בריוני ירושלים, בן אחותו של רבן יוחנן בן זכאי היה. שלח לו: בוא אלי בצנעה... אמר לו: עד מתי תעשו כך ותהרגו את העולם ברעב?... אמר לו: אני רואה תקנה בשבילי, שאצא [מן העיר]; אפשר שתהיה בזה הצלה מועטה... נכנס תחתיו [לארון] רבי אליעזר מצד אחד ורבי יהושע מצד אחר... רצו [הבריונים] לדקור אותו. אמר להם: יאמרו 'את רבם דקרו'!... אמר לו: תן לי יבנה וחכמיה, ושושלת רבן גמליאל, ורופאים שירפאו את רבי צדוק. קרא עליו רב יוסף, ויש אומרים רבי עקיבא: 'משיב חכמים אחור ודעתם יסכל'."</w:t>
      </w:r>
      <w:r>
        <w:rPr>
          <w:rStyle w:val="FootnoteReference"/>
        </w:rPr>
        <w:footnoteReference w:id="8"/>
      </w:r>
    </w:p>
    <w:p>
      <w:pPr>
        <w:bidi/>
        <w:spacing w:after="60" w:before="120" w:line="360" w:lineRule="auto"/>
        <w:jc w:val="right"/>
      </w:pPr>
      <w:r>
        <w:rPr>
          <w:rFonts w:ascii="David" w:cs="David" w:eastAsia="David" w:hAnsi="David"/>
          <w:b/>
          <w:bCs/>
          <w:sz w:val="24"/>
          <w:szCs w:val="24"/>
          <w:rtl/>
        </w:rPr>
        <w:t xml:space="preserve">ב. בין המדרש לסרט: דמיונות והבדלים</w:t>
      </w:r>
    </w:p>
    <w:p>
      <w:pPr>
        <w:bidi/>
        <w:spacing w:after="120" w:line="360" w:lineRule="auto"/>
        <w:jc w:val="both"/>
      </w:pPr>
      <w:r>
        <w:rPr>
          <w:rFonts w:ascii="David" w:cs="David" w:eastAsia="David" w:hAnsi="David"/>
          <w:sz w:val="24"/>
          <w:szCs w:val="24"/>
          <w:rtl/>
        </w:rPr>
        <w:t xml:space="preserve">שלושה דמיונות. האחד, שלד העלילה: פגישה חשאית בין רבן יוחנן לבין בן אחותו העומד בראש הקנאים, הכרה משותפת שהרעב מכלה את העיר, ותחבולת המוות המדומה, שבה מוצא הרב מירושלים בארון קבורה הנישא בידי תלמידיו. השני, סצנת השער: השומרים דורשים לדקור את הארון כדי לוודא שהמת אכן מת, והאחיין בולם אותם בטיעון של האגדה עצמה, שלא ייאמר כי הקנאים פגעו ברבם, והם נסוגים מתוך יראת כבוד לתורה. השלישי, המפגש עם אספסיינוס ומטרתו: בסרט כבמדרש מתייצב רבן יוחנן לפני המצביא הרומי ומנבא את גדולתו, שהאל בחר בו לכבוש את ירושלים; וההצלה המבוקשת איננה בשני המקורות הצלת העיר אלא הצלת התורה. רבן יוחנן אומר לבן בטיח שדאגתו נתונה לכך "שלא תאבד התורה שבעל פה מישראל"</w:t>
      </w:r>
      <w:r>
        <w:rPr>
          <w:rStyle w:val="FootnoteReference"/>
        </w:rPr>
        <w:footnoteReference w:id="9"/>
      </w:r>
      <w:r>
        <w:rPr>
          <w:rFonts w:ascii="David" w:cs="David" w:eastAsia="David" w:hAnsi="David"/>
          <w:sz w:val="24"/>
          <w:szCs w:val="24"/>
          <w:rtl/>
        </w:rPr>
        <w:t xml:space="preserve">, ניסוח קולנועי של הרעיון שיבשיל לבקשה על יבנה וחכמיה.</w:t>
      </w:r>
    </w:p>
    <w:p>
      <w:pPr>
        <w:bidi/>
        <w:spacing w:after="120" w:line="360" w:lineRule="auto"/>
        <w:jc w:val="both"/>
      </w:pPr>
      <w:r>
        <w:rPr>
          <w:rFonts w:ascii="David" w:cs="David" w:eastAsia="David" w:hAnsi="David"/>
          <w:sz w:val="24"/>
          <w:szCs w:val="24"/>
          <w:rtl/>
        </w:rPr>
        <w:t xml:space="preserve">ושלושה הבדלים. ראשית, דמות האחיין: בבבלי זהו אבא סיקרא, דמות לקונית המופיעה בתמונה אחת בלבד; בסרט, ההולך כאן בעקבות גרסת איכה רבה, זהו בן בטיח, גיבור ראשי בעל עלילה שלמה, המגיע אל דודו אבל על אמו ומיוסר על שריפת המחסנים שהמיטה את הרעב; אף פרטי התחבולה, גזרתו של בר גיורא שאיש לא ייצא מן החומות מלבד המתים והדבר המצחין שהונח במיטה, לקוחים ממסורת איכה רבה ואינם בבבלי. שנית, כיוון ההאשמה מתהפך: בבבלי רבן יוחנן הוא שמוכיח את אחיינו על שהקנאים מרעיבים את העולם; בסרט דווקא רבן יוחנן מרגיע את בן בטיח וקובע שהרעב היה גזרה משמיים ובן בטיח לא היה אלא שליחה, תיאולוגיה מפורשת שאין לה זכר באגדה. שלישית, סיום המפגש עם אספסיינוס מתהפך אף הוא: בבבלי הנבואה מתאמתת בו במקום, שליח מרומא מבשר על ההכתרה ואספסיינוס מזמין את רבן יוחנן לבקש בקשה, והביקורת התלמודית על צניעות הבקשה נשמעת מיד; בסרט אספסיינוס נותר ספקן, דוחה את הגמול, "אם תתגשם נבואתך תקבל את מבוקשך"</w:t>
      </w:r>
      <w:r>
        <w:rPr>
          <w:rStyle w:val="FootnoteReference"/>
        </w:rPr>
        <w:footnoteReference w:id="10"/>
      </w:r>
      <w:r>
        <w:rPr>
          <w:rFonts w:ascii="David" w:cs="David" w:eastAsia="David" w:hAnsi="David"/>
          <w:sz w:val="24"/>
          <w:szCs w:val="24"/>
          <w:rtl/>
        </w:rPr>
        <w:t xml:space="preserve">, ומשליך את רבן יוחנן למכלאת השבויים. הקטע נחתם בדמות הרב הכלוא הממלמל "תורה מגנא, תורה מצלא"</w:t>
      </w:r>
      <w:r>
        <w:rPr>
          <w:rStyle w:val="FootnoteReference"/>
        </w:rPr>
        <w:footnoteReference w:id="11"/>
      </w:r>
      <w:r>
        <w:rPr>
          <w:rFonts w:ascii="David" w:cs="David" w:eastAsia="David" w:hAnsi="David"/>
          <w:sz w:val="24"/>
          <w:szCs w:val="24"/>
          <w:rtl/>
        </w:rPr>
        <w:t xml:space="preserve">, ובהודאה שהחורבן בא על שנאת האחים: "נגזרה הגזרה. שלחנו יד איש באחיו"</w:t>
      </w:r>
      <w:r>
        <w:rPr>
          <w:rStyle w:val="FootnoteReference"/>
        </w:rPr>
        <w:footnoteReference w:id="12"/>
      </w:r>
      <w:r>
        <w:rPr>
          <w:rFonts w:ascii="David" w:cs="David" w:eastAsia="David" w:hAnsi="David"/>
          <w:sz w:val="24"/>
          <w:szCs w:val="24"/>
          <w:rtl/>
        </w:rPr>
        <w:t xml:space="preserve">. בקשת יבנה עצמה נדחית אל מעבר לגבול הקטע, וקול הביקורת של רב יוסף ורבי עקיבא נעדר ממנו כליל; הצופה נותר לשפוט בעצמו.</w:t>
      </w:r>
    </w:p>
    <w:p>
      <w:pPr>
        <w:bidi/>
        <w:spacing w:after="60" w:before="120" w:line="360" w:lineRule="auto"/>
        <w:jc w:val="right"/>
      </w:pPr>
      <w:r>
        <w:rPr>
          <w:rFonts w:ascii="David" w:cs="David" w:eastAsia="David" w:hAnsi="David"/>
          <w:b/>
          <w:bCs/>
          <w:sz w:val="24"/>
          <w:szCs w:val="24"/>
          <w:rtl/>
        </w:rPr>
        <w:t xml:space="preserve">ג. הסבר המדרש לאור המאמר מן הסילבוס</w:t>
      </w:r>
    </w:p>
    <w:p>
      <w:pPr>
        <w:bidi/>
        <w:spacing w:after="120" w:line="360" w:lineRule="auto"/>
        <w:jc w:val="both"/>
      </w:pPr>
      <w:r>
        <w:rPr>
          <w:rFonts w:ascii="David" w:cs="David" w:eastAsia="David" w:hAnsi="David"/>
          <w:sz w:val="24"/>
          <w:szCs w:val="24"/>
          <w:rtl/>
        </w:rPr>
        <w:t xml:space="preserve">במאמרה על הסיפור מציעה דליה מרקס לקרוא את האגדה כסיפור של מעתק: רגע המעבר ממציאות שבה יש לעם מרכז פולחני בירושלים אל מציאות שנדרשה למצוא קדושה בדרכים חדשות. האגדה, היא מדגישה, אינה מתארת את המעבר בלבד; היא יוצרת אותו ומעניקה לו משמעות</w:t>
      </w:r>
      <w:r>
        <w:rPr>
          <w:rStyle w:val="FootnoteReference"/>
        </w:rPr>
        <w:footnoteReference w:id="13"/>
      </w:r>
      <w:r>
        <w:rPr>
          <w:rFonts w:ascii="David" w:cs="David" w:eastAsia="David" w:hAnsi="David"/>
          <w:sz w:val="24"/>
          <w:szCs w:val="24"/>
          <w:rtl/>
        </w:rPr>
        <w:t xml:space="preserve">. בעקבות דבריו של ג'ונתן רוזן, המובאים בפתח המאמר, רואה מרקס במסע בארון המתים ביצוע סמלי של שינוי הצורה שעברה היהדות: היהודים מתו כעם של הגוף, של הארץ ושל פולחן המקדש, ונולדו מחדש כעם הספר</w:t>
      </w:r>
      <w:r>
        <w:rPr>
          <w:rStyle w:val="FootnoteReference"/>
        </w:rPr>
        <w:footnoteReference w:id="14"/>
      </w:r>
      <w:r>
        <w:rPr>
          <w:rFonts w:ascii="David" w:cs="David" w:eastAsia="David" w:hAnsi="David"/>
          <w:sz w:val="24"/>
          <w:szCs w:val="24"/>
          <w:rtl/>
        </w:rPr>
        <w:t xml:space="preserve">. רבן יוחנן חייב למות מוות סמלי כדי שדבר חדש יוכל להיוולד, והיציאה בארון היא הרפיה מאחיזה בירושלים שדינה נגזר. מרקס אף מצביעה על כך שבגרסת איכה רבה, זו שהסרט שואב ממנה כמה מפרטיו, מצטרף אל המוות הסמלי מעין היריון סמלי: הארון הסגור הוא גם רחם, שממנו נולד העם מחדש אל מציאות אחרת. הקריאה הזאת מאירה היטב את הקטע: בן בטיח עסוק באבנים, בעצים ובאשמת המתים, ואילו רבן יוחנן כבר חי את המציאות הבאה. את הבקשה על יבנה וחכמיה מסבירה מרקס, בעקבות שרמר, כהעמדת שכבת החכמים בראש העם: יבנה וחכמיה באות תחת ירושלים ובית מקדשה</w:t>
      </w:r>
      <w:r>
        <w:rPr>
          <w:rStyle w:val="FootnoteReference"/>
        </w:rPr>
        <w:footnoteReference w:id="15"/>
      </w:r>
      <w:r>
        <w:rPr>
          <w:rFonts w:ascii="David" w:cs="David" w:eastAsia="David" w:hAnsi="David"/>
          <w:sz w:val="24"/>
          <w:szCs w:val="24"/>
          <w:rtl/>
        </w:rPr>
        <w:t xml:space="preserve">. גם המסורת המגנה את רבן יוחנן נקראת אצלה כהעמדה מכוונת של שני עולמות זה מול זה, רב יוסף הצופה מבבל מזה, ורבי עקיבא, שבחר בדור בר כוכבא בדרך ההפוכה, מזה. התלמוד הנציח את הסיפור יחד עם המחלוקת עליו.</w:t>
      </w:r>
    </w:p>
    <w:p>
      <w:pPr>
        <w:bidi/>
        <w:spacing w:after="60" w:before="120" w:line="360" w:lineRule="auto"/>
        <w:jc w:val="right"/>
      </w:pPr>
      <w:r>
        <w:rPr>
          <w:rFonts w:ascii="David" w:cs="David" w:eastAsia="David" w:hAnsi="David"/>
          <w:b/>
          <w:bCs/>
          <w:sz w:val="24"/>
          <w:szCs w:val="24"/>
          <w:rtl/>
        </w:rPr>
        <w:t xml:space="preserve">ד. משמעות המדרש לימינו</w:t>
      </w:r>
    </w:p>
    <w:p>
      <w:pPr>
        <w:bidi/>
        <w:spacing w:after="120" w:line="360" w:lineRule="auto"/>
        <w:jc w:val="both"/>
      </w:pPr>
      <w:r>
        <w:rPr>
          <w:rFonts w:ascii="David" w:cs="David" w:eastAsia="David" w:hAnsi="David"/>
          <w:sz w:val="24"/>
          <w:szCs w:val="24"/>
          <w:rtl/>
        </w:rPr>
        <w:t xml:space="preserve">זהו בעיניי המדרש הנלמד ביותר משום שהוא הסיפור המכונן של צמיחה מתוך משבר, הציר שעליו נבנתה היהדות הרבנית כולה. יבנה נעשתה, כדברי מרקס, ארכיטיפ תודעתי, וכל מקום תורה שתלמידים נוהרים אליו הוא בחזקת יבנה</w:t>
      </w:r>
      <w:r>
        <w:rPr>
          <w:rStyle w:val="FootnoteReference"/>
        </w:rPr>
        <w:footnoteReference w:id="16"/>
      </w:r>
      <w:r>
        <w:rPr>
          <w:rFonts w:ascii="David" w:cs="David" w:eastAsia="David" w:hAnsi="David"/>
          <w:sz w:val="24"/>
          <w:szCs w:val="24"/>
          <w:rtl/>
        </w:rPr>
        <w:t xml:space="preserve">. הסיפור מעמיד דגם מנהיגות שממשיך לדבר אל קוראיו: מול קנאות הנלחמת עד כלות, פרגמטיזם שמציל את מה שאפשר להציל ומתרגם חורבן לבניין. מרקס מראה כיצד דורות שונים יצקו אל הסיפור את עולמם, ממורים שראו בו אחרי השואה את ניצחון הלימוד על הכוח ועד ויכוחים ציבוריים בישראל שבהם נאבקים על דמותו של רבן יוחנן תומכים ומבקרים כאחד. דווקא העמימות, שהתלמוד עצמו שימר בביקורת על הבקשה הצנועה, היא סוד כוחו. הוא אינו מוסר חד משמעי אלא מראה, לאומה וגם לכל אדם המקים את חייו מן החורבות. אוסיף מנקודת מבטי: הישגו של הסרט הוא שהחזיר לסיפור את כובד הבשר והדם. הצפייה בירושלים המורעבת עשתה עבורי מוחשי את גודל הוויתור, ולימדה אותי שהבחירה ביבנה לא הייתה תשובה קלה של איש רוח, אלא ההימור הכבד ביותר שנטל על עצמו מנהיג יהודי.</w:t>
      </w:r>
    </w:p>
    <w:p>
      <w:r>
        <w:br w:type="page"/>
      </w:r>
    </w:p>
    <w:p>
      <w:pPr>
        <w:bidi/>
        <w:spacing w:after="120" w:before="240" w:line="360" w:lineRule="auto"/>
        <w:jc w:val="right"/>
      </w:pPr>
      <w:r>
        <w:rPr>
          <w:rFonts w:ascii="David" w:cs="David" w:eastAsia="David" w:hAnsi="David"/>
          <w:b/>
          <w:bCs/>
          <w:sz w:val="28"/>
          <w:szCs w:val="28"/>
          <w:rtl/>
        </w:rPr>
        <w:t xml:space="preserve">שאלה 4: ניתוח מקור: תחילתו של רבי אליעזר בן הורקנוס</w:t>
      </w:r>
    </w:p>
    <w:p>
      <w:pPr>
        <w:bidi/>
        <w:spacing w:after="120" w:line="360" w:lineRule="auto"/>
        <w:jc w:val="both"/>
      </w:pPr>
      <w:r>
        <w:rPr>
          <w:rFonts w:ascii="David" w:cs="David" w:eastAsia="David" w:hAnsi="David"/>
          <w:sz w:val="24"/>
          <w:szCs w:val="24"/>
          <w:rtl/>
        </w:rPr>
        <w:t xml:space="preserve">בחרתי במקור הראשון: סיפור תחילתו של רבי אליעזר בן הורקנוס, שנלמד בדף החברותא "איך נעשים חכמ.ה"</w:t>
      </w:r>
      <w:r>
        <w:rPr>
          <w:rStyle w:val="FootnoteReference"/>
        </w:rPr>
        <w:footnoteReference w:id="17"/>
      </w:r>
      <w:r>
        <w:rPr>
          <w:rFonts w:ascii="David" w:cs="David" w:eastAsia="David" w:hAnsi="David"/>
          <w:sz w:val="24"/>
          <w:szCs w:val="24"/>
          <w:rtl/>
        </w:rPr>
        <w:t xml:space="preserve">.</w:t>
      </w:r>
    </w:p>
    <w:p>
      <w:pPr>
        <w:bidi/>
        <w:spacing w:after="60" w:before="120" w:line="360" w:lineRule="auto"/>
        <w:jc w:val="right"/>
      </w:pPr>
      <w:r>
        <w:rPr>
          <w:rFonts w:ascii="David" w:cs="David" w:eastAsia="David" w:hAnsi="David"/>
          <w:b/>
          <w:bCs/>
          <w:sz w:val="24"/>
          <w:szCs w:val="24"/>
          <w:rtl/>
        </w:rPr>
        <w:t xml:space="preserve">א. הסבר הטקסט במילותיי</w:t>
      </w:r>
    </w:p>
    <w:p>
      <w:pPr>
        <w:bidi/>
        <w:spacing w:after="120" w:line="360" w:lineRule="auto"/>
        <w:jc w:val="both"/>
      </w:pPr>
      <w:r>
        <w:rPr>
          <w:rFonts w:ascii="David" w:cs="David" w:eastAsia="David" w:hAnsi="David"/>
          <w:sz w:val="24"/>
          <w:szCs w:val="24"/>
          <w:rtl/>
        </w:rPr>
        <w:t xml:space="preserve">הסיפור מתאר את ראשית דרכו של מי שיהיה מגדולי התנאים, והוא מתחיל דווקא בכישלון. אליעזר הוא בן עשרים ושתיים שלא למד תורה מעולם, בן לאב עשיר בעל שדות. בעוד אחיו חורשים באדמה הפורייה, הוא נשלח לחרוש בטרשים, והוא בוכה. האב מפרש את הבכי כקובלנה על תנאי העבודה ומיטיב עמו, אך הבכי נמשך, שכן מקורו אחר לגמרי: הרצון ללמוד תורה. האב לועג לו, בן עשרים ושתיים ואתה מבקש ללמוד?! אליעזר בורח מבית אביו אל בית מדרשו של רבן יוחנן בן זכאי בירושלים, ושם מתחיל מבראשית: קריאת שמע, תפילה, ברכת המזון, שתי הלכות ביום. הוא לומד ברעב ובמסירות קיצונית, שמונה ימים בלא מזון, עד שריח פיו מסגיר אותו, והרב מגלה את גדול תלמידיו העתידי דווקא בתלמיד המורעב והבוש. שיא הסיפור בהיפוך כפול. הורקנוס עולה לירושלים כדי להדיר את בנו מנכסיו, ומוצא אותו דורש דברים חדשים שלא שמעה אוזן, "פָּנָיו מְאִירוֹת כְּאוֹר הַחַמָּה וְקַרְנוֹתָיו יוֹצְאוֹת כְּקַרְנוֹתָיו שֶׁל מֹשֶׁה"</w:t>
      </w:r>
      <w:r>
        <w:rPr>
          <w:rStyle w:val="FootnoteReference"/>
        </w:rPr>
        <w:footnoteReference w:id="18"/>
      </w:r>
      <w:r>
        <w:rPr>
          <w:rFonts w:ascii="David" w:cs="David" w:eastAsia="David" w:hAnsi="David"/>
          <w:sz w:val="24"/>
          <w:szCs w:val="24"/>
          <w:rtl/>
        </w:rPr>
        <w:t xml:space="preserve">. רבן יוחנן מנשקו על ראשו ומברך את האבות שיצא זה מחלציהם, והאב שבא לנשל עומד ומכריז שכל נכסיו נתונים לבנו זה. אליעזר מצדו מסרב לראות בנכסים תכלית.</w:t>
      </w:r>
    </w:p>
    <w:p>
      <w:pPr>
        <w:bidi/>
        <w:spacing w:after="60" w:before="120" w:line="360" w:lineRule="auto"/>
        <w:jc w:val="right"/>
      </w:pPr>
      <w:r>
        <w:rPr>
          <w:rFonts w:ascii="David" w:cs="David" w:eastAsia="David" w:hAnsi="David"/>
          <w:b/>
          <w:bCs/>
          <w:sz w:val="24"/>
          <w:szCs w:val="24"/>
          <w:rtl/>
        </w:rPr>
        <w:t xml:space="preserve">ב. מגמות ומאפיינים של תקופת חז"ל בקטע</w:t>
      </w:r>
    </w:p>
    <w:p>
      <w:pPr>
        <w:bidi/>
        <w:spacing w:after="120" w:line="360" w:lineRule="auto"/>
        <w:jc w:val="both"/>
      </w:pPr>
      <w:r>
        <w:rPr>
          <w:rFonts w:ascii="David" w:cs="David" w:eastAsia="David" w:hAnsi="David"/>
          <w:sz w:val="24"/>
          <w:szCs w:val="24"/>
          <w:rtl/>
        </w:rPr>
        <w:t xml:space="preserve">המגמה הראשונה היא הציר המרכזי שנלמד בקורס: המרכז עובר מבית המקדש אל בית המדרש, וממוקד הקדושה שבמקום אל האדם, כפי שהראה לורברבוים במאמר שנלמד</w:t>
      </w:r>
      <w:r>
        <w:rPr>
          <w:rStyle w:val="FootnoteReference"/>
        </w:rPr>
        <w:footnoteReference w:id="19"/>
      </w:r>
      <w:r>
        <w:rPr>
          <w:rFonts w:ascii="David" w:cs="David" w:eastAsia="David" w:hAnsi="David"/>
          <w:sz w:val="24"/>
          <w:szCs w:val="24"/>
          <w:rtl/>
        </w:rPr>
        <w:t xml:space="preserve">. לורברבוים מדגיש שמוקד הקדושה אינו עובר אל מקום חדש ואף לא אל איש פלא יחיד, אלא אל האדם, כל אדם, מכוח בריאתו בצלם אלוהים. גיבור הסיפור אינו כהן ואינו יורש אחוזה. הדרמה כולה מתרחשת בין שדה חרוש לבית מדרש, והקדושה מתגלה בלימודו של אדם אחד. הערכים המקודשים של העולם הישן, אדמה, ירושה וממון, מוצבים במפורש מול התורה ומוכרעים בסוף הסיפור: "לֹא בִּקַּשְׁתִּי מִלִּפְנֵי הַקָּדוֹשׁ בָּרוּךְ הוּא אֶלָּא תּוֹרָה בִּלְבַד"</w:t>
      </w:r>
      <w:r>
        <w:rPr>
          <w:rStyle w:val="FootnoteReference"/>
        </w:rPr>
        <w:footnoteReference w:id="20"/>
      </w:r>
      <w:r>
        <w:rPr>
          <w:rFonts w:ascii="David" w:cs="David" w:eastAsia="David" w:hAnsi="David"/>
          <w:sz w:val="24"/>
          <w:szCs w:val="24"/>
          <w:rtl/>
        </w:rPr>
        <w:t xml:space="preserve">.</w:t>
      </w:r>
    </w:p>
    <w:p>
      <w:pPr>
        <w:bidi/>
        <w:spacing w:after="120" w:line="360" w:lineRule="auto"/>
        <w:jc w:val="both"/>
      </w:pPr>
      <w:r>
        <w:rPr>
          <w:rFonts w:ascii="David" w:cs="David" w:eastAsia="David" w:hAnsi="David"/>
          <w:sz w:val="24"/>
          <w:szCs w:val="24"/>
          <w:rtl/>
        </w:rPr>
        <w:t xml:space="preserve">מגמה שנייה נלמדה ביחידה "מנביא לחכם": שינוי תפיסת ההנהגה ממלך, כהן ונביא אל תלמיד החכם</w:t>
      </w:r>
      <w:r>
        <w:rPr>
          <w:rStyle w:val="FootnoteReference"/>
        </w:rPr>
        <w:footnoteReference w:id="21"/>
      </w:r>
      <w:r>
        <w:rPr>
          <w:rFonts w:ascii="David" w:cs="David" w:eastAsia="David" w:hAnsi="David"/>
          <w:sz w:val="24"/>
          <w:szCs w:val="24"/>
          <w:rtl/>
        </w:rPr>
        <w:t xml:space="preserve">. תיאורו של אליעזר הדורש, שפניו מאירות וקרני הוד יוצאות ממנו כקרני ההוד של משה, שואל במכוון את דמות משה היורד מסיני, ומעמיד את הדרשן בבית המדרש כממשיכה של ההתגלות. החכם מחדש דברים שלא נשמעו מעולם, והחידוש הפרשני בא במקומה של הנבואה.</w:t>
      </w:r>
    </w:p>
    <w:p>
      <w:pPr>
        <w:bidi/>
        <w:spacing w:after="120" w:line="360" w:lineRule="auto"/>
        <w:jc w:val="both"/>
      </w:pPr>
      <w:r>
        <w:rPr>
          <w:rFonts w:ascii="David" w:cs="David" w:eastAsia="David" w:hAnsi="David"/>
          <w:b w:val="false"/>
          <w:bCs w:val="false"/>
          <w:sz w:val="24"/>
          <w:szCs w:val="24"/>
          <w:rtl/>
        </w:rPr>
        <w:t xml:space="preserve">ולצד אלה משתקף בקטע האתוס שלפיו מעמד של חכם נקנה בלימוד: הוא אינו עובר בירושה ואינו תלוי בגיל, בממון או בייחוס. אליעזר מתחיל מאפס בגיל עשרים ושתיים, בניגוד לרצון אביו העשיר, ומעמדו נבנה כולו בתוך המסגרת המכוננת של התקופה, בית המדרש ויחסי הרב והתלמיד: לימוד מדורג ושיטתי, רב הקשוב לתלמידו עד כדי הבחנה בריח פיו, וקרבה הנחתמת בנשיקה על הראש. הרב נעשה מעין אב.</w:t>
      </w:r>
    </w:p>
    <w:p>
      <w:pPr>
        <w:bidi/>
        <w:spacing w:after="60" w:before="120" w:line="360" w:lineRule="auto"/>
        <w:jc w:val="right"/>
      </w:pPr>
      <w:r>
        <w:rPr>
          <w:rFonts w:ascii="David" w:cs="David" w:eastAsia="David" w:hAnsi="David"/>
          <w:b/>
          <w:bCs/>
          <w:sz w:val="24"/>
          <w:szCs w:val="24"/>
          <w:rtl/>
        </w:rPr>
        <w:t xml:space="preserve">ג. הרחבה על דמות מן הקטע: רבי אליעזר בן הורקנוס</w:t>
      </w:r>
    </w:p>
    <w:p>
      <w:pPr>
        <w:bidi/>
        <w:spacing w:after="120" w:line="360" w:lineRule="auto"/>
        <w:jc w:val="both"/>
      </w:pPr>
      <w:r>
        <w:rPr>
          <w:rFonts w:ascii="David" w:cs="David" w:eastAsia="David" w:hAnsi="David"/>
          <w:sz w:val="24"/>
          <w:szCs w:val="24"/>
          <w:rtl/>
        </w:rPr>
        <w:t xml:space="preserve">את רבי אליעזר עצמו פגשנו במקורות נוספים במפגשים, והם מצטרפים לדיוקן עקבי. במשנה מונה רבן יוחנן בן זכאי את חמשת תלמידיו ומגדיר את שבחו של אליעזר: "בּוֹר סוּד שֶׁאֵינוֹ מְאַבֵּד טִפָּה"</w:t>
      </w:r>
      <w:r>
        <w:rPr>
          <w:rStyle w:val="FootnoteReference"/>
        </w:rPr>
        <w:footnoteReference w:id="22"/>
      </w:r>
      <w:r>
        <w:rPr>
          <w:rFonts w:ascii="David" w:cs="David" w:eastAsia="David" w:hAnsi="David"/>
          <w:sz w:val="24"/>
          <w:szCs w:val="24"/>
          <w:rtl/>
        </w:rPr>
        <w:t xml:space="preserve">. הדימוי מתכתב להפליא עם סיפור תחילתו. כשנדרש שם לדרוש לפני רבו, השיב אליעזר שהוא כבור שאינו יכול להוציא מים יותר משהוכנס לתוכו, וכך אין הוא יכול לומר דברי תורה יותר ממה שקיבל מרבו</w:t>
      </w:r>
      <w:r>
        <w:rPr>
          <w:rStyle w:val="FootnoteReference"/>
        </w:rPr>
        <w:footnoteReference w:id="23"/>
      </w:r>
      <w:r>
        <w:rPr>
          <w:rFonts w:ascii="David" w:cs="David" w:eastAsia="David" w:hAnsi="David"/>
          <w:sz w:val="24"/>
          <w:szCs w:val="24"/>
          <w:rtl/>
        </w:rPr>
        <w:t xml:space="preserve">. רבי אליעזר הוא איש המסורת בהתגלמותו, וכוחו בשימור מדוקדק של מה שקיבל. בהמשך אותו פרק, כשנשאלים התלמידים איזוהי דרך טובה שידבק בה האדם, תשובתו היא "עַיִן טוֹבָה"</w:t>
      </w:r>
      <w:r>
        <w:rPr>
          <w:rStyle w:val="FootnoteReference"/>
        </w:rPr>
        <w:footnoteReference w:id="24"/>
      </w:r>
      <w:r>
        <w:rPr>
          <w:rFonts w:ascii="David" w:cs="David" w:eastAsia="David" w:hAnsi="David"/>
          <w:sz w:val="24"/>
          <w:szCs w:val="24"/>
          <w:rtl/>
        </w:rPr>
        <w:t xml:space="preserve">.</w:t>
      </w:r>
    </w:p>
    <w:p>
      <w:pPr>
        <w:bidi/>
        <w:spacing w:after="120" w:line="360" w:lineRule="auto"/>
        <w:jc w:val="both"/>
      </w:pPr>
      <w:r>
        <w:rPr>
          <w:rFonts w:ascii="David" w:cs="David" w:eastAsia="David" w:hAnsi="David"/>
          <w:sz w:val="24"/>
          <w:szCs w:val="24"/>
          <w:rtl/>
        </w:rPr>
        <w:t xml:space="preserve">פן אחר, שנוי במחלוקת, נלמד במפגש על לימוד תורה לנשים. מול בן עזאי, הסבור שאדם חייב ללמד את בתו תורה, מציב רבי אליעזר את העמדה המחמירה: "כָּל הַמְלַמֵּד אֶת בִּתּוֹ תוֹרָה, כְּאִלּוּ מְלַמְּדָהּ תִּפְלוּת"</w:t>
      </w:r>
      <w:r>
        <w:rPr>
          <w:rStyle w:val="FootnoteReference"/>
        </w:rPr>
        <w:footnoteReference w:id="25"/>
      </w:r>
      <w:r>
        <w:rPr>
          <w:rFonts w:ascii="David" w:cs="David" w:eastAsia="David" w:hAnsi="David"/>
          <w:sz w:val="24"/>
          <w:szCs w:val="24"/>
          <w:rtl/>
        </w:rPr>
        <w:t xml:space="preserve">. הבבלי מטעים את דבריו בדרשתו של רבי אבהו, שהחוכמה מכניסה עם כניסתה גם ערמומית</w:t>
      </w:r>
      <w:r>
        <w:rPr>
          <w:rStyle w:val="FootnoteReference"/>
        </w:rPr>
        <w:footnoteReference w:id="26"/>
      </w:r>
      <w:r>
        <w:rPr>
          <w:rFonts w:ascii="David" w:cs="David" w:eastAsia="David" w:hAnsi="David"/>
          <w:sz w:val="24"/>
          <w:szCs w:val="24"/>
          <w:rtl/>
        </w:rPr>
        <w:t xml:space="preserve">. בעקבות דיונו של בויארין נלמדה המחלוקת הזאת כמאבק עקרוני על גבולות בית המדרש ועל השאלה מי שותף לתאוות הלימוד</w:t>
      </w:r>
      <w:r>
        <w:rPr>
          <w:rStyle w:val="FootnoteReference"/>
        </w:rPr>
        <w:footnoteReference w:id="27"/>
      </w:r>
      <w:r>
        <w:rPr>
          <w:rFonts w:ascii="David" w:cs="David" w:eastAsia="David" w:hAnsi="David"/>
          <w:sz w:val="24"/>
          <w:szCs w:val="24"/>
          <w:rtl/>
        </w:rPr>
        <w:t xml:space="preserve">. וכאן מתחדד פרדוקס בדמותו: האיש שפרץ בעצמו כל גבול כדי להיכנס לבית המדרש, בגיל מאוחר, נגד אביו וכנגד כל הסיכויים, הוא הנועל את שעריו בפני נשים. הפרדוקס מעמיק עוד לנוכח דמותה של אשתו, אמא שלום אחות רבן גמליאל, שנמנתה בחומרי המפגש על הנשים הלמדניות שבספרות חז"ל. שומר הסף של המסורת מבקש לשמור גם על גבולותיה החברתיים. ראוי להוסיף כי בסיפור תחילתו של רבי עקיבא, שנלמד באותו דף חברותא, יושב רבי עקיבא שנים לפני רבי אליעזר ולומד מפיו: הבור הסוד נעשה בעצמו רבו של גדול הדרשנים.</w:t>
      </w:r>
    </w:p>
    <w:p>
      <w:r>
        <w:br w:type="page"/>
      </w:r>
    </w:p>
    <w:p>
      <w:pPr>
        <w:bidi/>
        <w:spacing w:after="120" w:before="240" w:line="360" w:lineRule="auto"/>
        <w:jc w:val="right"/>
      </w:pPr>
      <w:r>
        <w:rPr>
          <w:rFonts w:ascii="David" w:cs="David" w:eastAsia="David" w:hAnsi="David"/>
          <w:b/>
          <w:bCs/>
          <w:sz w:val="28"/>
          <w:szCs w:val="28"/>
          <w:rtl/>
        </w:rPr>
        <w:t xml:space="preserve">רשימת מקורות</w:t>
      </w:r>
    </w:p>
    <w:p>
      <w:pPr>
        <w:bidi/>
        <w:spacing w:after="120" w:line="360" w:lineRule="auto"/>
        <w:jc w:val="right"/>
      </w:pPr>
      <w:r>
        <w:rPr>
          <w:rFonts w:ascii="David" w:cs="David" w:eastAsia="David" w:hAnsi="David"/>
          <w:b w:val="false"/>
          <w:bCs w:val="false"/>
          <w:sz w:val="24"/>
          <w:szCs w:val="24"/>
          <w:rtl/>
        </w:rPr>
        <w:t xml:space="preserve">בויארין, דניאל, "תאוות הלימוד: התורה כאישה אחרת", בתוך: הבשר שברוח: שיח המיניות בתלמוד, תל אביב: עם עובד, תשנ"ט, עמ' 170-183.</w:t>
      </w:r>
    </w:p>
    <w:p>
      <w:pPr>
        <w:bidi/>
        <w:spacing w:after="120" w:line="360" w:lineRule="auto"/>
        <w:jc w:val="right"/>
      </w:pPr>
      <w:r>
        <w:rPr>
          <w:rFonts w:ascii="David" w:cs="David" w:eastAsia="David" w:hAnsi="David"/>
          <w:b w:val="false"/>
          <w:bCs w:val="false"/>
          <w:sz w:val="24"/>
          <w:szCs w:val="24"/>
          <w:rtl/>
        </w:rPr>
        <w:t xml:space="preserve">הלברטל, משה, "מבוא למשנה", שישה סדרי משנה, סדרת עם הספר, תל אביב: ידיעות אחרונות.</w:t>
      </w:r>
    </w:p>
    <w:p>
      <w:pPr>
        <w:bidi/>
        <w:spacing w:after="120" w:line="360" w:lineRule="auto"/>
        <w:jc w:val="right"/>
      </w:pPr>
      <w:r>
        <w:rPr>
          <w:rFonts w:ascii="David" w:cs="David" w:eastAsia="David" w:hAnsi="David"/>
          <w:b w:val="false"/>
          <w:bCs w:val="false"/>
          <w:sz w:val="24"/>
          <w:szCs w:val="24"/>
          <w:rtl/>
        </w:rPr>
        <w:t xml:space="preserve">לורברבוים, יאיר, "ממקדש לאדם: תמורות במוקד הקדושה בספרות חז"ל", דעת: כתב עת לפילוסופיה יהודית וקבלה 86 (תשע"ט), עמ' 377-396.</w:t>
      </w:r>
    </w:p>
    <w:p>
      <w:pPr>
        <w:bidi/>
        <w:spacing w:after="120" w:line="360" w:lineRule="auto"/>
        <w:jc w:val="right"/>
      </w:pPr>
      <w:r>
        <w:rPr>
          <w:rFonts w:ascii="David" w:cs="David" w:eastAsia="David" w:hAnsi="David"/>
          <w:b w:val="false"/>
          <w:bCs w:val="false"/>
          <w:sz w:val="24"/>
          <w:szCs w:val="24"/>
          <w:rtl/>
        </w:rPr>
        <w:t xml:space="preserve">מרקס, דליה, "רבן יוחנן בן זכאי והקמת יבנה: ניתוח והערכת הסיפור בראי הזמן".</w:t>
      </w:r>
    </w:p>
    <w:p>
      <w:pPr>
        <w:bidi/>
        <w:spacing w:after="120" w:line="360" w:lineRule="auto"/>
        <w:jc w:val="right"/>
      </w:pPr>
      <w:r>
        <w:rPr>
          <w:rFonts w:ascii="David" w:cs="David" w:eastAsia="David" w:hAnsi="David"/>
          <w:b w:val="false"/>
          <w:bCs w:val="false"/>
          <w:sz w:val="24"/>
          <w:szCs w:val="24"/>
          <w:rtl/>
        </w:rPr>
        <w:t xml:space="preserve">דפי המקורות, דפי החברותא והמצגות מאתר הקורס: מפגש 1 (עגלה ערופה), שיעורים 3-5 ("נביא וחכם", משנה ותוספתא, דף חברותא "מאפייני המשנה"), היחידה "צמיחה מתוך משבר" (ריב"ז והיציאה מירושלים), דף חברותא "איך נעשים חכמ.ה", דף מקורות מפגש 11 (לימוד תורה לנשים).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jc w:val="right"/>
      </w:pPr>
      <w:r>
        <w:rPr>
          <w:rStyle w:val="FootnoteReference"/>
        </w:rPr>
        <w:footnoteRef/>
      </w:r>
      <w:r>
        <w:rPr>
          <w:rFonts w:ascii="David" w:cs="David" w:eastAsia="David" w:hAnsi="David"/>
          <w:sz w:val="20"/>
          <w:szCs w:val="20"/>
          <w:rtl/>
        </w:rPr>
        <w:t xml:space="preserve"> משנה, מסכת סוטה, פרק ט, משנה ו.</w:t>
      </w:r>
    </w:p>
  </w:footnote>
  <w:footnote w:id="2">
    <w:p>
      <w:pPr>
        <w:bidi/>
        <w:jc w:val="right"/>
      </w:pPr>
      <w:r>
        <w:rPr>
          <w:rStyle w:val="FootnoteReference"/>
        </w:rPr>
        <w:footnoteRef/>
      </w:r>
      <w:r>
        <w:rPr>
          <w:rFonts w:ascii="David" w:cs="David" w:eastAsia="David" w:hAnsi="David"/>
          <w:sz w:val="20"/>
          <w:szCs w:val="20"/>
          <w:rtl/>
        </w:rPr>
        <w:t xml:space="preserve"> תלמוד בבלי, מסכת סוטה, דף מו ע"ב, בשם רבי יוחנן משום רבי מאיר.</w:t>
      </w:r>
    </w:p>
  </w:footnote>
  <w:footnote w:id="3">
    <w:p>
      <w:pPr>
        <w:bidi/>
        <w:jc w:val="right"/>
      </w:pPr>
      <w:r>
        <w:rPr>
          <w:rStyle w:val="FootnoteReference"/>
        </w:rPr>
        <w:footnoteRef/>
      </w:r>
      <w:r>
        <w:rPr>
          <w:rFonts w:ascii="David" w:cs="David" w:eastAsia="David" w:hAnsi="David"/>
          <w:sz w:val="20"/>
          <w:szCs w:val="20"/>
          <w:rtl/>
        </w:rPr>
        <w:t xml:space="preserve"> דף המקורות למפגש 1, "עגלה ערופה: התנועה של חז"ל מהמקרא אל המשנה ואל התלמוד", אתר הקורס.</w:t>
      </w:r>
    </w:p>
  </w:footnote>
  <w:footnote w:id="4">
    <w:p>
      <w:pPr>
        <w:bidi/>
        <w:jc w:val="right"/>
      </w:pPr>
      <w:r>
        <w:rPr>
          <w:rStyle w:val="FootnoteReference"/>
        </w:rPr>
        <w:footnoteRef/>
      </w:r>
      <w:r>
        <w:rPr>
          <w:rFonts w:ascii="David" w:cs="David" w:eastAsia="David" w:hAnsi="David"/>
          <w:sz w:val="20"/>
          <w:szCs w:val="20"/>
          <w:rtl/>
        </w:rPr>
        <w:t xml:space="preserve"> משה הלברטל, "מבוא למשנה", שישה סדרי משנה, סדרת עם הספר, ידיעות אחרונות; מצגת הקורס "נביא וחכם: משנה ותוספתא" (שיעורים 3-5).</w:t>
      </w:r>
    </w:p>
  </w:footnote>
  <w:footnote w:id="5">
    <w:p>
      <w:pPr>
        <w:bidi/>
        <w:jc w:val="right"/>
      </w:pPr>
      <w:r>
        <w:rPr>
          <w:rStyle w:val="FootnoteReference"/>
        </w:rPr>
        <w:footnoteRef/>
      </w:r>
      <w:r>
        <w:rPr>
          <w:rFonts w:ascii="David" w:cs="David" w:eastAsia="David" w:hAnsi="David"/>
          <w:sz w:val="20"/>
          <w:szCs w:val="20"/>
          <w:rtl/>
        </w:rPr>
        <w:t xml:space="preserve"> מצגת הקורס "נביא וחכם: משנה ותוספתא" (שיעורים 3-5), אתר הקורס.</w:t>
      </w:r>
    </w:p>
  </w:footnote>
  <w:footnote w:id="6">
    <w:p>
      <w:pPr>
        <w:bidi/>
        <w:jc w:val="right"/>
      </w:pPr>
      <w:r>
        <w:rPr>
          <w:rStyle w:val="FootnoteReference"/>
        </w:rPr>
        <w:footnoteRef/>
      </w:r>
      <w:r>
        <w:rPr>
          <w:rFonts w:ascii="David" w:cs="David" w:eastAsia="David" w:hAnsi="David"/>
          <w:sz w:val="20"/>
          <w:szCs w:val="20"/>
          <w:rtl/>
        </w:rPr>
        <w:t xml:space="preserve"> מצגת הקורס "נביא וחכם: משנה ותוספתא" (שיעורים 3-5), אתר הקורס.</w:t>
      </w:r>
    </w:p>
  </w:footnote>
  <w:footnote w:id="7">
    <w:p>
      <w:pPr>
        <w:bidi/>
        <w:jc w:val="right"/>
      </w:pPr>
      <w:r>
        <w:rPr>
          <w:rStyle w:val="FootnoteReference"/>
        </w:rPr>
        <w:footnoteRef/>
      </w:r>
      <w:r>
        <w:rPr>
          <w:rFonts w:ascii="David" w:cs="David" w:eastAsia="David" w:hAnsi="David"/>
          <w:sz w:val="20"/>
          <w:szCs w:val="20"/>
          <w:rtl/>
        </w:rPr>
        <w:t xml:space="preserve"> משנה, מסכת סוכה, פרק א, משנה א; מצוטט בדף החברותא "מאפייני המשנה", אתר הקורס.</w:t>
      </w:r>
    </w:p>
  </w:footnote>
  <w:footnote w:id="8">
    <w:p>
      <w:pPr>
        <w:bidi/>
        <w:jc w:val="right"/>
      </w:pPr>
      <w:r>
        <w:rPr>
          <w:rStyle w:val="FootnoteReference"/>
        </w:rPr>
        <w:footnoteRef/>
      </w:r>
      <w:r>
        <w:rPr>
          <w:rFonts w:ascii="David" w:cs="David" w:eastAsia="David" w:hAnsi="David"/>
          <w:sz w:val="20"/>
          <w:szCs w:val="20"/>
          <w:rtl/>
        </w:rPr>
        <w:t xml:space="preserve"> תלמוד בבלי, מסכת גיטין, דף נו ע"א-ע"ב; התרגום על פי דף החברותא "ריב"ז, הבריונים והיציאה מירושלים ליבנה", אתר הקורס.</w:t>
      </w:r>
    </w:p>
  </w:footnote>
  <w:footnote w:id="9">
    <w:p>
      <w:pPr>
        <w:bidi/>
        <w:jc w:val="right"/>
      </w:pPr>
      <w:r>
        <w:rPr>
          <w:rStyle w:val="FootnoteReference"/>
        </w:rPr>
        <w:footnoteRef/>
      </w:r>
      <w:r>
        <w:rPr>
          <w:rFonts w:ascii="David" w:cs="David" w:eastAsia="David" w:hAnsi="David"/>
          <w:sz w:val="20"/>
          <w:szCs w:val="20"/>
          <w:rtl/>
        </w:rPr>
        <w:t xml:space="preserve"> מתוך פסקול הסרט "אגדת חורבן" (במאי: גידי דר, ישראל 2022), בקטע הנדון.</w:t>
      </w:r>
    </w:p>
  </w:footnote>
  <w:footnote w:id="10">
    <w:p>
      <w:pPr>
        <w:bidi/>
        <w:jc w:val="right"/>
      </w:pPr>
      <w:r>
        <w:rPr>
          <w:rStyle w:val="FootnoteReference"/>
        </w:rPr>
        <w:footnoteRef/>
      </w:r>
      <w:r>
        <w:rPr>
          <w:rFonts w:ascii="David" w:cs="David" w:eastAsia="David" w:hAnsi="David"/>
          <w:sz w:val="20"/>
          <w:szCs w:val="20"/>
          <w:rtl/>
        </w:rPr>
        <w:t xml:space="preserve"> מתוך פסקול הסרט, שם.</w:t>
      </w:r>
    </w:p>
  </w:footnote>
  <w:footnote w:id="11">
    <w:p>
      <w:pPr>
        <w:bidi/>
        <w:jc w:val="right"/>
      </w:pPr>
      <w:r>
        <w:rPr>
          <w:rStyle w:val="FootnoteReference"/>
        </w:rPr>
        <w:footnoteRef/>
      </w:r>
      <w:r>
        <w:rPr>
          <w:rFonts w:ascii="David" w:cs="David" w:eastAsia="David" w:hAnsi="David"/>
          <w:sz w:val="20"/>
          <w:szCs w:val="20"/>
          <w:rtl/>
        </w:rPr>
        <w:t xml:space="preserve"> מתוך פסקול הסרט, שם. הלשון שאולה מן התלמוד: התורה מגינה ומצילה, בבלי, מסכת סוטה, דף כא ע"א, מן הסוגיה שנלמדה במפגש 11.</w:t>
      </w:r>
    </w:p>
  </w:footnote>
  <w:footnote w:id="12">
    <w:p>
      <w:pPr>
        <w:bidi/>
        <w:jc w:val="right"/>
      </w:pPr>
      <w:r>
        <w:rPr>
          <w:rStyle w:val="FootnoteReference"/>
        </w:rPr>
        <w:footnoteRef/>
      </w:r>
      <w:r>
        <w:rPr>
          <w:rFonts w:ascii="David" w:cs="David" w:eastAsia="David" w:hAnsi="David"/>
          <w:sz w:val="20"/>
          <w:szCs w:val="20"/>
          <w:rtl/>
        </w:rPr>
        <w:t xml:space="preserve"> מתוך פסקול הסרט, שם.</w:t>
      </w:r>
    </w:p>
  </w:footnote>
  <w:footnote w:id="13">
    <w:p>
      <w:pPr>
        <w:bidi/>
        <w:jc w:val="right"/>
      </w:pPr>
      <w:r>
        <w:rPr>
          <w:rStyle w:val="FootnoteReference"/>
        </w:rPr>
        <w:footnoteRef/>
      </w:r>
      <w:r>
        <w:rPr>
          <w:rFonts w:ascii="David" w:cs="David" w:eastAsia="David" w:hAnsi="David"/>
          <w:sz w:val="20"/>
          <w:szCs w:val="20"/>
          <w:rtl/>
        </w:rPr>
        <w:t xml:space="preserve"> דליה מרקס, "רבן יוחנן בן זכאי והקמת יבנה: ניתוח והערכת הסיפור בראי הזמן", מתוך חומרי הקריאה של הקורס.</w:t>
      </w:r>
    </w:p>
  </w:footnote>
  <w:footnote w:id="14">
    <w:p>
      <w:pPr>
        <w:bidi/>
        <w:jc w:val="right"/>
      </w:pPr>
      <w:r>
        <w:rPr>
          <w:rStyle w:val="FootnoteReference"/>
        </w:rPr>
        <w:footnoteRef/>
      </w:r>
      <w:r>
        <w:rPr>
          <w:rFonts w:ascii="David" w:cs="David" w:eastAsia="David" w:hAnsi="David"/>
          <w:sz w:val="20"/>
          <w:szCs w:val="20"/>
          <w:rtl/>
        </w:rPr>
        <w:t xml:space="preserve"> ג'ונתן רוזן, התלמוד והאינטרנט, כפי שמצוטט אצל מרקס, שם.</w:t>
      </w:r>
    </w:p>
  </w:footnote>
  <w:footnote w:id="15">
    <w:p>
      <w:pPr>
        <w:bidi/>
        <w:jc w:val="right"/>
      </w:pPr>
      <w:r>
        <w:rPr>
          <w:rStyle w:val="FootnoteReference"/>
        </w:rPr>
        <w:footnoteRef/>
      </w:r>
      <w:r>
        <w:rPr>
          <w:rFonts w:ascii="David" w:cs="David" w:eastAsia="David" w:hAnsi="David"/>
          <w:sz w:val="20"/>
          <w:szCs w:val="20"/>
          <w:rtl/>
        </w:rPr>
        <w:t xml:space="preserve"> אדיאל שרמר, כפי שמצוטט אצל מרקס, שם.</w:t>
      </w:r>
    </w:p>
  </w:footnote>
  <w:footnote w:id="16">
    <w:p>
      <w:pPr>
        <w:bidi/>
        <w:jc w:val="right"/>
      </w:pPr>
      <w:r>
        <w:rPr>
          <w:rStyle w:val="FootnoteReference"/>
        </w:rPr>
        <w:footnoteRef/>
      </w:r>
      <w:r>
        <w:rPr>
          <w:rFonts w:ascii="David" w:cs="David" w:eastAsia="David" w:hAnsi="David"/>
          <w:sz w:val="20"/>
          <w:szCs w:val="20"/>
          <w:rtl/>
        </w:rPr>
        <w:t xml:space="preserve"> מרקס, "רבן יוחנן בן זכאי והקמת יבנה", שם.</w:t>
      </w:r>
    </w:p>
  </w:footnote>
  <w:footnote w:id="17">
    <w:p>
      <w:pPr>
        <w:bidi/>
        <w:jc w:val="right"/>
      </w:pPr>
      <w:r>
        <w:rPr>
          <w:rStyle w:val="FootnoteReference"/>
        </w:rPr>
        <w:footnoteRef/>
      </w:r>
      <w:r>
        <w:rPr>
          <w:rFonts w:ascii="David" w:cs="David" w:eastAsia="David" w:hAnsi="David"/>
          <w:sz w:val="20"/>
          <w:szCs w:val="20"/>
          <w:rtl/>
        </w:rPr>
        <w:t xml:space="preserve"> מדרש פרקי דרבי אליעזר, פרקים א-ב, ומקבילות באבות דרבי נתן נוסח א, בראשית רבה מב, א ותנחומא בובר לך לך, י; על פי דף החברותא "איך נעשים חכמ.ה", אתר הקורס.</w:t>
      </w:r>
    </w:p>
  </w:footnote>
  <w:footnote w:id="18">
    <w:p>
      <w:pPr>
        <w:bidi/>
        <w:jc w:val="right"/>
      </w:pPr>
      <w:r>
        <w:rPr>
          <w:rStyle w:val="FootnoteReference"/>
        </w:rPr>
        <w:footnoteRef/>
      </w:r>
      <w:r>
        <w:rPr>
          <w:rFonts w:ascii="David" w:cs="David" w:eastAsia="David" w:hAnsi="David"/>
          <w:sz w:val="20"/>
          <w:szCs w:val="20"/>
          <w:rtl/>
        </w:rPr>
        <w:t xml:space="preserve"> שם, על פי נוסח דף החברותא.</w:t>
      </w:r>
    </w:p>
  </w:footnote>
  <w:footnote w:id="19">
    <w:p>
      <w:pPr>
        <w:bidi/>
        <w:jc w:val="right"/>
      </w:pPr>
      <w:r>
        <w:rPr>
          <w:rStyle w:val="FootnoteReference"/>
        </w:rPr>
        <w:footnoteRef/>
      </w:r>
      <w:r>
        <w:rPr>
          <w:rFonts w:ascii="David" w:cs="David" w:eastAsia="David" w:hAnsi="David"/>
          <w:sz w:val="20"/>
          <w:szCs w:val="20"/>
          <w:rtl/>
        </w:rPr>
        <w:t xml:space="preserve"> יאיר לורברבוים, "ממקדש לאדם: תמורות במוקד הקדושה בספרות חז"ל", דעת 86 (תשע"ט), עמ' 377-396.</w:t>
      </w:r>
    </w:p>
  </w:footnote>
  <w:footnote w:id="20">
    <w:p>
      <w:pPr>
        <w:bidi/>
        <w:jc w:val="right"/>
      </w:pPr>
      <w:r>
        <w:rPr>
          <w:rStyle w:val="FootnoteReference"/>
        </w:rPr>
        <w:footnoteRef/>
      </w:r>
      <w:r>
        <w:rPr>
          <w:rFonts w:ascii="David" w:cs="David" w:eastAsia="David" w:hAnsi="David"/>
          <w:sz w:val="20"/>
          <w:szCs w:val="20"/>
          <w:rtl/>
        </w:rPr>
        <w:t xml:space="preserve"> שם, דברי רבי אליעזר בסיום הסיפור.</w:t>
      </w:r>
    </w:p>
  </w:footnote>
  <w:footnote w:id="21">
    <w:p>
      <w:pPr>
        <w:bidi/>
        <w:jc w:val="right"/>
      </w:pPr>
      <w:r>
        <w:rPr>
          <w:rStyle w:val="FootnoteReference"/>
        </w:rPr>
        <w:footnoteRef/>
      </w:r>
      <w:r>
        <w:rPr>
          <w:rFonts w:ascii="David" w:cs="David" w:eastAsia="David" w:hAnsi="David"/>
          <w:sz w:val="20"/>
          <w:szCs w:val="20"/>
          <w:rtl/>
        </w:rPr>
        <w:t xml:space="preserve"> מצגת הקורס "נביא וחכם" (שיעורים 3-5), אתר הקורס.</w:t>
      </w:r>
    </w:p>
  </w:footnote>
  <w:footnote w:id="22">
    <w:p>
      <w:pPr>
        <w:bidi/>
        <w:jc w:val="right"/>
      </w:pPr>
      <w:r>
        <w:rPr>
          <w:rStyle w:val="FootnoteReference"/>
        </w:rPr>
        <w:footnoteRef/>
      </w:r>
      <w:r>
        <w:rPr>
          <w:rFonts w:ascii="David" w:cs="David" w:eastAsia="David" w:hAnsi="David"/>
          <w:sz w:val="20"/>
          <w:szCs w:val="20"/>
          <w:rtl/>
        </w:rPr>
        <w:t xml:space="preserve"> משנה, מסכת אבות, פרק ב, משנה ח; נלמדה ביחידה "צמיחה מתוך משבר".</w:t>
      </w:r>
    </w:p>
  </w:footnote>
  <w:footnote w:id="23">
    <w:p>
      <w:pPr>
        <w:bidi/>
        <w:jc w:val="right"/>
      </w:pPr>
      <w:r>
        <w:rPr>
          <w:rStyle w:val="FootnoteReference"/>
        </w:rPr>
        <w:footnoteRef/>
      </w:r>
      <w:r>
        <w:rPr>
          <w:rFonts w:ascii="David" w:cs="David" w:eastAsia="David" w:hAnsi="David"/>
          <w:sz w:val="20"/>
          <w:szCs w:val="20"/>
          <w:rtl/>
        </w:rPr>
        <w:t xml:space="preserve"> דף החברותא "איך נעשים חכמ.ה", שם.</w:t>
      </w:r>
    </w:p>
  </w:footnote>
  <w:footnote w:id="24">
    <w:p>
      <w:pPr>
        <w:bidi/>
        <w:jc w:val="right"/>
      </w:pPr>
      <w:r>
        <w:rPr>
          <w:rStyle w:val="FootnoteReference"/>
        </w:rPr>
        <w:footnoteRef/>
      </w:r>
      <w:r>
        <w:rPr>
          <w:rFonts w:ascii="David" w:cs="David" w:eastAsia="David" w:hAnsi="David"/>
          <w:sz w:val="20"/>
          <w:szCs w:val="20"/>
          <w:rtl/>
        </w:rPr>
        <w:t xml:space="preserve"> משנה, מסכת אבות, פרק ב, משנה ט.</w:t>
      </w:r>
    </w:p>
  </w:footnote>
  <w:footnote w:id="25">
    <w:p>
      <w:pPr>
        <w:bidi/>
        <w:jc w:val="right"/>
      </w:pPr>
      <w:r>
        <w:rPr>
          <w:rStyle w:val="FootnoteReference"/>
        </w:rPr>
        <w:footnoteRef/>
      </w:r>
      <w:r>
        <w:rPr>
          <w:rFonts w:ascii="David" w:cs="David" w:eastAsia="David" w:hAnsi="David"/>
          <w:sz w:val="20"/>
          <w:szCs w:val="20"/>
          <w:rtl/>
        </w:rPr>
        <w:t xml:space="preserve"> משנה, מסכת סוטה, פרק ג, משנה ד.</w:t>
      </w:r>
    </w:p>
  </w:footnote>
  <w:footnote w:id="26">
    <w:p>
      <w:pPr>
        <w:bidi/>
        <w:jc w:val="right"/>
      </w:pPr>
      <w:r>
        <w:rPr>
          <w:rStyle w:val="FootnoteReference"/>
        </w:rPr>
        <w:footnoteRef/>
      </w:r>
      <w:r>
        <w:rPr>
          <w:rFonts w:ascii="David" w:cs="David" w:eastAsia="David" w:hAnsi="David"/>
          <w:sz w:val="20"/>
          <w:szCs w:val="20"/>
          <w:rtl/>
        </w:rPr>
        <w:t xml:space="preserve"> תלמוד בבלי, מסכת סוטה, דף כא ע"ב.</w:t>
      </w:r>
    </w:p>
  </w:footnote>
  <w:footnote w:id="27">
    <w:p>
      <w:pPr>
        <w:bidi/>
        <w:jc w:val="right"/>
      </w:pPr>
      <w:r>
        <w:rPr>
          <w:rStyle w:val="FootnoteReference"/>
        </w:rPr>
        <w:footnoteRef/>
      </w:r>
      <w:r>
        <w:rPr>
          <w:rFonts w:ascii="David" w:cs="David" w:eastAsia="David" w:hAnsi="David"/>
          <w:sz w:val="20"/>
          <w:szCs w:val="20"/>
          <w:rtl/>
        </w:rPr>
        <w:t xml:space="preserve"> דניאל בויארין, "תאוות הלימוד: התורה כאישה אחרת", הבשר שברוח: שיח המיניות בתלמוד, עם עובד, תשנ"ט, עמ' 170-183.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2026-07-30T12:20:51.200Z</dcterms:created>
  <dcterms:modified xsi:type="dcterms:W3CDTF">2026-07-30T12:20:51.200Z</dcterms:modified>
</cp:coreProperties>
</file>

<file path=docProps/custom.xml><?xml version="1.0" encoding="utf-8"?>
<Properties xmlns="http://schemas.openxmlformats.org/officeDocument/2006/custom-properties" xmlns:vt="http://schemas.openxmlformats.org/officeDocument/2006/docPropsVTypes"/>
</file>