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color w:val="1F3864"/>
          <w:sz w:val="36"/>
          <w:szCs w:val="36"/>
          <w:rtl/>
        </w:rPr>
        <w:t xml:space="preserve">הקריה האקדמית אונו</w:t>
      </w:r>
    </w:p>
    <w:p>
      <w:pPr>
        <w:bidi/>
        <w:spacing w:after="120" w:line="360"/>
        <w:jc w:val="center"/>
      </w:pPr>
      <w:r>
        <w:rPr>
          <w:rFonts w:ascii="David" w:cs="David" w:eastAsia="David" w:hAnsi="David"/>
          <w:color w:val="595959"/>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600"/>
      </w:pPr>
    </w:p>
    <w:p>
      <w:pPr>
        <w:bidi/>
        <w:spacing w:after="80" w:line="360"/>
        <w:jc w:val="center"/>
      </w:pPr>
      <w:r>
        <w:rPr>
          <w:rFonts w:ascii="David" w:cs="David" w:eastAsia="David" w:hAnsi="David"/>
          <w:b/>
          <w:bCs/>
          <w:color w:val="0E6E73"/>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ניתוח ויישום של מאמר אקדמי בתחום ניהול הקריירה</w:t>
      </w:r>
    </w:p>
    <w:p>
      <w:pPr>
        <w:spacing w:after="60"/>
        <w:jc w:val="center"/>
      </w:pPr>
      <w:r>
        <w:rPr>
          <w:rFonts w:ascii="Times New Roman" w:cs="Times New Roman" w:eastAsia="Times New Roman" w:hAnsi="Times New Roman"/>
          <w:i/>
          <w:iCs/>
          <w:color w:val="404040"/>
          <w:sz w:val="22"/>
          <w:szCs w:val="22"/>
        </w:rPr>
        <w:t xml:space="preserve">Shoss, M. K. (2017). Job insecurity: An integrative review and agenda for future research. Journal of Management, 43(6), 1911-1939.</w:t>
      </w:r>
    </w:p>
    <w:p>
      <w:pPr>
        <w:bidi/>
        <w:spacing w:after="40" w:line="360"/>
        <w:jc w:val="center"/>
      </w:pPr>
      <w:r>
        <w:rPr>
          <w:rFonts w:ascii="David" w:cs="David" w:eastAsia="David" w:hAnsi="David"/>
          <w:color w:val="404040"/>
          <w:sz w:val="22"/>
          <w:szCs w:val="22"/>
          <w:rtl/>
        </w:rPr>
        <w:t xml:space="preserve">מאמר משלים:</w:t>
      </w:r>
    </w:p>
    <w:p>
      <w:pPr>
        <w:spacing w:after="120"/>
        <w:jc w:val="center"/>
      </w:pPr>
      <w:r>
        <w:rPr>
          <w:rFonts w:ascii="Times New Roman" w:cs="Times New Roman" w:eastAsia="Times New Roman" w:hAnsi="Times New Roman"/>
          <w:i/>
          <w:iCs/>
          <w:color w:val="404040"/>
          <w:sz w:val="22"/>
          <w:szCs w:val="22"/>
        </w:rPr>
        <w:t xml:space="preserve">Lee, C., Huang, G.-H., &amp; Ashford, S. J. (2018). Job insecurity and the changing workplace. Annual Review of Organizational Psychology and Organizational Behavior, 5, 335-359.</w:t>
      </w:r>
    </w:p>
    <w:p>
      <w:pPr>
        <w:spacing w:after="5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5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4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1F3864"/>
          <w:sz w:val="32"/>
          <w:szCs w:val="32"/>
          <w:rtl/>
        </w:rPr>
        <w:t xml:space="preserve">תוכן העניינים</w:t>
      </w:r>
    </w:p>
    <w:p>
      <w:pPr>
        <w:tabs>
          <w:tab w:val="left" w:pos="8800" w:leader="dot"/>
        </w:tabs>
        <w:bidi/>
        <w:spacing w:after="0" w:line="480"/>
        <w:jc w:val="right"/>
      </w:pPr>
      <w:r>
        <w:rPr>
          <w:rFonts w:ascii="David" w:cs="David" w:eastAsia="David" w:hAnsi="David"/>
          <w:sz w:val="24"/>
          <w:szCs w:val="24"/>
          <w:rtl/>
        </w:rPr>
        <w:t xml:space="preserve">מבוא</w:t>
      </w:r>
      <w:r>
        <w:rPr>
          <w:rFonts w:ascii="David" w:cs="David" w:eastAsia="David" w:hAnsi="David"/>
          <w:sz w:val="24"/>
          <w:szCs w:val="24"/>
          <w:rtl/>
        </w:rPr>
        <w:t xml:space="preserve">	3</w:t>
      </w:r>
    </w:p>
    <w:p>
      <w:pPr>
        <w:tabs>
          <w:tab w:val="left" w:pos="8800" w:leader="dot"/>
        </w:tabs>
        <w:bidi/>
        <w:spacing w:after="0" w:line="480"/>
        <w:jc w:val="right"/>
      </w:pPr>
      <w:r>
        <w:rPr>
          <w:rFonts w:ascii="David" w:cs="David" w:eastAsia="David" w:hAnsi="David"/>
          <w:sz w:val="24"/>
          <w:szCs w:val="24"/>
          <w:rtl/>
        </w:rPr>
        <w:t xml:space="preserve">פרק 1: הצגת המאמר המרכזי</w:t>
      </w:r>
      <w:r>
        <w:rPr>
          <w:rFonts w:ascii="David" w:cs="David" w:eastAsia="David" w:hAnsi="David"/>
          <w:sz w:val="24"/>
          <w:szCs w:val="24"/>
          <w:rtl/>
        </w:rPr>
        <w:t xml:space="preserve">	5</w:t>
      </w:r>
    </w:p>
    <w:p>
      <w:pPr>
        <w:tabs>
          <w:tab w:val="left" w:pos="8800" w:leader="dot"/>
        </w:tabs>
        <w:bidi/>
        <w:spacing w:after="0" w:line="480"/>
        <w:jc w:val="right"/>
      </w:pPr>
      <w:r>
        <w:rPr>
          <w:rFonts w:ascii="David" w:cs="David" w:eastAsia="David" w:hAnsi="David"/>
          <w:sz w:val="24"/>
          <w:szCs w:val="24"/>
          <w:rtl/>
        </w:rPr>
        <w:t xml:space="preserve">פרק 2: תמצית המאמר והנקודות המרכזיות</w:t>
      </w:r>
      <w:r>
        <w:rPr>
          <w:rFonts w:ascii="David" w:cs="David" w:eastAsia="David" w:hAnsi="David"/>
          <w:sz w:val="24"/>
          <w:szCs w:val="24"/>
          <w:rtl/>
        </w:rPr>
        <w:t xml:space="preserve">	6</w:t>
      </w:r>
    </w:p>
    <w:p>
      <w:pPr>
        <w:tabs>
          <w:tab w:val="left" w:pos="8800" w:leader="dot"/>
        </w:tabs>
        <w:bidi/>
        <w:spacing w:after="0" w:line="480"/>
        <w:jc w:val="right"/>
      </w:pPr>
      <w:r>
        <w:rPr>
          <w:rFonts w:ascii="David" w:cs="David" w:eastAsia="David" w:hAnsi="David"/>
          <w:sz w:val="24"/>
          <w:szCs w:val="24"/>
          <w:rtl/>
        </w:rPr>
        <w:t xml:space="preserve">פרק 3: ניתוח המאמר לפי מבנה, שיטה וממצאים</w:t>
      </w:r>
      <w:r>
        <w:rPr>
          <w:rFonts w:ascii="David" w:cs="David" w:eastAsia="David" w:hAnsi="David"/>
          <w:sz w:val="24"/>
          <w:szCs w:val="24"/>
          <w:rtl/>
        </w:rPr>
        <w:t xml:space="preserve">	9</w:t>
      </w:r>
    </w:p>
    <w:p>
      <w:pPr>
        <w:tabs>
          <w:tab w:val="left" w:pos="8800" w:leader="dot"/>
        </w:tabs>
        <w:bidi/>
        <w:spacing w:after="0" w:line="480"/>
        <w:jc w:val="right"/>
      </w:pPr>
      <w:r>
        <w:rPr>
          <w:rFonts w:ascii="David" w:cs="David" w:eastAsia="David" w:hAnsi="David"/>
          <w:sz w:val="24"/>
          <w:szCs w:val="24"/>
          <w:rtl/>
        </w:rPr>
        <w:t xml:space="preserve">פרק 4: המאמר המשלים וראיות תומכות</w:t>
      </w:r>
      <w:r>
        <w:rPr>
          <w:rFonts w:ascii="David" w:cs="David" w:eastAsia="David" w:hAnsi="David"/>
          <w:sz w:val="24"/>
          <w:szCs w:val="24"/>
          <w:rtl/>
        </w:rPr>
        <w:t xml:space="preserve">	11</w:t>
      </w:r>
    </w:p>
    <w:p>
      <w:pPr>
        <w:tabs>
          <w:tab w:val="left" w:pos="8800" w:leader="dot"/>
        </w:tabs>
        <w:bidi/>
        <w:spacing w:after="0" w:line="480"/>
        <w:jc w:val="right"/>
      </w:pPr>
      <w:r>
        <w:rPr>
          <w:rFonts w:ascii="David" w:cs="David" w:eastAsia="David" w:hAnsi="David"/>
          <w:sz w:val="24"/>
          <w:szCs w:val="24"/>
          <w:rtl/>
        </w:rPr>
        <w:t xml:space="preserve">פרק 5: תובנות, מסקנות ודעה אישית</w:t>
      </w:r>
      <w:r>
        <w:rPr>
          <w:rFonts w:ascii="David" w:cs="David" w:eastAsia="David" w:hAnsi="David"/>
          <w:sz w:val="24"/>
          <w:szCs w:val="24"/>
          <w:rtl/>
        </w:rPr>
        <w:t xml:space="preserve">	12</w:t>
      </w:r>
    </w:p>
    <w:p>
      <w:pPr>
        <w:tabs>
          <w:tab w:val="left" w:pos="8800" w:leader="dot"/>
        </w:tabs>
        <w:bidi/>
        <w:spacing w:after="0" w:line="480"/>
        <w:jc w:val="right"/>
      </w:pPr>
      <w:r>
        <w:rPr>
          <w:rFonts w:ascii="David" w:cs="David" w:eastAsia="David" w:hAnsi="David"/>
          <w:sz w:val="24"/>
          <w:szCs w:val="24"/>
          <w:rtl/>
        </w:rPr>
        <w:t xml:space="preserve">פרק 6: יישום מעשי בניהול קריירה</w:t>
      </w:r>
      <w:r>
        <w:rPr>
          <w:rFonts w:ascii="David" w:cs="David" w:eastAsia="David" w:hAnsi="David"/>
          <w:sz w:val="24"/>
          <w:szCs w:val="24"/>
          <w:rtl/>
        </w:rPr>
        <w:t xml:space="preserve">	15</w:t>
      </w:r>
    </w:p>
    <w:p>
      <w:pPr>
        <w:tabs>
          <w:tab w:val="left" w:pos="8800" w:leader="dot"/>
        </w:tabs>
        <w:bidi/>
        <w:spacing w:after="0" w:line="480"/>
        <w:jc w:val="right"/>
      </w:pPr>
      <w:r>
        <w:rPr>
          <w:rFonts w:ascii="David" w:cs="David" w:eastAsia="David" w:hAnsi="David"/>
          <w:sz w:val="24"/>
          <w:szCs w:val="24"/>
          <w:rtl/>
        </w:rPr>
        <w:t xml:space="preserve">סיכום ומסקנות</w:t>
      </w:r>
      <w:r>
        <w:rPr>
          <w:rFonts w:ascii="David" w:cs="David" w:eastAsia="David" w:hAnsi="David"/>
          <w:sz w:val="24"/>
          <w:szCs w:val="24"/>
          <w:rtl/>
        </w:rPr>
        <w:t xml:space="preserve">	17</w:t>
      </w:r>
    </w:p>
    <w:p>
      <w:pPr>
        <w:tabs>
          <w:tab w:val="left" w:pos="8800" w:leader="dot"/>
        </w:tabs>
        <w:bidi/>
        <w:spacing w:after="0" w:line="480"/>
        <w:jc w:val="right"/>
      </w:pPr>
      <w:r>
        <w:rPr>
          <w:rFonts w:ascii="David" w:cs="David" w:eastAsia="David" w:hAnsi="David"/>
          <w:sz w:val="24"/>
          <w:szCs w:val="24"/>
          <w:rtl/>
        </w:rPr>
        <w:t xml:space="preserve">נספח א: תכנון המצגת והאמצעים להמחשה</w:t>
      </w:r>
      <w:r>
        <w:rPr>
          <w:rFonts w:ascii="David" w:cs="David" w:eastAsia="David" w:hAnsi="David"/>
          <w:sz w:val="24"/>
          <w:szCs w:val="24"/>
          <w:rtl/>
        </w:rPr>
        <w:t xml:space="preserve">	18</w:t>
      </w:r>
    </w:p>
    <w:p>
      <w:pPr>
        <w:tabs>
          <w:tab w:val="left" w:pos="8800" w:leader="dot"/>
        </w:tabs>
        <w:bidi/>
        <w:spacing w:after="0" w:line="480"/>
        <w:jc w:val="right"/>
      </w:pPr>
      <w:r>
        <w:rPr>
          <w:rFonts w:ascii="David" w:cs="David" w:eastAsia="David" w:hAnsi="David"/>
          <w:sz w:val="24"/>
          <w:szCs w:val="24"/>
          <w:rtl/>
        </w:rPr>
        <w:t xml:space="preserve">נספח ב: שאלון קצר להערכה עצמית</w:t>
      </w:r>
      <w:r>
        <w:rPr>
          <w:rFonts w:ascii="David" w:cs="David" w:eastAsia="David" w:hAnsi="David"/>
          <w:sz w:val="24"/>
          <w:szCs w:val="24"/>
          <w:rtl/>
        </w:rPr>
        <w:t xml:space="preserve">	19</w:t>
      </w:r>
    </w:p>
    <w:p>
      <w:pPr>
        <w:tabs>
          <w:tab w:val="left" w:pos="8800" w:leader="dot"/>
        </w:tabs>
        <w:bidi/>
        <w:spacing w:after="0" w:line="480"/>
        <w:jc w:val="right"/>
      </w:pPr>
      <w:r>
        <w:rPr>
          <w:rFonts w:ascii="David" w:cs="David" w:eastAsia="David" w:hAnsi="David"/>
          <w:sz w:val="24"/>
          <w:szCs w:val="24"/>
          <w:rtl/>
        </w:rPr>
        <w:t xml:space="preserve">רשימת מקורות</w:t>
      </w:r>
      <w:r>
        <w:rPr>
          <w:rFonts w:ascii="David" w:cs="David" w:eastAsia="David" w:hAnsi="David"/>
          <w:sz w:val="24"/>
          <w:szCs w:val="24"/>
          <w:rtl/>
        </w:rPr>
        <w:t xml:space="preserve">	20</w:t>
      </w:r>
    </w:p>
    <w:p>
      <w:pPr>
        <w:bidi/>
        <w:spacing w:after="120" w:before="240" w:line="276"/>
        <w:jc w:val="right"/>
      </w:pPr>
      <w:r>
        <w:rPr>
          <w:rFonts w:ascii="David" w:cs="David" w:eastAsia="David" w:hAnsi="David"/>
          <w:color w:val="595959"/>
          <w:sz w:val="20"/>
          <w:szCs w:val="20"/>
          <w:rtl/>
        </w:rPr>
        <w:t xml:space="preserve">מספרי העמודים משוערים ויש לעדכנם לאחר מילוי פרטי המגישים.</w:t>
      </w:r>
    </w:p>
    <w:p>
      <w:r>
        <w:br w:type="page"/>
      </w:r>
    </w:p>
    <w:p>
      <w:pPr>
        <w:pStyle w:val="Heading1"/>
        <w:bidi/>
        <w:spacing w:after="240" w:before="240" w:line="480"/>
        <w:jc w:val="right"/>
      </w:pPr>
      <w:r>
        <w:rPr>
          <w:rFonts w:ascii="David" w:cs="David" w:eastAsia="David" w:hAnsi="David"/>
          <w:b/>
          <w:bCs/>
          <w:color w:val="1F3864"/>
          <w:sz w:val="32"/>
          <w:szCs w:val="32"/>
          <w:rtl/>
        </w:rPr>
        <w:t xml:space="preserve">מבוא</w:t>
      </w:r>
    </w:p>
    <w:p>
      <w:pPr>
        <w:bidi/>
        <w:spacing w:after="120" w:before="0" w:line="480"/>
        <w:jc w:val="both"/>
      </w:pPr>
      <w:r>
        <w:rPr>
          <w:rFonts w:ascii="David" w:cs="David" w:eastAsia="David" w:hAnsi="David"/>
          <w:sz w:val="24"/>
          <w:szCs w:val="24"/>
          <w:rtl/>
        </w:rPr>
        <w:t xml:space="preserve">חוסר ביטחון תעסוקתי (</w:t>
      </w:r>
      <w:r>
        <w:rPr>
          <w:rFonts w:ascii="Times New Roman" w:cs="Times New Roman" w:eastAsia="Times New Roman" w:hAnsi="Times New Roman"/>
          <w:sz w:val="24"/>
          <w:szCs w:val="24"/>
        </w:rPr>
        <w:t xml:space="preserve">‎Job Insecurity‎</w:t>
      </w:r>
      <w:r>
        <w:rPr>
          <w:rFonts w:ascii="David" w:cs="David" w:eastAsia="David" w:hAnsi="David"/>
          <w:sz w:val="24"/>
          <w:szCs w:val="24"/>
          <w:rtl/>
        </w:rPr>
        <w:t xml:space="preserve">) נחקר מאז שנות השמונים, אז הוגדר לראשונה כתחושת חוסר אונים של העובד לשמור על ההמשכיות הרצויה לו במצב עבודה מאוים (</w:t>
      </w:r>
      <w:r>
        <w:rPr>
          <w:rFonts w:ascii="Times New Roman" w:cs="Times New Roman" w:eastAsia="Times New Roman" w:hAnsi="Times New Roman"/>
          <w:sz w:val="24"/>
          <w:szCs w:val="24"/>
        </w:rPr>
        <w:t xml:space="preserve">‎Greenhalgh &amp; Rosenblatt, 1984‎</w:t>
      </w:r>
      <w:r>
        <w:rPr>
          <w:rFonts w:ascii="David" w:cs="David" w:eastAsia="David" w:hAnsi="David"/>
          <w:sz w:val="24"/>
          <w:szCs w:val="24"/>
          <w:rtl/>
        </w:rPr>
        <w:t xml:space="preserve">). בשנים האחרונות התופעה חזרה למרכז השיח, משום שהיא כבר אינה נחלתם של עובדים זמניים או של ענפים במשבר בלבד.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חשים כי המשך העסקתם אינו מובן מאליו.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בשנת 2026 ("הקשיים של מנהלי הייטק", 2026).</w:t>
      </w:r>
    </w:p>
    <w:p>
      <w:pPr>
        <w:bidi/>
        <w:spacing w:after="120" w:before="0" w:line="480"/>
        <w:jc w:val="both"/>
      </w:pPr>
      <w:r>
        <w:rPr>
          <w:rFonts w:ascii="David" w:cs="David" w:eastAsia="David" w:hAnsi="David"/>
          <w:sz w:val="24"/>
          <w:szCs w:val="24"/>
          <w:rtl/>
        </w:rPr>
        <w:t xml:space="preserve">ניהול קריירה מתואר בספרות כתהליך מתמשך שבו הפרט אוסף מידע על עצמו ועל סביבתו, מציב יעדים ומפתח אסטרטגיות להשגתם (</w:t>
      </w:r>
      <w:r>
        <w:rPr>
          <w:rFonts w:ascii="Times New Roman" w:cs="Times New Roman" w:eastAsia="Times New Roman" w:hAnsi="Times New Roman"/>
          <w:sz w:val="24"/>
          <w:szCs w:val="24"/>
        </w:rPr>
        <w:t xml:space="preserve">‎Greenhaus et al., 2018‎</w:t>
      </w:r>
      <w:r>
        <w:rPr>
          <w:rFonts w:ascii="David" w:cs="David" w:eastAsia="David" w:hAnsi="David"/>
          <w:sz w:val="24"/>
          <w:szCs w:val="24"/>
          <w:rtl/>
        </w:rPr>
        <w:t xml:space="preserve">). תהליך כזה מניח מידה של יציבות. מכאן עולה השאלה שבמרכז עבודה זו: כיצד מנהלים קריירה כאשר אי-הוודאות הופכת לתנאי קבוע ולא לאירוע חריג? הנושא נבחר משום שהוא נוגע ישירות לסטודנטים הנמצאים לפני הכניסה לשוק העבודה או בתחילת דרכם המקצועית, ומשום שהוא מתחבר לנושאים שנלמדו בקורס: מסע הקריירה במאה ה-21 ושלושת "סלי הכלים" לניהול קריירה, רשת אנשים, זהות מקצועית והתפתחות (דבדבני דקל, 2026א), וההסתכלות על משבר כעל הזדמנות (דבדבני דקל, 2026ב).</w:t>
      </w:r>
    </w:p>
    <w:p>
      <w:pPr>
        <w:bidi/>
        <w:spacing w:after="120" w:before="0" w:line="480"/>
        <w:jc w:val="both"/>
      </w:pPr>
      <w:r>
        <w:rPr>
          <w:rFonts w:ascii="David" w:cs="David" w:eastAsia="David" w:hAnsi="David"/>
          <w:sz w:val="24"/>
          <w:szCs w:val="24"/>
          <w:rtl/>
        </w:rPr>
        <w:t xml:space="preserve">העבודה נשענת על הסקירה האינטגרטיבית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שפורסמה בכתב העת </w:t>
      </w:r>
      <w:r>
        <w:rPr>
          <w:rFonts w:ascii="Times New Roman" w:cs="Times New Roman" w:eastAsia="Times New Roman" w:hAnsi="Times New Roman"/>
          <w:sz w:val="24"/>
          <w:szCs w:val="24"/>
        </w:rPr>
        <w:t xml:space="preserve">‎Journal of Management‎</w:t>
      </w:r>
      <w:r>
        <w:rPr>
          <w:rFonts w:ascii="David" w:cs="David" w:eastAsia="David" w:hAnsi="David"/>
          <w:sz w:val="24"/>
          <w:szCs w:val="24"/>
          <w:rtl/>
        </w:rPr>
        <w:t xml:space="preserve">, מכתבי העת המובילים בתחום הניהול וההתנהגות הארגונית. המאמר מציע הגדרה לחוסר ביטחון תעסוקתי, מסגרת מושגית המארגנת עשרות שנות מחקר, והסבר לשאלה מדוע אנשים שונים מגיבים באופן שונה לאותו איום. כמאמר משלים, לצורך הגשה בשלשה, נבחרה הסקירה של לי ואחרים (</w:t>
      </w:r>
      <w:r>
        <w:rPr>
          <w:rFonts w:ascii="Times New Roman" w:cs="Times New Roman" w:eastAsia="Times New Roman" w:hAnsi="Times New Roman"/>
          <w:sz w:val="24"/>
          <w:szCs w:val="24"/>
        </w:rPr>
        <w:t xml:space="preserve">‎Lee et al., 2018‎</w:t>
      </w:r>
      <w:r>
        <w:rPr>
          <w:rFonts w:ascii="David" w:cs="David" w:eastAsia="David" w:hAnsi="David"/>
          <w:sz w:val="24"/>
          <w:szCs w:val="24"/>
          <w:rtl/>
        </w:rPr>
        <w:t xml:space="preserve">) מתוך </w:t>
      </w:r>
      <w:r>
        <w:rPr>
          <w:rFonts w:ascii="Times New Roman" w:cs="Times New Roman" w:eastAsia="Times New Roman" w:hAnsi="Times New Roman"/>
          <w:sz w:val="24"/>
          <w:szCs w:val="24"/>
        </w:rPr>
        <w:t xml:space="preserve">‎Annual Review of Organizational Psychology and Organizational Behavior‎</w:t>
      </w:r>
      <w:r>
        <w:rPr>
          <w:rFonts w:ascii="David" w:cs="David" w:eastAsia="David" w:hAnsi="David"/>
          <w:sz w:val="24"/>
          <w:szCs w:val="24"/>
          <w:rtl/>
        </w:rPr>
        <w:t xml:space="preserve">, הבוחנת את התופעה בהקשר של עולם העבודה המשתנה ובהשוואה בין-תרבותית. כראיה כמותית תומכת משמשת המטא-אנליזה של ג'יאנג ולאבייס (</w:t>
      </w:r>
      <w:r>
        <w:rPr>
          <w:rFonts w:ascii="Times New Roman" w:cs="Times New Roman" w:eastAsia="Times New Roman" w:hAnsi="Times New Roman"/>
          <w:sz w:val="24"/>
          <w:szCs w:val="24"/>
        </w:rPr>
        <w:t xml:space="preserve">‎Jiang &amp; Lavaysse, 2018‎</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הראיות התומכות.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1F3864"/>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E6E73"/>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פריט</w:t>
            </w:r>
          </w:p>
        </w:tc>
        <w:tc>
          <w:tcPr>
            <w:tcW w:type="dxa" w:w="6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‎Job Insecurity: An Integrative Review and Agenda for Future Research‎</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מחברת</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‎Mindy K. Shoss‎</w:t>
            </w:r>
            <w:r>
              <w:rPr>
                <w:rFonts w:ascii="David" w:cs="David" w:eastAsia="David" w:hAnsi="David"/>
                <w:sz w:val="22"/>
                <w:szCs w:val="22"/>
                <w:rtl/>
              </w:rPr>
              <w:t xml:space="preserve">, חוקרת בתחום הפסיכולוגיה התעשייתית-ארגונית מאוניברסיטת סנטרל פלורידה, ארצות הברית</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‎Journal of Management‎</w:t>
            </w:r>
            <w:r>
              <w:rPr>
                <w:rFonts w:ascii="David" w:cs="David" w:eastAsia="David" w:hAnsi="David"/>
                <w:sz w:val="22"/>
                <w:szCs w:val="22"/>
                <w:rtl/>
              </w:rPr>
              <w:t xml:space="preserve">, כרך 43, גיליון 6, עמ' 1911-1939 (2017)</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סקירה אינטגרטיבית (</w:t>
            </w:r>
            <w:r>
              <w:rPr>
                <w:rFonts w:ascii="Times New Roman" w:cs="Times New Roman" w:eastAsia="Times New Roman" w:hAnsi="Times New Roman"/>
                <w:sz w:val="22"/>
                <w:szCs w:val="22"/>
              </w:rPr>
              <w:t xml:space="preserve">‎Integrative Review‎</w:t>
            </w:r>
            <w:r>
              <w:rPr>
                <w:rFonts w:ascii="David" w:cs="David" w:eastAsia="David" w:hAnsi="David"/>
                <w:sz w:val="22"/>
                <w:szCs w:val="22"/>
                <w:rtl/>
              </w:rPr>
              <w:t xml:space="preserve">): מאמר תיאורטי המסנתז ספרות מחקרית ומציע מסגרת מושגית</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תחום</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 התנהגות ארגונית, פסיכולוגיה תעסוקתית</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מהמובילים בעולם בתחום הניהול. המאמר מצוטט מאות פעמים ומשמש נקודת ייחוס במחקר על חוסר ביטחון תעסוקתי</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המאמר נפתח בקביעה כי חוסר ביטחון תעסוקתי זוכה לתשומת לב מחקרית וציבורית הולכת וגוברת בעקבות שינויים טכנולוגיים, כלכליים ופוליטיים בעשורים האחרונים. עם זאת, הספרות בתחום מפוצלת: חוקרים מדיסציפלינות שונות משתמשים בהגדרות שונות, מודדים את התופעה בדרכים שונות ומערבבים בין התופעה עצמה לבין הגורמים לה ותוצאותיה. מטרת המאמר היא להציע מסגרת מושגית אחת המאחדת את הידע הקיים ומכוונת את המחקר העתידי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לשם כך מציבה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חמש מטרות. הראשונה היא הגדרה של חוסר ביטחון תעסוקתי המבחינה בינו לבין הגורמים לו, המשתנים הממתנים אותו ותוצאותיו. השנייה היא טיפולוגיה של מנגנונים ומוקדי איום המקשרים בין גורמים ברמת המאקרו, הארגון והפרט לבין תחושת חוסר הביטחון. השלישית היא זיהוי ארבעה מנגנונים שדרכם חוסר ביטחון מוביל לתוצאות: לחץ, חליפין חברתי, מוטיבציה לשימור המשרה והתמודדות פרואקטיבית. הרביעית היא הצעת שלוש קטגוריות של משתנים ממתנים, מאפייני האיום, פגיעוּת כלכלית ופגיעוּת פסיכולוגית, המסבירות מדוע אנשים שונים מגיבים באופן שונה. החמישית היא התוויית סדר יום למחקר עתידי.</w:t>
      </w:r>
    </w:p>
    <w:p>
      <w:r>
        <w:br w:type="page"/>
      </w:r>
    </w:p>
    <w:p>
      <w:pPr>
        <w:pStyle w:val="Heading1"/>
        <w:bidi/>
        <w:spacing w:after="240" w:before="240" w:line="480"/>
        <w:jc w:val="right"/>
      </w:pPr>
      <w:r>
        <w:rPr>
          <w:rFonts w:ascii="David" w:cs="David" w:eastAsia="David" w:hAnsi="David"/>
          <w:b/>
          <w:bCs/>
          <w:color w:val="1F3864"/>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E6E73"/>
          <w:sz w:val="28"/>
          <w:szCs w:val="28"/>
          <w:rtl/>
        </w:rPr>
        <w:t xml:space="preserve">2.1 ההגדרה: מהו חוסר ביטחון תעסוקתי?</w:t>
      </w:r>
    </w:p>
    <w:p>
      <w:pPr>
        <w:bidi/>
        <w:spacing w:after="120" w:before="0" w:line="480"/>
        <w:jc w:val="both"/>
      </w:pPr>
      <w:r>
        <w:rPr>
          <w:rFonts w:ascii="David" w:cs="David" w:eastAsia="David" w:hAnsi="David"/>
          <w:sz w:val="24"/>
          <w:szCs w:val="24"/>
          <w:rtl/>
        </w:rPr>
        <w:t xml:space="preserve">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מגדירה חוסר ביטחון תעסוקתי כאיום נתפס על ההמשכיות ועל היציבות של התעסוקה, כפי שהיא נחווית על ידי העובד בהווה. בהגדרה ארבעה רכיבים. הרכיב הראשון הוא התפיסה: מדובר בחוויה סובייקטיבית של העובד ולא במצב אובייקטיבי, ולכן שני עובדים באותו ארגון ועם אותו חוזה עשויים לחוש רמות שונות של ביטחון. הרכיב השני הוא האיום: התופעה מכוונת אל העתיד ושונה מאבטלה, שכבר התרחשה, ומפיטורים בפועל. הרכיב השלישי הוא ההמשכיות והיציבות: האיום יכול להיות על עצם קיום המשרה או על מאפייניה החשובים, כמו שכר, קידום, אוטונומיה ועמיתים. הרכיב הרביעי הוא ההתייחסות למשרה הנוכחית, להבדיל מחשש כללי מהעתיד או מתחושת יכולת תעסוקה נמוכה. בכך ההגדרה ממוקדת יותר מההגדרה המוקדמת, שהדגישה את תחושת חוסר האונים של העובד (</w:t>
      </w:r>
      <w:r>
        <w:rPr>
          <w:rFonts w:ascii="Times New Roman" w:cs="Times New Roman" w:eastAsia="Times New Roman" w:hAnsi="Times New Roman"/>
          <w:sz w:val="24"/>
          <w:szCs w:val="24"/>
        </w:rPr>
        <w:t xml:space="preserve">‎Greenhalgh &amp; Rosenblatt, 1984‎</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2.2 ממדי התופעה ומוקדי האיום</w:t>
      </w:r>
    </w:p>
    <w:p>
      <w:pPr>
        <w:bidi/>
        <w:spacing w:after="120" w:before="0" w:line="480"/>
        <w:jc w:val="both"/>
      </w:pPr>
      <w:r>
        <w:rPr>
          <w:rFonts w:ascii="David" w:cs="David" w:eastAsia="David" w:hAnsi="David"/>
          <w:sz w:val="24"/>
          <w:szCs w:val="24"/>
          <w:rtl/>
        </w:rPr>
        <w:t xml:space="preserve">המאמר מארגן את ההבחנות המקובלות בספרות סביב שני צירים. הציר הראשון מבחין בין חוסר ביטחון כמותי, שהוא חשש לאבד את המשרה כולה, לבין חוסר ביטחון איכותני, שהוא חשש לאבד מאפיינים מוערכים של המשרה גם אם היא נשמרת (</w:t>
      </w:r>
      <w:r>
        <w:rPr>
          <w:rFonts w:ascii="Times New Roman" w:cs="Times New Roman" w:eastAsia="Times New Roman" w:hAnsi="Times New Roman"/>
          <w:sz w:val="24"/>
          <w:szCs w:val="24"/>
        </w:rPr>
        <w:t xml:space="preserve">‎Hellgren et al., 1999‎</w:t>
      </w:r>
      <w:r>
        <w:rPr>
          <w:rFonts w:ascii="David" w:cs="David" w:eastAsia="David" w:hAnsi="David"/>
          <w:sz w:val="24"/>
          <w:szCs w:val="24"/>
          <w:rtl/>
        </w:rPr>
        <w:t xml:space="preserve">). הציר השני מבחין בין הרכיב הקוגניטיבי, כלומר ההערכה עד כמה האיום סביר, לבין הרכיב הרגשי, הדאגה והמצוקה שהאיום מעורר. ההבחנה בין רכיבים אלה נשענת על עבודה מוקדמת שפיתחה כלי מדידה רב-ממדי לחוסר ביטחון תעסוקתי (</w:t>
      </w:r>
      <w:r>
        <w:rPr>
          <w:rFonts w:ascii="Times New Roman" w:cs="Times New Roman" w:eastAsia="Times New Roman" w:hAnsi="Times New Roman"/>
          <w:sz w:val="24"/>
          <w:szCs w:val="24"/>
        </w:rPr>
        <w:t xml:space="preserve">‎Ashford et al., 1989‎</w:t>
      </w:r>
      <w:r>
        <w:rPr>
          <w:rFonts w:ascii="David" w:cs="David" w:eastAsia="David" w:hAnsi="David"/>
          <w:sz w:val="24"/>
          <w:szCs w:val="24"/>
          <w:rtl/>
        </w:rPr>
        <w:t xml:space="preserve">).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מכנה את הצירים "מוקדי איום" ומדגישה כי בתקופה של שינויים טכנולוגיים האיום האיכותני, שבו המשרה נשארת אך משתנה לרעה, חשוב לא פחות מהאיום הכמותי.</w:t>
      </w:r>
    </w:p>
    <w:p>
      <w:pPr>
        <w:pStyle w:val="Heading2"/>
        <w:bidi/>
        <w:spacing w:after="120" w:before="240" w:line="480"/>
        <w:jc w:val="right"/>
      </w:pPr>
      <w:r>
        <w:rPr>
          <w:rFonts w:ascii="David" w:cs="David" w:eastAsia="David" w:hAnsi="David"/>
          <w:b/>
          <w:bCs/>
          <w:color w:val="0E6E73"/>
          <w:sz w:val="28"/>
          <w:szCs w:val="28"/>
          <w:rtl/>
        </w:rPr>
        <w:t xml:space="preserve">2.3 הגורמים לחוסר ביטחון תעסוקתי</w:t>
      </w:r>
    </w:p>
    <w:p>
      <w:pPr>
        <w:bidi/>
        <w:spacing w:after="120" w:before="0" w:line="480"/>
        <w:jc w:val="both"/>
      </w:pPr>
      <w:r>
        <w:rPr>
          <w:rFonts w:ascii="David" w:cs="David" w:eastAsia="David" w:hAnsi="David"/>
          <w:sz w:val="24"/>
          <w:szCs w:val="24"/>
          <w:rtl/>
        </w:rPr>
        <w:t xml:space="preserve">המאמר ממפה את הגורמים לתופעה בשלוש רמות ומציע כי כל אחד מהם פועל דרך מנגנון מסוים, כגון איתותים ורמזים בסביבה, השוואה חברתית או נטיות אישיות המגבירות רגישות לאיום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טבלה 1 מסכמת את שלוש הרמות.</w:t>
      </w:r>
    </w:p>
    <w:p>
      <w:pPr>
        <w:bidi/>
        <w:spacing w:after="120" w:before="0" w:line="276"/>
        <w:jc w:val="right"/>
      </w:pPr>
      <w:r>
        <w:rPr>
          <w:rFonts w:ascii="David" w:cs="David" w:eastAsia="David" w:hAnsi="David"/>
          <w:b/>
          <w:bCs/>
          <w:sz w:val="22"/>
          <w:szCs w:val="22"/>
          <w:rtl/>
        </w:rPr>
        <w:t xml:space="preserve">טבלה 1: הגורמים לחוסר ביטחון תעסוקתי לפי רמות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רמה</w:t>
            </w:r>
          </w:p>
        </w:tc>
        <w:tc>
          <w:tcPr>
            <w:tcW w:type="dxa" w:w="7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דוגמאות לגורמים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מאקרו / סביבתית</w:t>
            </w:r>
          </w:p>
        </w:tc>
        <w:tc>
          <w:tcPr>
            <w:tcW w:type="dxa" w:w="7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מיתון ושיעורי אבטלה, שינויים טכנולוגיים (אוטומציה ובינה מלאכותית), גלובליזציה, רגולציה ומדיניות ממשלתית, משברים ביטחוניים ובריאותיים</w:t>
            </w:r>
          </w:p>
        </w:tc>
      </w:tr>
      <w:tr>
        <w:tc>
          <w:tcPr>
            <w:tcW w:type="dxa" w:w="2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ארגונית / תעסוקתית</w:t>
            </w:r>
          </w:p>
        </w:tc>
        <w:tc>
          <w:tcPr>
            <w:tcW w:type="dxa" w:w="7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צמצומים, מיזוגים ורכישות, ארגון מחדש, מיקור חוץ, חוזים זמניים, תקשורת ארגונית לקויה, תחושת חוסר צדק, שמועות</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אישית</w:t>
            </w:r>
          </w:p>
        </w:tc>
        <w:tc>
          <w:tcPr>
            <w:tcW w:type="dxa" w:w="7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תכונות אישיות (רגשיות שלילית, מוקד שליטה חיצוני, הערכה עצמית נמוכה), גיל, ותק, השכלה, יכולת תעסוקה נתפסת, מצב משפחתי וכלכלי</w:t>
            </w:r>
          </w:p>
        </w:tc>
      </w:tr>
    </w:tbl>
    <w:p>
      <w:pPr>
        <w:bidi/>
        <w:spacing w:after="120" w:before="0" w:line="276"/>
        <w:jc w:val="right"/>
      </w:pPr>
      <w:r>
        <w:rPr>
          <w:rFonts w:ascii="David" w:cs="David" w:eastAsia="David" w:hAnsi="David"/>
          <w:color w:val="595959"/>
          <w:sz w:val="20"/>
          <w:szCs w:val="20"/>
          <w:rtl/>
        </w:rPr>
        <w:t xml:space="preserve">מקור: עיבוד של המחברים על פי </w:t>
      </w:r>
      <w:r>
        <w:rPr>
          <w:rFonts w:ascii="Times New Roman" w:cs="Times New Roman" w:eastAsia="Times New Roman" w:hAnsi="Times New Roman"/>
          <w:color w:val="595959"/>
          <w:sz w:val="20"/>
          <w:szCs w:val="20"/>
        </w:rPr>
        <w:t xml:space="preserve">‎Shoss (2017)‎</w:t>
      </w:r>
      <w:r>
        <w:rPr>
          <w:rFonts w:ascii="David" w:cs="David" w:eastAsia="David" w:hAnsi="David"/>
          <w:color w:val="595959"/>
          <w:sz w:val="20"/>
          <w:szCs w:val="20"/>
          <w:rtl/>
        </w:rPr>
        <w:t xml:space="preserve">.</w:t>
      </w:r>
    </w:p>
    <w:p>
      <w:pPr>
        <w:pStyle w:val="Heading2"/>
        <w:bidi/>
        <w:spacing w:after="120" w:before="240" w:line="480"/>
        <w:jc w:val="right"/>
      </w:pPr>
      <w:r>
        <w:rPr>
          <w:rFonts w:ascii="David" w:cs="David" w:eastAsia="David" w:hAnsi="David"/>
          <w:b/>
          <w:bCs/>
          <w:color w:val="0E6E73"/>
          <w:sz w:val="28"/>
          <w:szCs w:val="28"/>
          <w:rtl/>
        </w:rPr>
        <w:t xml:space="preserve">2.4 ארבעת המנגנונים: כיצד חוסר ביטחון מוביל לתוצאות?</w:t>
      </w:r>
    </w:p>
    <w:p>
      <w:pPr>
        <w:bidi/>
        <w:spacing w:after="120" w:before="0" w:line="480"/>
        <w:jc w:val="both"/>
      </w:pPr>
      <w:r>
        <w:rPr>
          <w:rFonts w:ascii="David" w:cs="David" w:eastAsia="David" w:hAnsi="David"/>
          <w:sz w:val="24"/>
          <w:szCs w:val="24"/>
          <w:rtl/>
        </w:rPr>
        <w:t xml:space="preserve">תרומתו המרכזית של המאמר היא בזיהוי ארבעה מנגנונים מקבילים, ולעיתים סותרים, שדרכם חוסר ביטחון תעסוקתי משפיע על העובד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המנגנון הראשון הוא הלחץ. בהתבסס על תיאוריית ההערכה וההתמודדות (</w:t>
      </w:r>
      <w:r>
        <w:rPr>
          <w:rFonts w:ascii="Times New Roman" w:cs="Times New Roman" w:eastAsia="Times New Roman" w:hAnsi="Times New Roman"/>
          <w:sz w:val="24"/>
          <w:szCs w:val="24"/>
        </w:rPr>
        <w:t xml:space="preserve">‎Lazarus &amp; Folkman, 1984‎</w:t>
      </w:r>
      <w:r>
        <w:rPr>
          <w:rFonts w:ascii="David" w:cs="David" w:eastAsia="David" w:hAnsi="David"/>
          <w:sz w:val="24"/>
          <w:szCs w:val="24"/>
          <w:rtl/>
        </w:rPr>
        <w:t xml:space="preserve">) ועל תיאוריית שימור המשאבים (</w:t>
      </w:r>
      <w:r>
        <w:rPr>
          <w:rFonts w:ascii="Times New Roman" w:cs="Times New Roman" w:eastAsia="Times New Roman" w:hAnsi="Times New Roman"/>
          <w:sz w:val="24"/>
          <w:szCs w:val="24"/>
        </w:rPr>
        <w:t xml:space="preserve">‎Hobfoll, 1989‎</w:t>
      </w:r>
      <w:r>
        <w:rPr>
          <w:rFonts w:ascii="David" w:cs="David" w:eastAsia="David" w:hAnsi="David"/>
          <w:sz w:val="24"/>
          <w:szCs w:val="24"/>
          <w:rtl/>
        </w:rPr>
        <w:t xml:space="preserve">), חוסר ביטחון נחווה כאיום על משאבים חיוניים: הכנסה, מעמד, זהות ושגרה. האיום הצפוי, ולא רק האובדן בפועל, מדלדל משאבים ומוביל למתח, לשחיקה, לירידה בבריאות הנפשית והפיזית ולהשלכות על חיי המשפחה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המנגנון השני הוא החליפין החברתי. העובד תופס את חוסר הביטחון כהפרה של החוזה הפסיכולוגי שבינו לבין הארגון, שלפיו נאמנות ומאמץ נענים בביטחון תעסוקתי. ההפרה מובילה לירידה במחויבות, באמון ובשביעות הרצון, לצמצום התנהגויות אזרחות ארגונית ולעיתים להתנהגויות נגד-פרודוקטיביות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המנגנון השלישי הוא המוטיבציה לשימור המשרה. בניגוד לשני הקודמים, מנגנון זה מסביר מדוע עובדים חסרי ביטחון עשויים דווקא להגביר מאמץ, להימנע מהשמעת ביקורת, לעסוק בניהול רושם ולהגיע לעבודה גם כשהם חולים. תגובות אלה משמרות את המשרה בטווח הקצר, במחיר בריאותי ורגשי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המנגנון הרביעי הוא ההתמודדות הפרואקטיבית. חוסר ביטחון עשוי לדרבן חיפוש עבודה, רכישת מיומנויות חדשות, בניית רשת קשרים ותכנון חלופות קריירה. זהו המנגנון הבריא ביותר מבין הארבעה, אך הוא דורש זמן, אנרגיה וביטחון עצמי, בדיוק המשאבים שמנגנון הלחץ מדלדל.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מדגישה את המתח המובנה בין המנגנונים: העובד עשוי לרצות בו-זמנית להשקיע יותר כדי לשמור על המשרה ולחפש עבודה אחרת, והבנת המתח הזה מסבירה מדוע מחקרים שונים מצאו קשרים סותרים בין חוסר ביטחון לבין ביצועים.</w:t>
      </w:r>
    </w:p>
    <w:p>
      <w:pPr>
        <w:pStyle w:val="Heading2"/>
        <w:bidi/>
        <w:spacing w:after="120" w:before="240" w:line="480"/>
        <w:jc w:val="right"/>
      </w:pPr>
      <w:r>
        <w:rPr>
          <w:rFonts w:ascii="David" w:cs="David" w:eastAsia="David" w:hAnsi="David"/>
          <w:b/>
          <w:bCs/>
          <w:color w:val="0E6E73"/>
          <w:sz w:val="28"/>
          <w:szCs w:val="28"/>
          <w:rtl/>
        </w:rPr>
        <w:t xml:space="preserve">2.5 המשתנים הממתנים: מדוע לא כולם מגיבים אותו דבר?</w:t>
      </w:r>
    </w:p>
    <w:p>
      <w:pPr>
        <w:bidi/>
        <w:spacing w:after="120" w:before="0" w:line="480"/>
        <w:jc w:val="both"/>
      </w:pPr>
      <w:r>
        <w:rPr>
          <w:rFonts w:ascii="David" w:cs="David" w:eastAsia="David" w:hAnsi="David"/>
          <w:sz w:val="24"/>
          <w:szCs w:val="24"/>
          <w:rtl/>
        </w:rPr>
        <w:t xml:space="preserve">המאמר מציע שלוש קטגוריות של משתנים הממתנים את עוצמת התגובה לחוסר ביטחון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טבלה 2 מציגה אותן.</w:t>
      </w:r>
    </w:p>
    <w:p>
      <w:pPr>
        <w:bidi/>
        <w:spacing w:after="120" w:before="0" w:line="276"/>
        <w:jc w:val="right"/>
      </w:pPr>
      <w:r>
        <w:rPr>
          <w:rFonts w:ascii="David" w:cs="David" w:eastAsia="David" w:hAnsi="David"/>
          <w:b/>
          <w:bCs/>
          <w:sz w:val="22"/>
          <w:szCs w:val="22"/>
          <w:rtl/>
        </w:rPr>
        <w:t xml:space="preserve">טבלה 2: קטגוריות המשתנים הממתנים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קטגוריה</w:t>
            </w:r>
          </w:p>
        </w:tc>
        <w:tc>
          <w:tcPr>
            <w:tcW w:type="dxa" w:w="6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משתנים לדוגמה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מאפייני האיום (</w:t>
            </w:r>
            <w:r>
              <w:rPr>
                <w:rFonts w:ascii="Times New Roman" w:cs="Times New Roman" w:eastAsia="Times New Roman" w:hAnsi="Times New Roman"/>
                <w:sz w:val="22"/>
                <w:szCs w:val="22"/>
              </w:rPr>
              <w:t xml:space="preserve">‎Threat Features‎</w:t>
            </w:r>
            <w:r>
              <w:rPr>
                <w:rFonts w:ascii="David" w:cs="David" w:eastAsia="David" w:hAnsi="David"/>
                <w:sz w:val="22"/>
                <w:szCs w:val="22"/>
                <w:rtl/>
              </w:rPr>
              <w:t xml:space="preserve">)</w:t>
            </w:r>
          </w:p>
        </w:tc>
        <w:tc>
          <w:tcPr>
            <w:tcW w:type="dxa" w:w="6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הסתברות האיום, חומרתו, מיידיותו, משך הזמן שבו הוא נמשך, ומידת השליטה הנתפסת של העובד עליו</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פגיעוּת כלכלית (</w:t>
            </w:r>
            <w:r>
              <w:rPr>
                <w:rFonts w:ascii="Times New Roman" w:cs="Times New Roman" w:eastAsia="Times New Roman" w:hAnsi="Times New Roman"/>
                <w:sz w:val="22"/>
                <w:szCs w:val="22"/>
              </w:rPr>
              <w:t xml:space="preserve">‎Economic Vulnerabilities‎</w:t>
            </w:r>
            <w:r>
              <w:rPr>
                <w:rFonts w:ascii="David" w:cs="David" w:eastAsia="David" w:hAnsi="David"/>
                <w:sz w:val="22"/>
                <w:szCs w:val="22"/>
                <w:rtl/>
              </w:rPr>
              <w:t xml:space="preserve">)</w:t>
            </w:r>
          </w:p>
        </w:tc>
        <w:tc>
          <w:tcPr>
            <w:tcW w:type="dxa" w:w="6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תלות כלכלית במשרה, חובות והתחייבויות משפחתיות, היעדר חסכונות, יכולת תעסוקה נמוכה, מצב שוק העבודה, היקף רשת הביטחון הסוציאלי</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פגיעוּת פסיכולוגית (</w:t>
            </w:r>
            <w:r>
              <w:rPr>
                <w:rFonts w:ascii="Times New Roman" w:cs="Times New Roman" w:eastAsia="Times New Roman" w:hAnsi="Times New Roman"/>
                <w:sz w:val="22"/>
                <w:szCs w:val="22"/>
              </w:rPr>
              <w:t xml:space="preserve">‎Psychological Vulnerabilities‎</w:t>
            </w:r>
            <w:r>
              <w:rPr>
                <w:rFonts w:ascii="David" w:cs="David" w:eastAsia="David" w:hAnsi="David"/>
                <w:sz w:val="22"/>
                <w:szCs w:val="22"/>
                <w:rtl/>
              </w:rPr>
              <w:t xml:space="preserve">)</w:t>
            </w:r>
          </w:p>
        </w:tc>
        <w:tc>
          <w:tcPr>
            <w:tcW w:type="dxa" w:w="6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נוירוטיות, מסוגלות עצמית נמוכה, סגנון התמודדות נמנע, מרכזיות העבודה בזהות, עוגן קריירה של ביטחון ויציבות, היעדר תמיכה חברתית</w:t>
            </w:r>
          </w:p>
        </w:tc>
      </w:tr>
    </w:tbl>
    <w:p>
      <w:pPr>
        <w:bidi/>
        <w:spacing w:after="120" w:before="0" w:line="276"/>
        <w:jc w:val="right"/>
      </w:pPr>
      <w:r>
        <w:rPr>
          <w:rFonts w:ascii="David" w:cs="David" w:eastAsia="David" w:hAnsi="David"/>
          <w:color w:val="595959"/>
          <w:sz w:val="20"/>
          <w:szCs w:val="20"/>
          <w:rtl/>
        </w:rPr>
        <w:t xml:space="preserve">מקור: עיבוד של המחברים על פי </w:t>
      </w:r>
      <w:r>
        <w:rPr>
          <w:rFonts w:ascii="Times New Roman" w:cs="Times New Roman" w:eastAsia="Times New Roman" w:hAnsi="Times New Roman"/>
          <w:color w:val="595959"/>
          <w:sz w:val="20"/>
          <w:szCs w:val="20"/>
        </w:rPr>
        <w:t xml:space="preserve">‎Shoss (2017)‎</w:t>
      </w:r>
      <w:r>
        <w:rPr>
          <w:rFonts w:ascii="David" w:cs="David" w:eastAsia="David" w:hAnsi="David"/>
          <w:color w:val="595959"/>
          <w:sz w:val="20"/>
          <w:szCs w:val="20"/>
          <w:rtl/>
        </w:rPr>
        <w:t xml:space="preserve">.</w:t>
      </w:r>
    </w:p>
    <w:p>
      <w:pPr>
        <w:bidi/>
        <w:spacing w:after="120" w:before="0" w:line="480"/>
        <w:jc w:val="both"/>
      </w:pPr>
      <w:r>
        <w:rPr>
          <w:rFonts w:ascii="David" w:cs="David" w:eastAsia="David" w:hAnsi="David"/>
          <w:sz w:val="24"/>
          <w:szCs w:val="24"/>
          <w:rtl/>
        </w:rPr>
        <w:t xml:space="preserve">המסר המעשי של חלק זה הוא שהתגובה לחוסר ביטחון אינה גזירת גורל. כאשר האיום נתפס כניתן לשליטה, כאשר לעובד יש כרית כלכלית ויכולת תעסוקה גבוהה, וכאשר הוא ניחן במסוגלות עצמית ובתמיכה חברתית, ההשפעות השליליות קטנות והסיכוי לתגובה פרואקטיבית גדל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2.6 סדר היום למחקר עתידי</w:t>
      </w:r>
    </w:p>
    <w:p>
      <w:pPr>
        <w:bidi/>
        <w:spacing w:after="120" w:before="0" w:line="480"/>
        <w:jc w:val="both"/>
      </w:pPr>
      <w:r>
        <w:rPr>
          <w:rFonts w:ascii="David" w:cs="David" w:eastAsia="David" w:hAnsi="David"/>
          <w:sz w:val="24"/>
          <w:szCs w:val="24"/>
          <w:rtl/>
        </w:rPr>
        <w:t xml:space="preserve">בחלקו האחרון מציע המאמר כיווני מחקר: בחינת חוסר ביטחון כתהליך דינמי לאורך זמן ולא כמדידה חד-פעמית, הבחנה בין איומים אובייקטיביים לסובייקטיביים, מחקר רב-רמתי של צוותים וארגונים שלמים החווים חוסר ביטחון, התייחסות לצורות העסקה חדשות שבהן חוסר ביטחון הוא מצב מתמשך, ופיתוח התערבויות ארגוניות ואישיות המחזקות את המנגנון הפרואקטיבי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1F3864"/>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E6E73"/>
          <w:sz w:val="28"/>
          <w:szCs w:val="28"/>
          <w:rtl/>
        </w:rPr>
        <w:t xml:space="preserve">3.1 מבנה המאמר</w:t>
      </w:r>
    </w:p>
    <w:p>
      <w:pPr>
        <w:bidi/>
        <w:spacing w:after="120" w:before="0" w:line="480"/>
        <w:jc w:val="both"/>
      </w:pPr>
      <w:r>
        <w:rPr>
          <w:rFonts w:ascii="David" w:cs="David" w:eastAsia="David" w:hAnsi="David"/>
          <w:sz w:val="24"/>
          <w:szCs w:val="24"/>
          <w:rtl/>
        </w:rPr>
        <w:t xml:space="preserve">טבלה 3 מציגה את חלקי המאמר, את תוכנם ואת תרומתו של כל חלק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276"/>
        <w:jc w:val="right"/>
      </w:pPr>
      <w:r>
        <w:rPr>
          <w:rFonts w:ascii="David" w:cs="David" w:eastAsia="David" w:hAnsi="David"/>
          <w:b/>
          <w:bCs/>
          <w:sz w:val="22"/>
          <w:szCs w:val="22"/>
          <w:rtl/>
        </w:rPr>
        <w:t xml:space="preserve">טבלה 3: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חלק</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2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פתיחה והצגת הבעיה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הרלוונטיות הגוברת של הנושא, פיצול הספרות ובלבול מושגי</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בסקירה אינטגרטיבית</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הגדרה ומיפוי מושגי</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הגדרה חדשה, הבחנה בין ממדים, ובין התופעה לגורמיה ותוצאותיה</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בהירות מושגית לחוקרים ולמנהלים</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גורמים ומנגנוני היווצרות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טיפולוגיה של גורמים ברמת מאקרו, ארגון ופרט ומוקדי איום</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הסבר מדוע אותו אירוע מייצר תחושות שונות</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מנגנוני תוצאה</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לחץ, חליפין חברתי, שימור משרה, התמודדות פרואקטיבית</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הסבר לממצאים סותרים בספרות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משתנים ממתנים</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מאפייני האיום, פגיעות כלכלית ופסיכולוגית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בסיס להתערבויות ממוקדות</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סדר יום למחקר</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כיווני מחקר ושאלות פתוחות</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הכוונת התחום קדימה</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3.2 השיטה</w:t>
      </w:r>
    </w:p>
    <w:p>
      <w:pPr>
        <w:bidi/>
        <w:spacing w:after="120" w:before="0" w:line="480"/>
        <w:jc w:val="both"/>
      </w:pPr>
      <w:r>
        <w:rPr>
          <w:rFonts w:ascii="David" w:cs="David" w:eastAsia="David" w:hAnsi="David"/>
          <w:sz w:val="24"/>
          <w:szCs w:val="24"/>
          <w:rtl/>
        </w:rPr>
        <w:t xml:space="preserve">המאמר אינו מחקר אמפירי אלא סקירה אינטגרטיבית. המחברת סוקרת ומסנתזת מחקרים תיאורטיים ואמפיריים ממגוון דיסציפלינות, ניהול, התנהגות ארגונית, פסיכולוגיה, סוציולוגיה וכלכלה, ובונה מהם מסגרת מושגית אחת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גישה זו שונה ממטא-אנליזה, שבה מאחדים סטטיסטית את תוצאות המחקרים, ושונה ממחקר ראשוני שבו אוספים נתונים חדשים.</w:t>
      </w:r>
    </w:p>
    <w:p>
      <w:pPr>
        <w:bidi/>
        <w:spacing w:after="120" w:before="0" w:line="480"/>
        <w:jc w:val="both"/>
      </w:pPr>
      <w:r>
        <w:rPr>
          <w:rFonts w:ascii="David" w:cs="David" w:eastAsia="David" w:hAnsi="David"/>
          <w:sz w:val="24"/>
          <w:szCs w:val="24"/>
          <w:rtl/>
        </w:rPr>
        <w:t xml:space="preserve">לשיטה זו כמה יתרונות: רוחב היריעה ויכולת לחבר בין ממצאים שנחקרו בנפרד, יצירת שפה משותפת, זיהוי סתירות בספרות והצעת הסבר להן, וניסוח שאלות מחקר חדשות. יש לה גם מגבלות. הסקירה אינה מכמתת את עוצמת הקשרים ואינה מאפשרת לקבוע איזה מנגנון דומיננטי. קיים סיכון להטיה בבחירת המחקרים הנסקרים. רוב המחקרים שנסקרו הם מחקרי חתך המבוססים על דיווח עצמי, ולכן קשה להסיק מהם סיבתיות, והמסגרת נשענת בעיקר על מחקרים מארצות הברית ומאירופה. כדי לגשר על מגבלות אלה נעזרת העבודה, בפרק 4, במטא-אנליזה כמותית ובסקירה בין-תרבותית.</w:t>
      </w:r>
    </w:p>
    <w:p>
      <w:pPr>
        <w:pStyle w:val="Heading2"/>
        <w:bidi/>
        <w:spacing w:after="120" w:before="240" w:line="480"/>
        <w:jc w:val="right"/>
      </w:pPr>
      <w:r>
        <w:rPr>
          <w:rFonts w:ascii="David" w:cs="David" w:eastAsia="David" w:hAnsi="David"/>
          <w:b/>
          <w:bCs/>
          <w:color w:val="0E6E73"/>
          <w:sz w:val="28"/>
          <w:szCs w:val="28"/>
          <w:rtl/>
        </w:rPr>
        <w:t xml:space="preserve">3.3 הממצאים והמסקנות המרכזיות</w:t>
      </w:r>
    </w:p>
    <w:p>
      <w:pPr>
        <w:bidi/>
        <w:spacing w:after="120" w:before="0" w:line="480"/>
        <w:jc w:val="both"/>
      </w:pPr>
      <w:r>
        <w:rPr>
          <w:rFonts w:ascii="David" w:cs="David" w:eastAsia="David" w:hAnsi="David"/>
          <w:sz w:val="24"/>
          <w:szCs w:val="24"/>
          <w:rtl/>
        </w:rPr>
        <w:t xml:space="preserve">ממצאי המאמר ניתנים לסיכום בחמש קביעות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ראשית, חוסר ביטחון תעסוקתי הוא תפיסה סובייקטיבית של איום עתידי, ולכן ניתן להשפיע עליה גם ללא שינוי במצב האובייקטיבי, באמצעות מידע, תקשורת ופרשנות. שנית, התופעה רב-ממדית, כמותית ואיכותנית, קוגניטיבית ורגשית, והתעלמות מהממד האיכותני מחמיצה חלק גדול מן החוויה בתקופה של שינוי טכנולוגי. שלישית, הקשר בין חוסר ביטחון לתוצאות עובר דרך ארבעה מנגנונים מקבילים שיכולים לפעול באותו עובד בו-זמנית. רביעית, בסך הכול חוסר ביטחון הוא בעיקר גורם לחץ מעכב הפוגע בבריאות, בעמדות ובביצועים לאורך זמן, אך בתנאים מסוימים הוא מדרבן פעולה פרואקטיבית. חמישית, עוצמת התגובה תלויה במאפייני האיום ובפגיעוּת הכלכלית והפסיכולוגית של העובד, ומכאן שניתן לבנות חוסן מראש.</w:t>
      </w:r>
    </w:p>
    <w:p>
      <w:r>
        <w:br w:type="page"/>
      </w:r>
    </w:p>
    <w:p>
      <w:pPr>
        <w:pStyle w:val="Heading1"/>
        <w:bidi/>
        <w:spacing w:after="240" w:before="240" w:line="480"/>
        <w:jc w:val="right"/>
      </w:pPr>
      <w:r>
        <w:rPr>
          <w:rFonts w:ascii="David" w:cs="David" w:eastAsia="David" w:hAnsi="David"/>
          <w:b/>
          <w:bCs/>
          <w:color w:val="1F3864"/>
          <w:sz w:val="32"/>
          <w:szCs w:val="32"/>
          <w:rtl/>
        </w:rPr>
        <w:t xml:space="preserve">פרק 4: המאמר המשלים וראיות תומכות</w:t>
      </w:r>
    </w:p>
    <w:p>
      <w:pPr>
        <w:pStyle w:val="Heading2"/>
        <w:bidi/>
        <w:spacing w:after="120" w:before="240" w:line="480"/>
        <w:jc w:val="right"/>
      </w:pPr>
      <w:r>
        <w:rPr>
          <w:rFonts w:ascii="David" w:cs="David" w:eastAsia="David" w:hAnsi="David"/>
          <w:b/>
          <w:bCs/>
          <w:color w:val="0E6E73"/>
          <w:sz w:val="28"/>
          <w:szCs w:val="28"/>
          <w:rtl/>
        </w:rPr>
        <w:t xml:space="preserve">4.1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‎Job Insecurity and the Changing Workplace: Recent Developments and the Future Trends in Job Insecurity Research‎</w:t>
      </w:r>
      <w:r>
        <w:rPr>
          <w:rFonts w:ascii="David" w:cs="David" w:eastAsia="David" w:hAnsi="David"/>
          <w:sz w:val="24"/>
          <w:szCs w:val="24"/>
          <w:rtl/>
        </w:rPr>
        <w:t xml:space="preserve"> פורסם ב-</w:t>
      </w:r>
      <w:r>
        <w:rPr>
          <w:rFonts w:ascii="Times New Roman" w:cs="Times New Roman" w:eastAsia="Times New Roman" w:hAnsi="Times New Roman"/>
          <w:sz w:val="24"/>
          <w:szCs w:val="24"/>
        </w:rPr>
        <w:t xml:space="preserve">‎Annual Review of Organizational Psychology and Organizational Behavior‎</w:t>
      </w:r>
      <w:r>
        <w:rPr>
          <w:rFonts w:ascii="David" w:cs="David" w:eastAsia="David" w:hAnsi="David"/>
          <w:sz w:val="24"/>
          <w:szCs w:val="24"/>
          <w:rtl/>
        </w:rPr>
        <w:t xml:space="preserve">, כתב עת המפרסם סקירות מוזמנות מאת חוקרים מובילים בלבד (</w:t>
      </w:r>
      <w:r>
        <w:rPr>
          <w:rFonts w:ascii="Times New Roman" w:cs="Times New Roman" w:eastAsia="Times New Roman" w:hAnsi="Times New Roman"/>
          <w:sz w:val="24"/>
          <w:szCs w:val="24"/>
        </w:rPr>
        <w:t xml:space="preserve">‎Lee et al., 2018‎</w:t>
      </w:r>
      <w:r>
        <w:rPr>
          <w:rFonts w:ascii="David" w:cs="David" w:eastAsia="David" w:hAnsi="David"/>
          <w:sz w:val="24"/>
          <w:szCs w:val="24"/>
          <w:rtl/>
        </w:rPr>
        <w:t xml:space="preserve">). המחברים, סינתיה לי מאוניברסיטת נורת'איסטרן, גואו-הואה הואנג מהאוניברסיטה הבפטיסטית של הונג קונג וסוזן אשפורד מאוניברסיטת מישיגן, נמנים עם החוקרים הבולטים בתחום. אשפורד היא ממחברות המחקר שפיתח את אחד מכלי המדידה הראשונים לחוסר ביטחון תעסוקתי (</w:t>
      </w:r>
      <w:r>
        <w:rPr>
          <w:rFonts w:ascii="Times New Roman" w:cs="Times New Roman" w:eastAsia="Times New Roman" w:hAnsi="Times New Roman"/>
          <w:sz w:val="24"/>
          <w:szCs w:val="24"/>
        </w:rPr>
        <w:t xml:space="preserve">‎Ashford et al., 1989‎</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מטרת המאמר היא לעדכן את הידע בתחום לאור מחקרים שנערכו ברחבי העולם מאז 2003. הוא סוקר את ההמשגה והמדידה של חוסר ביטחון תעסוקתי, את הגורמים לו, את תוצאותיו ואת המשתנים הממתנים, וכן את הפרספקטיבות התיאורטיות המסבירות את הקשרים בין חוסר ביטחון לתוצאותיו. ייחודו בשני היבטים. ראשית, הוא בוחן את התופעה בהשוואה בין אזורים ותרבויות ומראה כי עוצמת ההשלכות משתנה בין מדינות, בין היתר בהתאם לרשת הביטחון הסוציאלי ולנורמות תרבותיות. שנית, הוא ממקם את התופעה בעולם העבודה המשתנה: כלכלת הגיג, העסקה זמנית וטכנולוגיה הופכות את חוסר הביטחון ממצב חריג וזמני למצב כרוני, ומכאן הצורך בכלי מחקר וניהול חדשים (</w:t>
      </w:r>
      <w:r>
        <w:rPr>
          <w:rFonts w:ascii="Times New Roman" w:cs="Times New Roman" w:eastAsia="Times New Roman" w:hAnsi="Times New Roman"/>
          <w:sz w:val="24"/>
          <w:szCs w:val="24"/>
        </w:rPr>
        <w:t xml:space="preserve">‎Lee et al., 2018‎</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מספקת את השלד התיאורטי, הגדרה, מנגנונים ומשתנים ממתנים. לי ואחרים (</w:t>
      </w:r>
      <w:r>
        <w:rPr>
          <w:rFonts w:ascii="Times New Roman" w:cs="Times New Roman" w:eastAsia="Times New Roman" w:hAnsi="Times New Roman"/>
          <w:sz w:val="24"/>
          <w:szCs w:val="24"/>
        </w:rPr>
        <w:t xml:space="preserve">‎Lee et al., 2018‎</w:t>
      </w:r>
      <w:r>
        <w:rPr>
          <w:rFonts w:ascii="David" w:cs="David" w:eastAsia="David" w:hAnsi="David"/>
          <w:sz w:val="24"/>
          <w:szCs w:val="24"/>
          <w:rtl/>
        </w:rPr>
        <w:t xml:space="preserve">) מוסיפים את הבסיס האמפירי הבין-תרבותי ואת ההקשר של עולם העבודה החדש. יחד הם מאפשרים תמונה מלאה: מהי התופעה, כיצד היא פועלת, ומדוע היא רלוונטית במיוחד לדור הנוכחי של העובדים.</w:t>
      </w:r>
    </w:p>
    <w:p>
      <w:pPr>
        <w:pStyle w:val="Heading2"/>
        <w:bidi/>
        <w:spacing w:after="120" w:before="240" w:line="480"/>
        <w:jc w:val="right"/>
      </w:pPr>
      <w:r>
        <w:rPr>
          <w:rFonts w:ascii="David" w:cs="David" w:eastAsia="David" w:hAnsi="David"/>
          <w:b/>
          <w:bCs/>
          <w:color w:val="0E6E73"/>
          <w:sz w:val="28"/>
          <w:szCs w:val="28"/>
          <w:rtl/>
        </w:rPr>
        <w:t xml:space="preserve">4.2 ראיה כמותית תומכת</w:t>
      </w:r>
    </w:p>
    <w:p>
      <w:pPr>
        <w:bidi/>
        <w:spacing w:after="120" w:before="0" w:line="480"/>
        <w:jc w:val="both"/>
      </w:pPr>
      <w:r>
        <w:rPr>
          <w:rFonts w:ascii="David" w:cs="David" w:eastAsia="David" w:hAnsi="David"/>
          <w:sz w:val="24"/>
          <w:szCs w:val="24"/>
          <w:rtl/>
        </w:rPr>
        <w:t xml:space="preserve">המטא-אנליזה של ג'יאנג ולאבייס (</w:t>
      </w:r>
      <w:r>
        <w:rPr>
          <w:rFonts w:ascii="Times New Roman" w:cs="Times New Roman" w:eastAsia="Times New Roman" w:hAnsi="Times New Roman"/>
          <w:sz w:val="24"/>
          <w:szCs w:val="24"/>
        </w:rPr>
        <w:t xml:space="preserve">‎Jiang &amp; Lavaysse, 2018‎</w:t>
      </w:r>
      <w:r>
        <w:rPr>
          <w:rFonts w:ascii="David" w:cs="David" w:eastAsia="David" w:hAnsi="David"/>
          <w:sz w:val="24"/>
          <w:szCs w:val="24"/>
          <w:rtl/>
        </w:rPr>
        <w:t xml:space="preserve">), שפורסמה אף היא ב-</w:t>
      </w:r>
      <w:r>
        <w:rPr>
          <w:rFonts w:ascii="Times New Roman" w:cs="Times New Roman" w:eastAsia="Times New Roman" w:hAnsi="Times New Roman"/>
          <w:sz w:val="24"/>
          <w:szCs w:val="24"/>
        </w:rPr>
        <w:t xml:space="preserve">‎Journal of Management‎</w:t>
      </w:r>
      <w:r>
        <w:rPr>
          <w:rFonts w:ascii="David" w:cs="David" w:eastAsia="David" w:hAnsi="David"/>
          <w:sz w:val="24"/>
          <w:szCs w:val="24"/>
          <w:rtl/>
        </w:rPr>
        <w:t xml:space="preserve">, איחדה נתונים מ-535 מדגמים בלתי תלויים ובחנה 56 תוצאות ומתאמים. הממצאים מחזקים את המסגרת של שוס: חוסר ביטחון תעסוקתי נמצא קשור באופן מובהק ל-51 מתוך 56 התוצאות, הרכיב הרגשי נמצא קשור בעוצמה חזקה יותר לרוב התוצאות מאשר הרכיב הקוגניטיבי, וברוב המקרים הרכיב הרגשי תיווך את הקשר בין ההערכה הקוגניטיבית לבין התוצאות (</w:t>
      </w:r>
      <w:r>
        <w:rPr>
          <w:rFonts w:ascii="Times New Roman" w:cs="Times New Roman" w:eastAsia="Times New Roman" w:hAnsi="Times New Roman"/>
          <w:sz w:val="24"/>
          <w:szCs w:val="24"/>
        </w:rPr>
        <w:t xml:space="preserve">‎Jiang &amp; Lavaysse, 2018‎</w:t>
      </w:r>
      <w:r>
        <w:rPr>
          <w:rFonts w:ascii="David" w:cs="David" w:eastAsia="David" w:hAnsi="David"/>
          <w:sz w:val="24"/>
          <w:szCs w:val="24"/>
          <w:rtl/>
        </w:rPr>
        <w:t xml:space="preserve">). במילים אחרות, לא עצם המחשבה שהפיטורים אפשריים היא הפוגעת, אלא הדאגה שהיא מעוררת. זהו המקום שבו כלים של ויסות רגשי, תמיכה ומסגור מחדש יכולים לעזור.</w:t>
      </w:r>
    </w:p>
    <w:p>
      <w:r>
        <w:br w:type="page"/>
      </w:r>
    </w:p>
    <w:p>
      <w:pPr>
        <w:pStyle w:val="Heading1"/>
        <w:bidi/>
        <w:spacing w:after="240" w:before="240" w:line="480"/>
        <w:jc w:val="right"/>
      </w:pPr>
      <w:r>
        <w:rPr>
          <w:rFonts w:ascii="David" w:cs="David" w:eastAsia="David" w:hAnsi="David"/>
          <w:b/>
          <w:bCs/>
          <w:color w:val="1F3864"/>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E6E73"/>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שחוסר ביטחון הוא פרשנות ולא רק עובדה. מכיוון שמדובר בתפיסה סובייקטיבית של איום, יש לעובד מרחב השפעה: איסוף מידע אמין במקום שמועות, בחינה מציאותית של ההסתברות והחומרה, ומיקוד במה שבשליטתו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התובנה השנייה נוגעת לאופי האיום בשנת 2026. הבינה המלאכותית אינה בהכרח מבטלת את המשרה, אך היא משנה את תוכנה. בנק ישראל (2025) מעריך כי חלק ניכר מהמועסקים עובדים במקצועות שבהם הביקוש יירד, ולכן מי שמנהל קריירה צריך לשאול לא רק אם ישמור על המשרה, אלא אם המשרה שישמור עליה עדיין תתאים לו. זהו האיום האיכותני שעליו הצביעו הלגרן ואחרים (</w:t>
      </w:r>
      <w:r>
        <w:rPr>
          <w:rFonts w:ascii="Times New Roman" w:cs="Times New Roman" w:eastAsia="Times New Roman" w:hAnsi="Times New Roman"/>
          <w:sz w:val="24"/>
          <w:szCs w:val="24"/>
        </w:rPr>
        <w:t xml:space="preserve">‎Hellgren et al., 1999‎</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התובנה השלישית היא שארבעת המנגנונים מסבירים התנהגויות שנראות סותרות. עובד יכול להשקיע שעות נוספות כדי לא לבלוט, ובמקביל לשלוח קורות חיים בסתר. הבנה זו חשובה למנהלים: מאמץ מוגבר בתקופת אי-ודאות אינו בהכרח סימן למחויבות, ולעיתים הוא סימן לפחד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התובנה הרביעית היא שחוסן אפשר לבנות מראש. המשתנים הממתנים, כרית כלכלית, יכולת תעסוקה, מסוגלות עצמית ותמיכה חברתית, ניתנים ברובם לפיתוח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זהו הגשר בין המאמר לבין ניהול קריירה. התובנה החמישית, הנגזרת מהמטא-אנליזה, היא שהרגש הוא המנוף: עבודה על הדאגה חשובה לא פחות מעבודה על המצב האובייקטיבי (</w:t>
      </w:r>
      <w:r>
        <w:rPr>
          <w:rFonts w:ascii="Times New Roman" w:cs="Times New Roman" w:eastAsia="Times New Roman" w:hAnsi="Times New Roman"/>
          <w:sz w:val="24"/>
          <w:szCs w:val="24"/>
        </w:rPr>
        <w:t xml:space="preserve">‎Jiang &amp; Lavaysse, 2018‎</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שבעולם שבו חוסר ודאות הוא ברירת המחדל, ניהול קריירה טוב הוא בראש ובראשונה ניהול של משאבים כלכליים, מקצועיים, חברתיים ופסיכולוגיים, המאפשרים לבחור בתגובה הפרואקטיבית במקום להיגרר לתגובת הלחץ או לשימור המשרה בכל מחיר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ברמה הארגונית, המסקנה היא שתקשורת שקופה, הוגנות בתהליכי שינוי והשקעה ביכולת התעסוקה של העובדים אינן מותרות אלא כלי ניהולי המפחית את הנזק של חוסר ביטחון לעובד ולארגון כאחד (</w:t>
      </w:r>
      <w:r>
        <w:rPr>
          <w:rFonts w:ascii="Times New Roman" w:cs="Times New Roman" w:eastAsia="Times New Roman" w:hAnsi="Times New Roman"/>
          <w:sz w:val="24"/>
          <w:szCs w:val="24"/>
        </w:rPr>
        <w:t xml:space="preserve">‎Lee et al., 2018; Shoss, 2017‎</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הבהירות המושגית. לפני הקריאה תפסנו חוסר ביטחון תעסוקתי כתחושה אחת אמורפית, והמאמר פירק אותה לרכיבים שאפשר לעבוד איתם. במיוחד התחברנו לרעיון ארבעת המנגנונים, שהסביר לנו התנהגויות שראינו במקומות העבודה שלנו ושל הורינו בתקופות של צמצומים. ההבחנה בין פגיעות כלכלית לפסיכולוגית נתנה לנו רשימה של דברים שאפשר לעשות כבר עכשיו, בתור סטודנטים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לנו ארבעה דברים. ראשית, המאמר תיאורטי ואינו מציע התערבויות מעשיות, ואת השאלה "מה עושים עם זה" נאלצנו לענות בעצמנו בפרק 6. שנית, המאמר נכתב לפני מגפת הקורונה ולפני פריצת הבינה המלאכותית היוצרת, ולכן חלק מהדוגמאות מיושנות, אם כי המסגרת עצמה מחזיקה מעמד היטב. שלישית, המאמר מתמקד באיום שמקורו בארגון ובשוק העבודה, ואילו המציאות הישראלית מוסיפה ממד שהוא אינו דן בו: חוסר ודאות שמקורו בסביבה הביטחונית, במילואים ממושכים ובמצב הכלכלי, המשפיע גם על עובדים שהארגון שלהם יציב לחלוטין. רביעית, המאמר נשען בעיקר על מחקרים מערביים, פער שהמאמר המשלים ממלא חלקית (</w:t>
      </w:r>
      <w:r>
        <w:rPr>
          <w:rFonts w:ascii="Times New Roman" w:cs="Times New Roman" w:eastAsia="Times New Roman" w:hAnsi="Times New Roman"/>
          <w:sz w:val="24"/>
          <w:szCs w:val="24"/>
        </w:rPr>
        <w:t xml:space="preserve">‎Lee et al., 2018‎</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שהמאמר צודק בכך שחוסר ביטחון הוא ברובו גורם לחץ מזיק. ועדיין, על סמך מה שלמדנו בקורס על משבר כהזדמנות (דבדבני דקל, 2026ב) ועל סמך ניסיוננו בתרבות הישראלית של אלתור והסתגלות, אנחנו מאמינים שמידה מסוימת של חוסר ודאות יכולה להיות מנוע לצמיחה, בתנאי שקיימים המשאבים שהמאמר מתאר. בלי משאבים חוסר ודאות משתק. עם משאבים הוא מניע. לכן המסר שלנו לכיתה אינו "אל תפחדו", אלא "בנו את הכרית שתאפשר לכם לפעול".</w:t>
      </w:r>
    </w:p>
    <w:p>
      <w:r>
        <w:br w:type="page"/>
      </w:r>
    </w:p>
    <w:p>
      <w:pPr>
        <w:pStyle w:val="Heading1"/>
        <w:bidi/>
        <w:spacing w:after="240" w:before="240" w:line="480"/>
        <w:jc w:val="right"/>
      </w:pPr>
      <w:r>
        <w:rPr>
          <w:rFonts w:ascii="David" w:cs="David" w:eastAsia="David" w:hAnsi="David"/>
          <w:b/>
          <w:bCs/>
          <w:color w:val="1F3864"/>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E6E73"/>
          <w:sz w:val="28"/>
          <w:szCs w:val="28"/>
          <w:rtl/>
        </w:rPr>
        <w:t xml:space="preserve">6.1 מפת החוסן התעסוקתי: כלי אישי הנגזר מהמאמר</w:t>
      </w:r>
    </w:p>
    <w:p>
      <w:pPr>
        <w:bidi/>
        <w:spacing w:after="120" w:before="0" w:line="480"/>
        <w:jc w:val="both"/>
      </w:pPr>
      <w:r>
        <w:rPr>
          <w:rFonts w:ascii="David" w:cs="David" w:eastAsia="David" w:hAnsi="David"/>
          <w:sz w:val="24"/>
          <w:szCs w:val="24"/>
          <w:rtl/>
        </w:rPr>
        <w:t xml:space="preserve">המסגרת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תורגמה בעבודה זו לכלי עבודה אישי בן ארבעה שלבים, שכל סטודנט בכיתה יכול למלא בעצמו. הרעיון הוא לעבוד מראש על שלושת המשתנים הממתנים ולבחור במודע במנגנון הפרואקטיבי, במקום לחכות שהאיום יגיע. טבלה 4 מציגה את הכלי.</w:t>
      </w:r>
    </w:p>
    <w:p>
      <w:pPr>
        <w:bidi/>
        <w:spacing w:after="120" w:before="0" w:line="276"/>
        <w:jc w:val="right"/>
      </w:pPr>
      <w:r>
        <w:rPr>
          <w:rFonts w:ascii="David" w:cs="David" w:eastAsia="David" w:hAnsi="David"/>
          <w:b/>
          <w:bCs/>
          <w:sz w:val="22"/>
          <w:szCs w:val="22"/>
          <w:rtl/>
        </w:rPr>
        <w:t xml:space="preserve">טבלה 4: מפת החוסן התעסוקתי</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שלב</w:t>
            </w:r>
          </w:p>
        </w:tc>
        <w:tc>
          <w:tcPr>
            <w:tcW w:type="dxa" w:w="3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שאלות מנחות</w:t>
            </w:r>
          </w:p>
        </w:tc>
        <w:tc>
          <w:tcPr>
            <w:tcW w:type="dxa" w:w="3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פעולות מומלצות</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 הערכת האיום (מאפייני האיום)</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ההסתברות הריאלית? מה החומרה? מתי? מה בשליטתי ומה לא?</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להחליף שמועות במידע: שיחה ישירה עם המנהל, מעקב אחר מצב החברה והענף, הבחנה בין איום כמותי לאיכותני</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 הקטנת הפגיעוּת הכלכלית</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כמה חודשים אוכל להחזיק מעמד ללא הכנסה? כמה קל לי למצוא עבודה דומה?</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קרן חירום של שלושה עד שישה חודשי הוצאות. פיתוח מקור הכנסה משלים. עדכון קורות חיים ופרופיל לינקדאין אחת לחצי שנה. שמירה על מיומנויות מבוקשות, כולל כלי בינה מלאכותית</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 הקטנת הפגיעוּת הפסיכולוגית</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עד כמה הזהות שלי תלויה בתפקיד הנוכחי? למי אני יכול לפנות? איך אני מגיב ללחץ?</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בניית זהות מקצועית שאינה תלויה בארגון. רשת תמיכה של משפחה, חברים ומנטור. תרגול מסגור מחדש. פעילות גופנית ושגרה</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 בחירת מנגנון התגובה</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האם אני "מתכופף" (שימור משרה) או פועל (פרואקטיביות)?</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זמן קבוע שבועי ללמידה ולנטוורקינג. יעד למידה שנתי. תכנון "תוכנית ב" עוד לפני שצריך אותה</w:t>
            </w:r>
          </w:p>
        </w:tc>
      </w:tr>
    </w:tbl>
    <w:p>
      <w:pPr>
        <w:bidi/>
        <w:spacing w:after="120" w:before="0" w:line="276"/>
        <w:jc w:val="right"/>
      </w:pPr>
      <w:r>
        <w:rPr>
          <w:rFonts w:ascii="David" w:cs="David" w:eastAsia="David" w:hAnsi="David"/>
          <w:color w:val="595959"/>
          <w:sz w:val="20"/>
          <w:szCs w:val="20"/>
          <w:rtl/>
        </w:rPr>
        <w:t xml:space="preserve">מקור: פיתוח של המחברים על פי </w:t>
      </w:r>
      <w:r>
        <w:rPr>
          <w:rFonts w:ascii="Times New Roman" w:cs="Times New Roman" w:eastAsia="Times New Roman" w:hAnsi="Times New Roman"/>
          <w:color w:val="595959"/>
          <w:sz w:val="20"/>
          <w:szCs w:val="20"/>
        </w:rPr>
        <w:t xml:space="preserve">‎Shoss (2017)‎</w:t>
      </w:r>
      <w:r>
        <w:rPr>
          <w:rFonts w:ascii="David" w:cs="David" w:eastAsia="David" w:hAnsi="David"/>
          <w:color w:val="595959"/>
          <w:sz w:val="20"/>
          <w:szCs w:val="20"/>
          <w:rtl/>
        </w:rPr>
        <w:t xml:space="preserve">.</w:t>
      </w:r>
    </w:p>
    <w:p>
      <w:pPr>
        <w:pStyle w:val="Heading2"/>
        <w:bidi/>
        <w:spacing w:after="120" w:before="240" w:line="480"/>
        <w:jc w:val="right"/>
      </w:pPr>
      <w:r>
        <w:rPr>
          <w:rFonts w:ascii="David" w:cs="David" w:eastAsia="David" w:hAnsi="David"/>
          <w:b/>
          <w:bCs/>
          <w:color w:val="0E6E73"/>
          <w:sz w:val="28"/>
          <w:szCs w:val="28"/>
          <w:rtl/>
        </w:rPr>
        <w:t xml:space="preserve">6.2 קישור לכלים שנלמדו בקורס</w:t>
      </w:r>
    </w:p>
    <w:p>
      <w:pPr>
        <w:bidi/>
        <w:spacing w:after="120" w:before="0" w:line="480"/>
        <w:jc w:val="both"/>
      </w:pPr>
      <w:r>
        <w:rPr>
          <w:rFonts w:ascii="David" w:cs="David" w:eastAsia="David" w:hAnsi="David"/>
          <w:sz w:val="24"/>
          <w:szCs w:val="24"/>
          <w:rtl/>
        </w:rPr>
        <w:t xml:space="preserve">שלושת "סלי הכלים" שנלמדו בקורס, רשת אנשים, זהות מקצועית והתפתחות (דבדבני דקל, 2026א), הם בדיוק המשאבים הממתנים שהמאמר מתאר. רשת אנשים היא תמיכה חברתית וגישה להזדמנויות. זהות מקצועית המנותקת מתפקיד או מארגון מקטינה את האיום האיכותני ואת הפגיעות הפסיכולוגית. תוכנית למידה שנתית היא יכולת תעסוקה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תיאוריות הקריירה הקלאסיות מתחברות למסגרת. לפי מודל עוגני הקריירה, מי שעוגן הביטחון והיציבות דומיננטי אצלו פגיע יותר לחוסר ביטחון, ועליו לשקול סביבות עבודה יציבות יותר או להשקיע במודע בבניית ביטחון פנימי שאינו תלוי במעסיק (</w:t>
      </w:r>
      <w:r>
        <w:rPr>
          <w:rFonts w:ascii="Times New Roman" w:cs="Times New Roman" w:eastAsia="Times New Roman" w:hAnsi="Times New Roman"/>
          <w:sz w:val="24"/>
          <w:szCs w:val="24"/>
        </w:rPr>
        <w:t xml:space="preserve">‎Schein, 1996‎</w:t>
      </w:r>
      <w:r>
        <w:rPr>
          <w:rFonts w:ascii="David" w:cs="David" w:eastAsia="David" w:hAnsi="David"/>
          <w:sz w:val="24"/>
          <w:szCs w:val="24"/>
          <w:rtl/>
        </w:rPr>
        <w:t xml:space="preserve">). לפי גישת מרחב החיים, רוב הסטודנטים בכיתה נמצאים בשלב החקירה או הביסוס, שבו חוסר ודאות הוא חלק טבעי מההתפתחות, והבנה זו מקלה על הרכיב הרגשי (</w:t>
      </w:r>
      <w:r>
        <w:rPr>
          <w:rFonts w:ascii="Times New Roman" w:cs="Times New Roman" w:eastAsia="Times New Roman" w:hAnsi="Times New Roman"/>
          <w:sz w:val="24"/>
          <w:szCs w:val="24"/>
        </w:rPr>
        <w:t xml:space="preserve">‎Super, 1980‎</w:t>
      </w:r>
      <w:r>
        <w:rPr>
          <w:rFonts w:ascii="David" w:cs="David" w:eastAsia="David" w:hAnsi="David"/>
          <w:sz w:val="24"/>
          <w:szCs w:val="24"/>
          <w:rtl/>
        </w:rPr>
        <w:t xml:space="preserve">). ממאמר החובה בקורס עולה שתמיכה במקום העבודה ובמשפחה משפרת זמינות פסיכולוגית ואנרגיה בעבודה, משאבים המגנים מפני השחיקה שחוסר ביטחון מייצר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לבסוף, העיקרון של בניית תמונת מצב סדורה, שמירה על מזומן ומיקוד במה שבשליטה, שנלמד בהקשר של משבר הקורונה (דבדבני דקל, 2026ב), הוא יישום ישיר של ההתמודדות הפרואקטיבית.</w:t>
      </w:r>
    </w:p>
    <w:p>
      <w:pPr>
        <w:pStyle w:val="Heading2"/>
        <w:bidi/>
        <w:spacing w:after="120" w:before="240" w:line="480"/>
        <w:jc w:val="right"/>
      </w:pPr>
      <w:r>
        <w:rPr>
          <w:rFonts w:ascii="David" w:cs="David" w:eastAsia="David" w:hAnsi="David"/>
          <w:b/>
          <w:bCs/>
          <w:color w:val="0E6E73"/>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 נגזרות ארבע המלצות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הראשונה היא תקשורת שקופה ומהירה, משום שבהיעדר מידע העובדים משלימים את התמונה בשמועות והאיום הנתפס גדל. השנייה היא הוגנות בתהליכי שינוי, משום שצדק תהליכי מפחית את תחושת הפרת החוזה הפסיכולוגי. השלישית היא השקעה ביכולת התעסוקה של העובדים: בניגוד לאינטואיציה, עובד שמרגיש שיוכל למצוא עבודה בקלות חש בטוח יותר ומחויב יותר. הרביעית היא תשומת לב לעובדים ש"מתכופפים", שכן מאמץ מוגבר ושתיקה בתקופות אי-ודאות עשויים להסתיר מצוקה ולא מחויבות.</w:t>
      </w:r>
    </w:p>
    <w:p>
      <w:pPr>
        <w:pStyle w:val="Heading2"/>
        <w:bidi/>
        <w:spacing w:after="120" w:before="240" w:line="480"/>
        <w:jc w:val="right"/>
      </w:pPr>
      <w:r>
        <w:rPr>
          <w:rFonts w:ascii="David" w:cs="David" w:eastAsia="David" w:hAnsi="David"/>
          <w:b/>
          <w:bCs/>
          <w:color w:val="0E6E73"/>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כתבת עיתון על אתגרי מנהלי ההייטק וההתייעלות באמצעות בינה מלאכותית ("הקשיים של מנהלי הייטק", 2026) לצד נתוני בנק ישראל (2025),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תרשים של המודל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טבלת מפת החוסן והפעלה קבוצתית קצרה עם כרטיסי תרחיש.</w:t>
      </w:r>
    </w:p>
    <w:p>
      <w:r>
        <w:br w:type="page"/>
      </w:r>
    </w:p>
    <w:p>
      <w:pPr>
        <w:pStyle w:val="Heading1"/>
        <w:bidi/>
        <w:spacing w:after="240" w:before="240" w:line="480"/>
        <w:jc w:val="right"/>
      </w:pPr>
      <w:r>
        <w:rPr>
          <w:rFonts w:ascii="David" w:cs="David" w:eastAsia="David" w:hAnsi="David"/>
          <w:b/>
          <w:bCs/>
          <w:color w:val="1F3864"/>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כיצד מנהלים קריירה כאשר אי-הוודאות הופכת לתנאי קבוע. התשובה שעלתה מהסקירה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היא שחוסר ביטחון תעסוקתי הוא איום נתפס ורב-ממדי, הפועל דרך ארבעה מנגנונים, ושעוצמתו תלויה במאפייני האיום ובפגיעוּת הכלכלית והפסיכולוגית של העובד. הסקירה של לי ואחרים (</w:t>
      </w:r>
      <w:r>
        <w:rPr>
          <w:rFonts w:ascii="Times New Roman" w:cs="Times New Roman" w:eastAsia="Times New Roman" w:hAnsi="Times New Roman"/>
          <w:sz w:val="24"/>
          <w:szCs w:val="24"/>
        </w:rPr>
        <w:t xml:space="preserve">‎Lee et al., 2018‎</w:t>
      </w:r>
      <w:r>
        <w:rPr>
          <w:rFonts w:ascii="David" w:cs="David" w:eastAsia="David" w:hAnsi="David"/>
          <w:sz w:val="24"/>
          <w:szCs w:val="24"/>
          <w:rtl/>
        </w:rPr>
        <w:t xml:space="preserve">) הוסיפה כי בעולם העבודה החדש חוסר הביטחון הוא מצב כרוני ולא אירוע, והמטא-אנליזה של ג'יאנג ולאבייס (</w:t>
      </w:r>
      <w:r>
        <w:rPr>
          <w:rFonts w:ascii="Times New Roman" w:cs="Times New Roman" w:eastAsia="Times New Roman" w:hAnsi="Times New Roman"/>
          <w:sz w:val="24"/>
          <w:szCs w:val="24"/>
        </w:rPr>
        <w:t xml:space="preserve">‎Jiang &amp; Lavaysse, 2018‎</w:t>
      </w:r>
      <w:r>
        <w:rPr>
          <w:rFonts w:ascii="David" w:cs="David" w:eastAsia="David" w:hAnsi="David"/>
          <w:sz w:val="24"/>
          <w:szCs w:val="24"/>
          <w:rtl/>
        </w:rPr>
        <w:t xml:space="preserve">) הראתה כי הרכיב הרגשי הוא המתווך העיקרי של הנזק.</w:t>
      </w:r>
    </w:p>
    <w:p>
      <w:pPr>
        <w:bidi/>
        <w:spacing w:after="120" w:before="0" w:line="480"/>
        <w:jc w:val="both"/>
      </w:pPr>
      <w:r>
        <w:rPr>
          <w:rFonts w:ascii="David" w:cs="David" w:eastAsia="David" w:hAnsi="David"/>
          <w:sz w:val="24"/>
          <w:szCs w:val="24"/>
          <w:rtl/>
        </w:rPr>
        <w:t xml:space="preserve">מכאן נגזרות המלצות יישומיות. לסטודנט: לבנות קרן חירום של שלושה עד שישה חודשי הוצאות, לקבוע יעד למידה שנתי ולהקצות לו זמן שבועי קבוע, לעדכן קורות חיים ופרופיל מקצועי אחת לחצי שנה, ולטפח רשת תמיכה שאינה תלויה במקום העבודה הנוכחי. למנהל: לתקשר שינויים במהירות ובשקיפות, להקפיד על צדק תהליכי, להשקיע בהכשרת העובדים גם כשהיא מגדילה את סיכויי עזיבתם, ולהתייחס למאמץ מוגבר ולשתיקה בתקופת אי-ודאות כסימן אפשרי למצוקה. את האיום לא תמיד אפשר למנוע. את הכרית שמאפשרת לפעול אפשר לבנות, וזו הבשורה של המאמר לניהול קריירה.</w:t>
      </w:r>
    </w:p>
    <w:p>
      <w:r>
        <w:br w:type="page"/>
      </w:r>
    </w:p>
    <w:p>
      <w:pPr>
        <w:pStyle w:val="Heading1"/>
        <w:bidi/>
        <w:spacing w:after="240" w:before="240" w:line="480"/>
        <w:jc w:val="right"/>
      </w:pPr>
      <w:r>
        <w:rPr>
          <w:rFonts w:ascii="David" w:cs="David" w:eastAsia="David" w:hAnsi="David"/>
          <w:b/>
          <w:bCs/>
          <w:color w:val="1F3864"/>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זמן</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"מי כאן בטוח שיהיה באותו תפקיד בעוד שנתיים?"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תוצאות על המסך</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ההגדרה, ממדי האיום, ארבעת המנגנונים, המשתנים הממתנים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המודל, טבלת 2×2 של מוקדי האיום</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ראיות תומכות ותובנות: המטא-אנליזה, "הרגש הוא המנוף", דעה אישית</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מספרים (535 מדגמים, 51 מתוך 56 תוצאות)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6:00-7:30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90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7:30-9:00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כרטיסי תרחיש בזוגות ומילוי מהיר של מפת החוסן</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כרטיסים מודפסים או שקופית תרחיש, טבלת מפת החוסן</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כרטיסי תרחיש להפעלה</w:t>
      </w:r>
    </w:p>
    <w:p>
      <w:pPr>
        <w:pStyle w:val="ListParagraph"/>
        <w:numPr>
          <w:ilvl w:val="0"/>
          <w:numId w:val="2"/>
        </w:numPr>
        <w:bidi/>
        <w:spacing w:after="60" w:line="480"/>
        <w:jc w:val="both"/>
      </w:pPr>
      <w:r>
        <w:rPr>
          <w:rFonts w:ascii="David" w:cs="David" w:eastAsia="David" w:hAnsi="David"/>
          <w:sz w:val="24"/>
          <w:szCs w:val="24"/>
          <w:rtl/>
        </w:rPr>
        <w:t xml:space="preserve">תרחיש א: עובדי מטה בחברת הייטק. הבוקר נשלח מייל מהמנכ"ל על "התייעלות של 15% ברבעון הקרוב", ללא פרטים נוספים. מה תעשו בשבוע הקרוב?</w:t>
      </w:r>
    </w:p>
    <w:p>
      <w:pPr>
        <w:pStyle w:val="ListParagraph"/>
        <w:numPr>
          <w:ilvl w:val="0"/>
          <w:numId w:val="2"/>
        </w:numPr>
        <w:bidi/>
        <w:spacing w:after="60" w:line="480"/>
        <w:jc w:val="both"/>
      </w:pPr>
      <w:r>
        <w:rPr>
          <w:rFonts w:ascii="David" w:cs="David" w:eastAsia="David" w:hAnsi="David"/>
          <w:sz w:val="24"/>
          <w:szCs w:val="24"/>
          <w:rtl/>
        </w:rPr>
        <w:t xml:space="preserve">תרחיש ב: עובדים בשירות לקוחות. הארגון הודיע שמערכת בינה מלאכותית תטפל מעתה ב-60% מהפניות. התפקיד נשאר, אך תוכנו ישתנה. איך תגיבו?</w:t>
      </w:r>
    </w:p>
    <w:p>
      <w:pPr>
        <w:pStyle w:val="ListParagraph"/>
        <w:numPr>
          <w:ilvl w:val="0"/>
          <w:numId w:val="2"/>
        </w:numPr>
        <w:bidi/>
        <w:spacing w:after="60" w:line="480"/>
        <w:jc w:val="both"/>
      </w:pPr>
      <w:r>
        <w:rPr>
          <w:rFonts w:ascii="David" w:cs="David" w:eastAsia="David" w:hAnsi="David"/>
          <w:sz w:val="24"/>
          <w:szCs w:val="24"/>
          <w:rtl/>
        </w:rPr>
        <w:t xml:space="preserve">תרחיש ג: עצמאיים. הלקוח הגדול ביותר, 40% מההכנסה, הודיע על הקפאת פרויקטים "עד שהמצב יתבהר". מה הצעד הראשון?</w:t>
      </w:r>
    </w:p>
    <w:p>
      <w:pPr>
        <w:bidi/>
        <w:spacing w:after="120" w:before="0" w:line="360"/>
        <w:jc w:val="both"/>
      </w:pPr>
      <w:r>
        <w:rPr>
          <w:rFonts w:ascii="David" w:cs="David" w:eastAsia="David" w:hAnsi="David"/>
          <w:sz w:val="24"/>
          <w:szCs w:val="24"/>
          <w:rtl/>
        </w:rPr>
        <w:t xml:space="preserve">בכל תרחיש הזוגות עונים על שלוש שאלות מתוך מפת החוסן: מה האיום בפועל, כמותי או איכותני, ומה בשליטתי? איזו פגיעות, כלכלית או פסיכולוגית, הכי מטרידה אותי? איזו פעולה פרואקטיבית אחת אעשה השבוע?</w:t>
      </w:r>
    </w:p>
    <w:p>
      <w:r>
        <w:br w:type="page"/>
      </w:r>
    </w:p>
    <w:p>
      <w:pPr>
        <w:pStyle w:val="Heading1"/>
        <w:bidi/>
        <w:spacing w:after="240" w:before="240" w:line="480"/>
        <w:jc w:val="right"/>
      </w:pPr>
      <w:r>
        <w:rPr>
          <w:rFonts w:ascii="David" w:cs="David" w:eastAsia="David" w:hAnsi="David"/>
          <w:b/>
          <w:bCs/>
          <w:color w:val="1F3864"/>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פריטי מדידה נפוצים בספרות על חוסר ביטחון תעסוקתי (</w:t>
      </w:r>
      <w:r>
        <w:rPr>
          <w:rFonts w:ascii="Times New Roman" w:cs="Times New Roman" w:eastAsia="Times New Roman" w:hAnsi="Times New Roman"/>
          <w:sz w:val="24"/>
          <w:szCs w:val="24"/>
        </w:rPr>
        <w:t xml:space="preserve">‎Ashford et al., 1989; Hellgren et al., 1999‎</w:t>
      </w:r>
      <w:r>
        <w:rPr>
          <w:rFonts w:ascii="David" w:cs="David" w:eastAsia="David" w:hAnsi="David"/>
          <w:sz w:val="24"/>
          <w:szCs w:val="24"/>
          <w:rtl/>
        </w:rPr>
        <w:t xml:space="preserve">), ואינו כלי מדידה מתוקף. 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w:t>
            </w:r>
          </w:p>
        </w:tc>
        <w:tc>
          <w:tcPr>
            <w:tcW w:type="dxa" w:w="5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היגד</w:t>
            </w:r>
          </w:p>
        </w:tc>
        <w:tc>
          <w:tcPr>
            <w:tcW w:type="dxa" w:w="2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אני חושש שאאבד את מקום עבודתי בשנה הקרובה.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כמותי, קוגניטיבי</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המחשבה על אובדן העבודה מעסיקה אותי ומדאיגה אותי.</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כמותי, רגשי</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אני חושש שתפקידי ישתנה לרעה (שכר, אחריות, עניין) גם אם אשמור על המשרה.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איכותני, קוגניטיבי</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אם אאבד את עבודתי, יהיה לי קשה מאוד להחזיק מעמד כלכלית מעבר לחודשיים.</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פגיעות כלכלית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אני מאמין שאמצא עבודה דומה בקלות יחסית.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יכולת תעסוקה (היגד הפוך)</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אנשים שאוכל לפנות אליהם לעצה ולתמיכה אם אקלע לאי-ודאות תעסוקתית.</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תמיכה חברתית (היגד הפוך)</w:t>
            </w:r>
          </w:p>
        </w:tc>
      </w:tr>
    </w:tbl>
    <w:p>
      <w:pPr>
        <w:spacing w:after="120"/>
      </w:pPr>
    </w:p>
    <w:p>
      <w:pPr>
        <w:bidi/>
        <w:spacing w:after="120" w:before="0" w:line="360"/>
        <w:jc w:val="both"/>
      </w:pPr>
      <w:r>
        <w:rPr>
          <w:rFonts w:ascii="David" w:cs="David" w:eastAsia="David" w:hAnsi="David"/>
          <w:sz w:val="24"/>
          <w:szCs w:val="24"/>
          <w:rtl/>
        </w:rPr>
        <w:t xml:space="preserve">פרשנות: ציון גבוה בהיגדים 1 עד 3 מעיד על איום נתפס גבוה. ציון גבוה בהיגד 4 ונמוך בהיגדים 5 ו-6 מעיד על פגיעוּת גבוהה. השילוב של איום גבוה ופגיעוּת גבוהה הוא המצב שבו המאמר מנבא את הנזק הגדול ביותר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וזו ההזמנה להתחיל לעבוד על מפת החוסן.</w:t>
      </w:r>
    </w:p>
    <w:p>
      <w:r>
        <w:br w:type="page"/>
      </w:r>
    </w:p>
    <w:p>
      <w:pPr>
        <w:pStyle w:val="Heading1"/>
        <w:bidi/>
        <w:spacing w:after="240" w:before="240" w:line="480"/>
        <w:jc w:val="right"/>
      </w:pPr>
      <w:r>
        <w:rPr>
          <w:rFonts w:ascii="David" w:cs="David" w:eastAsia="David" w:hAnsi="David"/>
          <w:b/>
          <w:bCs/>
          <w:color w:val="1F3864"/>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 </w:t>
      </w:r>
      <w:r>
        <w:rPr>
          <w:rFonts w:ascii="Times New Roman" w:cs="Times New Roman" w:eastAsia="Times New Roman" w:hAnsi="Times New Roman"/>
          <w:sz w:val="24"/>
          <w:szCs w:val="24"/>
        </w:rPr>
        <w:t xml:space="preserve">‎https://www.boi.org.il/publications/pressreleases/11-3-25/‎</w:t>
      </w:r>
    </w:p>
    <w:p>
      <w:pPr>
        <w:bidi/>
        <w:spacing w:after="0" w:line="480"/>
        <w:ind w:left="709" w:hanging="709"/>
        <w:jc w:val="right"/>
      </w:pPr>
      <w:r>
        <w:rPr>
          <w:rFonts w:ascii="David" w:cs="David" w:eastAsia="David" w:hAnsi="David"/>
          <w:sz w:val="24"/>
          <w:szCs w:val="24"/>
          <w:rtl/>
        </w:rPr>
        <w:t xml:space="preserve">דבדבני דקל, מ' (2026א). מחזון ורעיון למציאות ממשית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דבדבני דקל, מ' (2026ב). עסקים בצל הקורונה: ממשבר להזדמנות, איך עושים את זה?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‎https://www.themarker.com/career/2026-06-21/ty-article/.premium/0000019e-e3b1-d2b1-a5bf-fbb76dff0000‎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Ashford, S. J., Lee, C., &amp; Bobko, P. (1989). Content, causes, and consequences of job insecurity: A theory-based measure and substantive test. </w:t>
      </w:r>
      <w:r>
        <w:rPr>
          <w:rFonts w:ascii="Times New Roman" w:cs="Times New Roman" w:eastAsia="Times New Roman" w:hAnsi="Times New Roman"/>
          <w:i/>
          <w:iCs/>
          <w:sz w:val="24"/>
          <w:szCs w:val="24"/>
        </w:rPr>
        <w:t xml:space="preserve">Academy of Management Journal, 32</w:t>
      </w:r>
      <w:r>
        <w:rPr>
          <w:rFonts w:ascii="Times New Roman" w:cs="Times New Roman" w:eastAsia="Times New Roman" w:hAnsi="Times New Roman"/>
          <w:i w:val="false"/>
          <w:iCs w:val="false"/>
          <w:sz w:val="24"/>
          <w:szCs w:val="24"/>
        </w:rPr>
        <w:t xml:space="preserve">(4), 803-829. https://doi.org/10.2307/256569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Greenhalgh, L., &amp; Rosenblatt, Z. (1984). Job insecurity: Toward conceptual clarity. </w:t>
      </w:r>
      <w:r>
        <w:rPr>
          <w:rFonts w:ascii="Times New Roman" w:cs="Times New Roman" w:eastAsia="Times New Roman" w:hAnsi="Times New Roman"/>
          <w:i/>
          <w:iCs/>
          <w:sz w:val="24"/>
          <w:szCs w:val="24"/>
        </w:rPr>
        <w:t xml:space="preserve">Academy of Management Review, 9</w:t>
      </w:r>
      <w:r>
        <w:rPr>
          <w:rFonts w:ascii="Times New Roman" w:cs="Times New Roman" w:eastAsia="Times New Roman" w:hAnsi="Times New Roman"/>
          <w:i w:val="false"/>
          <w:iCs w:val="false"/>
          <w:sz w:val="24"/>
          <w:szCs w:val="24"/>
        </w:rPr>
        <w:t xml:space="preserve">(3), 438-448. https://doi.org/10.5465/amr.1984.4279673</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Greenhaus, J. H., Callanan, G. A., &amp; Godshalk, V. M. (2018). </w:t>
      </w:r>
      <w:r>
        <w:rPr>
          <w:rFonts w:ascii="Times New Roman" w:cs="Times New Roman" w:eastAsia="Times New Roman" w:hAnsi="Times New Roman"/>
          <w:i/>
          <w:iCs/>
          <w:sz w:val="24"/>
          <w:szCs w:val="24"/>
        </w:rPr>
        <w:t xml:space="preserve">Career management for life</w:t>
      </w:r>
      <w:r>
        <w:rPr>
          <w:rFonts w:ascii="Times New Roman" w:cs="Times New Roman" w:eastAsia="Times New Roman" w:hAnsi="Times New Roman"/>
          <w:i w:val="false"/>
          <w:iCs w:val="false"/>
          <w:sz w:val="24"/>
          <w:szCs w:val="24"/>
        </w:rPr>
        <w:t xml:space="preserve"> (5th ed.). Routledge.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Hellgren, J., Sverke, M., &amp; Isaksson, K. (1999). A two-dimensional approach to job insecurity: Consequences for employee attitudes and well-being. </w:t>
      </w:r>
      <w:r>
        <w:rPr>
          <w:rFonts w:ascii="Times New Roman" w:cs="Times New Roman" w:eastAsia="Times New Roman" w:hAnsi="Times New Roman"/>
          <w:i/>
          <w:iCs/>
          <w:sz w:val="24"/>
          <w:szCs w:val="24"/>
        </w:rPr>
        <w:t xml:space="preserve">European Journal of Work and Organizational Psychology, 8</w:t>
      </w:r>
      <w:r>
        <w:rPr>
          <w:rFonts w:ascii="Times New Roman" w:cs="Times New Roman" w:eastAsia="Times New Roman" w:hAnsi="Times New Roman"/>
          <w:i w:val="false"/>
          <w:iCs w:val="false"/>
          <w:sz w:val="24"/>
          <w:szCs w:val="24"/>
        </w:rPr>
        <w:t xml:space="preserve">(2), 179-195. https://doi.org/10.1080/135943299398311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Hobfoll, S. E. (1989). Conservation of resources: A new attempt at conceptualizing stress.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i w:val="false"/>
          <w:iCs w:val="false"/>
          <w:sz w:val="24"/>
          <w:szCs w:val="24"/>
        </w:rPr>
        <w:t xml:space="preserve">(3), 513-524. https://doi.org/10.1037/0003-066X.44.3.513</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Jiang, L., &amp; Lavaysse, L. M. (2018). Cognitive and affective job insecurity: A meta-analysis and a primary study. </w:t>
      </w:r>
      <w:r>
        <w:rPr>
          <w:rFonts w:ascii="Times New Roman" w:cs="Times New Roman" w:eastAsia="Times New Roman" w:hAnsi="Times New Roman"/>
          <w:i/>
          <w:iCs/>
          <w:sz w:val="24"/>
          <w:szCs w:val="24"/>
        </w:rPr>
        <w:t xml:space="preserve">Journal of Management, 44</w:t>
      </w:r>
      <w:r>
        <w:rPr>
          <w:rFonts w:ascii="Times New Roman" w:cs="Times New Roman" w:eastAsia="Times New Roman" w:hAnsi="Times New Roman"/>
          <w:i w:val="false"/>
          <w:iCs w:val="false"/>
          <w:sz w:val="24"/>
          <w:szCs w:val="24"/>
        </w:rPr>
        <w:t xml:space="preserve">(6), 2307-2342. https://doi.org/10.1177/0149206318773853</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Lazarus, R. S., &amp; Folkman, S. (1984). </w:t>
      </w:r>
      <w:r>
        <w:rPr>
          <w:rFonts w:ascii="Times New Roman" w:cs="Times New Roman" w:eastAsia="Times New Roman" w:hAnsi="Times New Roman"/>
          <w:i/>
          <w:iCs/>
          <w:sz w:val="24"/>
          <w:szCs w:val="24"/>
        </w:rPr>
        <w:t xml:space="preserve">Stress, appraisal, and coping</w:t>
      </w:r>
      <w:r>
        <w:rPr>
          <w:rFonts w:ascii="Times New Roman" w:cs="Times New Roman" w:eastAsia="Times New Roman" w:hAnsi="Times New Roman"/>
          <w:i w:val="false"/>
          <w:iCs w:val="false"/>
          <w:sz w:val="24"/>
          <w:szCs w:val="24"/>
        </w:rPr>
        <w:t xml:space="preserve">. Springer.</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Lee, C., Huang, G.-H., &amp; Ashford, S. J. (2018). Job insecurity and the changing workplace: Recent developments and the future trends in job insecurity research. </w:t>
      </w:r>
      <w:r>
        <w:rPr>
          <w:rFonts w:ascii="Times New Roman" w:cs="Times New Roman" w:eastAsia="Times New Roman" w:hAnsi="Times New Roman"/>
          <w:i/>
          <w:iCs/>
          <w:sz w:val="24"/>
          <w:szCs w:val="24"/>
        </w:rPr>
        <w:t xml:space="preserve">Annual Review of Organizational Psychology and Organizational Behavior, 5</w:t>
      </w:r>
      <w:r>
        <w:rPr>
          <w:rFonts w:ascii="Times New Roman" w:cs="Times New Roman" w:eastAsia="Times New Roman" w:hAnsi="Times New Roman"/>
          <w:i w:val="false"/>
          <w:iCs w:val="false"/>
          <w:sz w:val="24"/>
          <w:szCs w:val="24"/>
        </w:rPr>
        <w:t xml:space="preserve">, 335-359. https://doi.org/10.1146/annurev-orgpsych-032117-104651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Russo, M., Shteigman, A., &amp; Carmeli, A. (2016). Workplace and family support and work-life balance: Implications for individual psychological availability and energy at work. </w:t>
      </w:r>
      <w:r>
        <w:rPr>
          <w:rFonts w:ascii="Times New Roman" w:cs="Times New Roman" w:eastAsia="Times New Roman" w:hAnsi="Times New Roman"/>
          <w:i/>
          <w:iCs/>
          <w:sz w:val="24"/>
          <w:szCs w:val="24"/>
        </w:rPr>
        <w:t xml:space="preserve">The Journal of Positive Psychology, 11</w:t>
      </w:r>
      <w:r>
        <w:rPr>
          <w:rFonts w:ascii="Times New Roman" w:cs="Times New Roman" w:eastAsia="Times New Roman" w:hAnsi="Times New Roman"/>
          <w:i w:val="false"/>
          <w:iCs w:val="false"/>
          <w:sz w:val="24"/>
          <w:szCs w:val="24"/>
        </w:rPr>
        <w:t xml:space="preserve">(2), 173-188. https://doi.org/10.1080/17439760.2015.1025424</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Schein, E. H. (1996). Career anchors revisited: Implications for career development in the 21st century. </w:t>
      </w:r>
      <w:r>
        <w:rPr>
          <w:rFonts w:ascii="Times New Roman" w:cs="Times New Roman" w:eastAsia="Times New Roman" w:hAnsi="Times New Roman"/>
          <w:i/>
          <w:iCs/>
          <w:sz w:val="24"/>
          <w:szCs w:val="24"/>
        </w:rPr>
        <w:t xml:space="preserve">Academy of Management Executive, 10</w:t>
      </w:r>
      <w:r>
        <w:rPr>
          <w:rFonts w:ascii="Times New Roman" w:cs="Times New Roman" w:eastAsia="Times New Roman" w:hAnsi="Times New Roman"/>
          <w:i w:val="false"/>
          <w:iCs w:val="false"/>
          <w:sz w:val="24"/>
          <w:szCs w:val="24"/>
        </w:rPr>
        <w:t xml:space="preserve">(4), 80-88. https://doi.org/10.5465/ame.1996.3145321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Shoss, M. K. (2017). Job insecurity: An integrative review and agenda for future research. </w:t>
      </w:r>
      <w:r>
        <w:rPr>
          <w:rFonts w:ascii="Times New Roman" w:cs="Times New Roman" w:eastAsia="Times New Roman" w:hAnsi="Times New Roman"/>
          <w:i/>
          <w:iCs/>
          <w:sz w:val="24"/>
          <w:szCs w:val="24"/>
        </w:rPr>
        <w:t xml:space="preserve">Journal of Management, 43</w:t>
      </w:r>
      <w:r>
        <w:rPr>
          <w:rFonts w:ascii="Times New Roman" w:cs="Times New Roman" w:eastAsia="Times New Roman" w:hAnsi="Times New Roman"/>
          <w:i w:val="false"/>
          <w:iCs w:val="false"/>
          <w:sz w:val="24"/>
          <w:szCs w:val="24"/>
        </w:rPr>
        <w:t xml:space="preserve">(6), 1911-1939. https://doi.org/10.1177/0149206317691574</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Super, D. E. (1980). A life-span, life-space approach to career development. </w:t>
      </w:r>
      <w:r>
        <w:rPr>
          <w:rFonts w:ascii="Times New Roman" w:cs="Times New Roman" w:eastAsia="Times New Roman" w:hAnsi="Times New Roman"/>
          <w:i/>
          <w:iCs/>
          <w:sz w:val="24"/>
          <w:szCs w:val="24"/>
        </w:rPr>
        <w:t xml:space="preserve">Journal of Vocational Behavior, 16</w:t>
      </w:r>
      <w:r>
        <w:rPr>
          <w:rFonts w:ascii="Times New Roman" w:cs="Times New Roman" w:eastAsia="Times New Roman" w:hAnsi="Times New Roman"/>
          <w:i w:val="false"/>
          <w:iCs w:val="false"/>
          <w:sz w:val="24"/>
          <w:szCs w:val="24"/>
        </w:rPr>
        <w:t xml:space="preserve">(3), 282-298. https://doi.org/10.1016/0001-8791(80)90056-1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1F3864"/>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E6E7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2026-09-17T09:20:13.137Z</dcterms:created>
  <dcterms:modified xsi:type="dcterms:W3CDTF">2026-09-17T09:20:13.137Z</dcterms:modified>
</cp:coreProperties>
</file>

<file path=docProps/custom.xml><?xml version="1.0" encoding="utf-8"?>
<Properties xmlns="http://schemas.openxmlformats.org/officeDocument/2006/custom-properties" xmlns:vt="http://schemas.openxmlformats.org/officeDocument/2006/docPropsVTypes"/>
</file>