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240" w:lineRule="auto" w:after="0" w:before="0"/>
        <w:jc w:val="both"/>
      </w:pPr>
    </w:p>
    <w:p>
      <w:pPr>
        <w:bidi w:val="1"/>
        <w:spacing w:line="360" w:lineRule="auto" w:after="320" w:before="0"/>
        <w:jc w:val="center"/>
      </w:pPr>
      <w:r>
        <w:rPr>
          <w:rFonts w:ascii="David" w:hAnsi="David" w:cs="David"/>
          <w:b/>
          <w:bCs/>
          <w:sz w:val="32"/>
          <w:szCs w:val="32"/>
          <w:rtl/>
        </w:rPr>
        <w:t>עבודה מספר 2</w:t>
      </w:r>
    </w:p>
    <w:p>
      <w:pPr>
        <w:bidi w:val="1"/>
        <w:spacing w:line="360" w:lineRule="auto" w:after="120" w:before="0"/>
        <w:jc w:val="center"/>
      </w:pPr>
      <w:r>
        <w:rPr>
          <w:rFonts w:ascii="David" w:hAnsi="David" w:cs="David"/>
          <w:b/>
          <w:bCs/>
          <w:sz w:val="24"/>
          <w:szCs w:val="24"/>
          <w:rtl/>
        </w:rPr>
        <w:t>שאלת העבודה:</w:t>
      </w:r>
    </w:p>
    <w:p>
      <w:pPr>
        <w:bidi w:val="1"/>
        <w:spacing w:line="360" w:lineRule="auto" w:after="560" w:before="0"/>
        <w:jc w:val="center"/>
      </w:pPr>
      <w:r>
        <w:rPr>
          <w:rFonts w:ascii="David" w:hAnsi="David" w:cs="David"/>
          <w:b w:val="0"/>
          <w:sz w:val="24"/>
          <w:szCs w:val="24"/>
          <w:rtl/>
        </w:rPr>
        <w:t>תאר, בהתבסס על ספרות המחקר, את מעורבותן של האוכלוסייה היהודית והאוכלוסייה הערבית בתהליך העיור בארץ-ישראל בשלהי התקופה העות'מאנית, והצג נתונים כמותיים המבטאים את היקף השפעתן על הערים.</w:t>
      </w:r>
    </w:p>
    <w:p>
      <w:pPr>
        <w:bidi w:val="1"/>
        <w:spacing w:line="360" w:lineRule="auto" w:after="80" w:before="0"/>
        <w:jc w:val="center"/>
      </w:pPr>
      <w:r>
        <w:rPr>
          <w:rFonts w:ascii="David" w:hAnsi="David" w:cs="David"/>
          <w:b/>
          <w:bCs/>
          <w:sz w:val="24"/>
          <w:szCs w:val="24"/>
          <w:rtl/>
        </w:rPr>
        <w:t xml:space="preserve">שם הקורס: </w:t>
      </w:r>
      <w:r>
        <w:rPr>
          <w:rFonts w:ascii="David" w:hAnsi="David" w:cs="David"/>
          <w:b w:val="0"/>
          <w:sz w:val="24"/>
          <w:szCs w:val="24"/>
          <w:rtl/>
        </w:rPr>
        <w:t>ערים ועיור בשלהי התקופה העות'מאנית</w:t>
      </w:r>
    </w:p>
    <w:p>
      <w:pPr>
        <w:bidi w:val="1"/>
        <w:spacing w:line="360" w:lineRule="auto" w:after="80" w:before="0"/>
        <w:jc w:val="center"/>
      </w:pPr>
      <w:r>
        <w:rPr>
          <w:rFonts w:ascii="David" w:hAnsi="David" w:cs="David"/>
          <w:b/>
          <w:bCs/>
          <w:sz w:val="24"/>
          <w:szCs w:val="24"/>
          <w:rtl/>
        </w:rPr>
        <w:t xml:space="preserve">מספר הקורס: </w:t>
      </w:r>
      <w:r>
        <w:rPr>
          <w:rFonts w:ascii="David" w:hAnsi="David" w:cs="David"/>
          <w:b w:val="0"/>
          <w:sz w:val="24"/>
          <w:szCs w:val="24"/>
          <w:rtl/>
        </w:rPr>
        <w:t>16459</w:t>
      </w:r>
    </w:p>
    <w:p>
      <w:pPr>
        <w:bidi w:val="1"/>
        <w:spacing w:line="360" w:lineRule="auto" w:after="80" w:before="0"/>
        <w:jc w:val="center"/>
      </w:pPr>
      <w:r>
        <w:rPr>
          <w:rFonts w:ascii="David" w:hAnsi="David" w:cs="David"/>
          <w:b/>
          <w:bCs/>
          <w:sz w:val="24"/>
          <w:szCs w:val="24"/>
          <w:rtl/>
        </w:rPr>
        <w:t xml:space="preserve">שם המרצה: </w:t>
      </w:r>
      <w:r>
        <w:rPr>
          <w:rFonts w:ascii="David" w:hAnsi="David" w:cs="David"/>
          <w:b w:val="0"/>
          <w:sz w:val="24"/>
          <w:szCs w:val="24"/>
          <w:rtl/>
        </w:rPr>
        <w:t>פרופ' תמיר גורן</w:t>
      </w:r>
    </w:p>
    <w:p>
      <w:pPr>
        <w:bidi w:val="1"/>
        <w:spacing w:line="360" w:lineRule="auto" w:after="80" w:before="0"/>
        <w:jc w:val="center"/>
      </w:pPr>
      <w:r>
        <w:rPr>
          <w:rFonts w:ascii="David" w:hAnsi="David" w:cs="David"/>
          <w:b/>
          <w:bCs/>
          <w:sz w:val="24"/>
          <w:szCs w:val="24"/>
          <w:rtl/>
        </w:rPr>
        <w:t xml:space="preserve">שם פרטי ומשפחה: </w:t>
      </w:r>
      <w:r>
        <w:rPr>
          <w:rFonts w:ascii="David" w:hAnsi="David" w:cs="David"/>
          <w:b w:val="0"/>
          <w:sz w:val="24"/>
          <w:szCs w:val="24"/>
          <w:rtl/>
        </w:rPr>
        <w:t>שהד בשארה</w:t>
      </w:r>
    </w:p>
    <w:p>
      <w:pPr>
        <w:bidi w:val="1"/>
        <w:spacing w:line="360" w:lineRule="auto" w:after="80" w:before="0"/>
        <w:jc w:val="center"/>
      </w:pPr>
      <w:r>
        <w:rPr>
          <w:rFonts w:ascii="David" w:hAnsi="David" w:cs="David"/>
          <w:b/>
          <w:bCs/>
          <w:sz w:val="24"/>
          <w:szCs w:val="24"/>
          <w:rtl/>
        </w:rPr>
        <w:t xml:space="preserve">מספר תעודת זהות: </w:t>
      </w:r>
      <w:r>
        <w:rPr>
          <w:rFonts w:ascii="David" w:hAnsi="David" w:cs="David"/>
          <w:b w:val="0"/>
          <w:sz w:val="24"/>
          <w:szCs w:val="24"/>
          <w:rtl/>
        </w:rPr>
        <w:t>213181282</w:t>
      </w:r>
    </w:p>
    <w:p>
      <w:pPr>
        <w:bidi w:val="1"/>
        <w:spacing w:line="360" w:lineRule="auto" w:after="80" w:before="0"/>
        <w:jc w:val="center"/>
      </w:pPr>
      <w:r>
        <w:rPr>
          <w:rFonts w:ascii="David" w:hAnsi="David" w:cs="David"/>
          <w:b/>
          <w:bCs/>
          <w:sz w:val="24"/>
          <w:szCs w:val="24"/>
          <w:rtl/>
        </w:rPr>
        <w:t xml:space="preserve">תאריך הגשה: </w:t>
      </w:r>
      <w:r>
        <w:rPr>
          <w:rFonts w:ascii="David" w:hAnsi="David" w:cs="David"/>
          <w:b w:val="0"/>
          <w:sz w:val="24"/>
          <w:szCs w:val="24"/>
          <w:rtl/>
        </w:rPr>
        <w:t>31.7.2026</w:t>
      </w: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240" w:lineRule="auto" w:after="0" w:before="0"/>
        <w:jc w:val="both"/>
      </w:pPr>
    </w:p>
    <w:p>
      <w:pPr>
        <w:bidi w:val="1"/>
        <w:spacing w:line="360" w:lineRule="auto" w:after="0" w:before="0"/>
        <w:jc w:val="center"/>
      </w:pPr>
      <w:r>
        <w:rPr>
          <w:rFonts w:ascii="David" w:hAnsi="David" w:cs="David"/>
          <w:b w:val="0"/>
          <w:sz w:val="24"/>
          <w:szCs w:val="24"/>
          <w:rtl/>
        </w:rPr>
        <w:t>הריני מצהיר/ה ומאשר/ת שלא נעשה שימוש בבינה מלאכותית לצורך הכנת עבודה זו.</w:t>
      </w:r>
    </w:p>
    <w:p>
      <w:r>
        <w:br w:type="page"/>
      </w:r>
    </w:p>
    <w:p>
      <w:pPr>
        <w:bidi w:val="1"/>
        <w:spacing w:line="360" w:lineRule="auto" w:after="160" w:before="0"/>
        <w:jc w:val="center"/>
      </w:pPr>
      <w:r>
        <w:rPr>
          <w:rFonts w:ascii="David" w:hAnsi="David" w:cs="David"/>
          <w:b/>
          <w:bCs/>
          <w:sz w:val="26"/>
          <w:szCs w:val="26"/>
          <w:rtl/>
        </w:rPr>
        <w:t>מעורבות האוכלוסייה היהודית והאוכלוסייה הערבית בתהליך העיור</w:t>
      </w:r>
    </w:p>
    <w:p>
      <w:pPr>
        <w:bidi w:val="1"/>
        <w:spacing w:line="480" w:lineRule="auto" w:after="0" w:before="0"/>
        <w:jc w:val="both"/>
      </w:pPr>
      <w:r>
        <w:rPr>
          <w:rFonts w:ascii="David" w:hAnsi="David" w:cs="David"/>
          <w:b w:val="0"/>
          <w:sz w:val="24"/>
          <w:szCs w:val="24"/>
          <w:rtl/>
        </w:rPr>
        <w:t>תהליך העיור בשלהי התקופה העות'מאנית לא הונע בידי גורם דמוגרפי אחד. האוכלוסייה היהודית הייתה קטנה בהרבה אך כמעט כולה עירונית, ואילו האוכלוסייה הערבית הייתה רוב מכריע ורובה כפרית, ובכל זאת סיפקה לערים את עיקר גידולן, את הנהגתן ואת מרבית פעילותן הכלכלית.</w:t>
      </w:r>
    </w:p>
    <w:p>
      <w:pPr>
        <w:bidi w:val="1"/>
        <w:spacing w:line="360" w:lineRule="auto" w:after="40" w:before="120"/>
        <w:jc w:val="right"/>
      </w:pPr>
      <w:r>
        <w:rPr>
          <w:rFonts w:ascii="David" w:hAnsi="David" w:cs="David"/>
          <w:b/>
          <w:bCs/>
          <w:sz w:val="24"/>
          <w:szCs w:val="24"/>
          <w:rtl/>
        </w:rPr>
        <w:t>מעורבות האוכלוסייה היהודית</w:t>
      </w:r>
    </w:p>
    <w:p>
      <w:pPr>
        <w:bidi w:val="1"/>
        <w:spacing w:line="480" w:lineRule="auto" w:after="0" w:before="0"/>
        <w:jc w:val="both"/>
      </w:pPr>
      <w:r>
        <w:rPr>
          <w:rFonts w:ascii="David" w:hAnsi="David" w:cs="David"/>
          <w:b w:val="0"/>
          <w:sz w:val="24"/>
          <w:szCs w:val="24"/>
          <w:rtl/>
        </w:rPr>
        <w:t>הסימן המובהק של הנוכחות היהודית היה ריכוזה בעיר. בן-אריה הראה כי הגידול היהודי בירושלים הוא שהפך אותה לעיר הגדולה בארץ: מכ-2,000 יהודים בראשית המאה לכ-45,000 ערב מלחמת העולם הראשונה, וכבר בשנות השבעים של המאה התשע-עשרה היוו בה היהודים רוב יחסי.</w:t>
      </w:r>
      <w:r>
        <w:rPr>
          <w:rFonts w:ascii="David" w:hAnsi="David" w:cs="David"/>
          <w:b w:val="0"/>
          <w:sz w:val="24"/>
          <w:szCs w:val="24"/>
          <w:vertAlign w:val="superscript"/>
          <w:rtl/>
        </w:rPr>
        <w:t>1</w:t>
      </w:r>
      <w:r>
        <w:rPr>
          <w:rFonts w:ascii="David" w:hAnsi="David" w:cs="David"/>
          <w:b w:val="0"/>
          <w:sz w:val="24"/>
          <w:szCs w:val="24"/>
          <w:rtl/>
        </w:rPr>
        <w:t xml:space="preserve"> המעורבות התבטאה בראש ובראשונה בבנייה. מהקמת משכנות שאננים ב-1860 ועד המלחמה נוסדו מחוץ לחומות ירושלים עשרות שכונות, ורובן המכריע יהודיות, ביוזמת חברות בנייה, כוללים ופילנתרופים. ייחודה של בנייה זו היה במימונה: היא לא צמחה מן הכלכלה המקומית אלא מהון שהוזרם מחוץ לארץ.</w:t>
      </w:r>
      <w:r>
        <w:rPr>
          <w:rFonts w:ascii="David" w:hAnsi="David" w:cs="David"/>
          <w:b w:val="0"/>
          <w:sz w:val="24"/>
          <w:szCs w:val="24"/>
          <w:vertAlign w:val="superscript"/>
          <w:rtl/>
        </w:rPr>
        <w:t>2</w:t>
      </w:r>
    </w:p>
    <w:p>
      <w:pPr>
        <w:bidi w:val="1"/>
        <w:spacing w:line="480" w:lineRule="auto" w:after="0" w:before="0"/>
        <w:jc w:val="both"/>
      </w:pPr>
      <w:r>
        <w:rPr>
          <w:rFonts w:ascii="David" w:hAnsi="David" w:cs="David"/>
          <w:b w:val="0"/>
          <w:sz w:val="24"/>
          <w:szCs w:val="24"/>
          <w:rtl/>
        </w:rPr>
        <w:t>ביפו לבשה המעורבות אופי אחר. חברת אחוזת בית, שנוסדה ב-1906, קבעה מראש עקרונות בנייה מחייבים: מגרש שלא יקטן מאלף אמות מרובעות, רחובות רחבים וסלולים עם מדרכות ותאורה, שטחים לגנים ציבוריים וצנרת מים וביוב. ב-1908 רכשה 150,000 אמות מרובעות מכרם ג'יבלי, כ-85 דונם, תמורת 135,000 פרנק, ועליהן קמה ב-1909 השכונה על שישים מגרשיה. כץ מדגיש שהמתכננים לא ראו בה עיר עצמאית אלא פרבר-גנים של יפו, שתוסיף לשמש מקום מרכזי לתושביה.</w:t>
      </w:r>
      <w:r>
        <w:rPr>
          <w:rFonts w:ascii="David" w:hAnsi="David" w:cs="David"/>
          <w:b w:val="0"/>
          <w:sz w:val="24"/>
          <w:szCs w:val="24"/>
          <w:vertAlign w:val="superscript"/>
          <w:rtl/>
        </w:rPr>
        <w:t>3</w:t>
      </w:r>
      <w:r>
        <w:rPr>
          <w:rFonts w:ascii="David" w:hAnsi="David" w:cs="David"/>
          <w:b w:val="0"/>
          <w:sz w:val="24"/>
          <w:szCs w:val="24"/>
          <w:rtl/>
        </w:rPr>
        <w:t xml:space="preserve"> בחיפה נותרה הנוכחות היהודית קטנה, כחמישה עשר אחוזים מן התושבים.</w:t>
      </w:r>
      <w:r>
        <w:rPr>
          <w:rFonts w:ascii="David" w:hAnsi="David" w:cs="David"/>
          <w:b w:val="0"/>
          <w:sz w:val="24"/>
          <w:szCs w:val="24"/>
          <w:vertAlign w:val="superscript"/>
          <w:rtl/>
        </w:rPr>
        <w:t>4</w:t>
      </w:r>
      <w:r>
        <w:rPr>
          <w:rFonts w:ascii="David" w:hAnsi="David" w:cs="David"/>
          <w:b w:val="0"/>
          <w:sz w:val="24"/>
          <w:szCs w:val="24"/>
          <w:rtl/>
        </w:rPr>
        <w:t xml:space="preserve"> המעורבות הייתה גם מוסדית: במועצת עיריית ירושלים ישבו נציגים יהודים לצד מוסלמים ונוצרים, ובבחירות תרנ"ח נמנו בעיר 700 בעלי זכות בחירה מוסלמים, 300 נוצרים ו-200 יהודים.</w:t>
      </w:r>
      <w:r>
        <w:rPr>
          <w:rFonts w:ascii="David" w:hAnsi="David" w:cs="David"/>
          <w:b w:val="0"/>
          <w:sz w:val="24"/>
          <w:szCs w:val="24"/>
          <w:vertAlign w:val="superscript"/>
          <w:rtl/>
        </w:rPr>
        <w:t>5</w:t>
      </w:r>
    </w:p>
    <w:p>
      <w:pPr>
        <w:bidi w:val="1"/>
        <w:spacing w:line="360" w:lineRule="auto" w:after="40" w:before="120"/>
        <w:jc w:val="right"/>
      </w:pPr>
      <w:r>
        <w:rPr>
          <w:rFonts w:ascii="David" w:hAnsi="David" w:cs="David"/>
          <w:b/>
          <w:bCs/>
          <w:sz w:val="24"/>
          <w:szCs w:val="24"/>
          <w:rtl/>
        </w:rPr>
        <w:t>מעורבות האוכלוסייה הערבית</w:t>
      </w:r>
    </w:p>
    <w:p>
      <w:pPr>
        <w:bidi w:val="1"/>
        <w:spacing w:line="480" w:lineRule="auto" w:after="0" w:before="0"/>
        <w:jc w:val="both"/>
      </w:pPr>
      <w:r>
        <w:rPr>
          <w:rFonts w:ascii="David" w:hAnsi="David" w:cs="David"/>
          <w:b w:val="0"/>
          <w:sz w:val="24"/>
          <w:szCs w:val="24"/>
          <w:rtl/>
        </w:rPr>
        <w:t>גרוסמן חלק על תדמיתה של אוכלוסייה ערבית קפואה ומדולדלת והראה שהיא גדלה בקצב ניכר ונעה בתוך הארץ.</w:t>
      </w:r>
      <w:r>
        <w:rPr>
          <w:rFonts w:ascii="David" w:hAnsi="David" w:cs="David"/>
          <w:b w:val="0"/>
          <w:sz w:val="24"/>
          <w:szCs w:val="24"/>
          <w:vertAlign w:val="superscript"/>
          <w:rtl/>
        </w:rPr>
        <w:t>6</w:t>
      </w:r>
      <w:r>
        <w:rPr>
          <w:rFonts w:ascii="David" w:hAnsi="David" w:cs="David"/>
          <w:b w:val="0"/>
          <w:sz w:val="24"/>
          <w:szCs w:val="24"/>
          <w:rtl/>
        </w:rPr>
        <w:t xml:space="preserve"> תנועה זו היא שהזינה את ערי החוף. אליהן נהרו פלאחים מן הכפרים, לצד מהגרים ממצרים שהגיעו בעקבות שלטון אבראהים פאשא, מן החוראן ומלבנון. יזבק מראה שצמיחתה של חיפה נשענה כמעט כולה על הגירה ערבית, פנימית וחיצונית, שהפכה עיירת חוף של כאלף תושבים לעיר מעורבת של כ-22,000 נפש בעלת רוב מוסלמי ומיעוט נוצרי גדול.</w:t>
      </w:r>
      <w:r>
        <w:rPr>
          <w:rFonts w:ascii="David" w:hAnsi="David" w:cs="David"/>
          <w:b w:val="0"/>
          <w:sz w:val="24"/>
          <w:szCs w:val="24"/>
          <w:vertAlign w:val="superscript"/>
          <w:rtl/>
        </w:rPr>
        <w:t>4</w:t>
      </w:r>
    </w:p>
    <w:p>
      <w:pPr>
        <w:bidi w:val="1"/>
        <w:spacing w:line="480" w:lineRule="auto" w:after="0" w:before="0"/>
        <w:jc w:val="both"/>
      </w:pPr>
      <w:r>
        <w:rPr>
          <w:rFonts w:ascii="David" w:hAnsi="David" w:cs="David"/>
          <w:b w:val="0"/>
          <w:sz w:val="24"/>
          <w:szCs w:val="24"/>
          <w:rtl/>
        </w:rPr>
        <w:t>ההנהגה העירונית הייתה ערבית כמעט לחלוטין. ראשי עיריית ירושלים נמנו כולם עם המשפחות המוסלמיות הנכבדות, בני חוסייני, ח'אלדי, עלמי ודג'אני, והתכתובת העירונית נוהלה בערבית עד סוף התקופה.</w:t>
      </w:r>
      <w:r>
        <w:rPr>
          <w:rFonts w:ascii="David" w:hAnsi="David" w:cs="David"/>
          <w:b w:val="0"/>
          <w:sz w:val="24"/>
          <w:szCs w:val="24"/>
          <w:vertAlign w:val="superscript"/>
          <w:rtl/>
        </w:rPr>
        <w:t>5</w:t>
      </w:r>
      <w:r>
        <w:rPr>
          <w:rFonts w:ascii="David" w:hAnsi="David" w:cs="David"/>
          <w:b w:val="0"/>
          <w:sz w:val="24"/>
          <w:szCs w:val="24"/>
          <w:rtl/>
        </w:rPr>
        <w:t xml:space="preserve"> הבעלות על הקרקע סביב יפו הייתה ערבית ברובה, ובכך תחמה את ההתפשטות היהודית: ב-1907 וב-1908 הוטלו הגבלות חמורות על רכישת קרקע בידי יהודים, ורכישה ישירה מערבים הייתה כמעט בלתי אפשרית, ולכן נרכש כרם ג'יבלי דווקא מסוחרי קרקעות יהודים. את הבנייה עצמה ביצעו ברובה פועלים ובעלי מלאכה ערבים, אף שהחברה הצהירה על כוונה להעסיק יהודים.</w:t>
      </w:r>
      <w:r>
        <w:rPr>
          <w:rFonts w:ascii="David" w:hAnsi="David" w:cs="David"/>
          <w:b w:val="0"/>
          <w:sz w:val="24"/>
          <w:szCs w:val="24"/>
          <w:vertAlign w:val="superscript"/>
          <w:rtl/>
        </w:rPr>
        <w:t>3</w:t>
      </w:r>
    </w:p>
    <w:p>
      <w:pPr>
        <w:bidi w:val="1"/>
        <w:spacing w:line="360" w:lineRule="auto" w:after="60" w:before="120"/>
        <w:jc w:val="right"/>
      </w:pPr>
      <w:r>
        <w:rPr>
          <w:rFonts w:ascii="David" w:hAnsi="David" w:cs="David"/>
          <w:b/>
          <w:bCs/>
          <w:sz w:val="24"/>
          <w:szCs w:val="24"/>
          <w:rtl/>
        </w:rPr>
        <w:t>נתונים כמותיים</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1247"/>
          </w:tcPr>
          <w:p>
            <w:pPr>
              <w:bidi w:val="1"/>
              <w:spacing w:line="240" w:lineRule="auto" w:after="0" w:before="0"/>
              <w:jc w:val="center"/>
            </w:pPr>
            <w:r>
              <w:rPr>
                <w:rFonts w:ascii="David" w:hAnsi="David" w:cs="David"/>
                <w:b/>
                <w:bCs/>
                <w:sz w:val="20"/>
                <w:szCs w:val="20"/>
                <w:rtl/>
              </w:rPr>
              <w:t>העיר</w:t>
            </w:r>
          </w:p>
        </w:tc>
        <w:tc>
          <w:tcPr>
            <w:tcW w:type="dxa" w:w="1814"/>
          </w:tcPr>
          <w:p>
            <w:pPr>
              <w:bidi w:val="1"/>
              <w:spacing w:line="240" w:lineRule="auto" w:after="0" w:before="0"/>
              <w:jc w:val="center"/>
            </w:pPr>
            <w:r>
              <w:rPr>
                <w:rFonts w:ascii="David" w:hAnsi="David" w:cs="David"/>
                <w:b/>
                <w:bCs/>
                <w:sz w:val="20"/>
                <w:szCs w:val="20"/>
                <w:rtl/>
              </w:rPr>
              <w:t>ראשית המאה ה-19</w:t>
            </w:r>
          </w:p>
        </w:tc>
        <w:tc>
          <w:tcPr>
            <w:tcW w:type="dxa" w:w="1587"/>
          </w:tcPr>
          <w:p>
            <w:pPr>
              <w:bidi w:val="1"/>
              <w:spacing w:line="240" w:lineRule="auto" w:after="0" w:before="0"/>
              <w:jc w:val="center"/>
            </w:pPr>
            <w:r>
              <w:rPr>
                <w:rFonts w:ascii="David" w:hAnsi="David" w:cs="David"/>
                <w:b/>
                <w:bCs/>
                <w:sz w:val="20"/>
                <w:szCs w:val="20"/>
                <w:rtl/>
              </w:rPr>
              <w:t>ערב המלחמה</w:t>
            </w:r>
          </w:p>
        </w:tc>
        <w:tc>
          <w:tcPr>
            <w:tcW w:type="dxa" w:w="4422"/>
          </w:tcPr>
          <w:p>
            <w:pPr>
              <w:bidi w:val="1"/>
              <w:spacing w:line="240" w:lineRule="auto" w:after="0" w:before="0"/>
              <w:jc w:val="center"/>
            </w:pPr>
            <w:r>
              <w:rPr>
                <w:rFonts w:ascii="David" w:hAnsi="David" w:cs="David"/>
                <w:b/>
                <w:bCs/>
                <w:sz w:val="20"/>
                <w:szCs w:val="20"/>
                <w:rtl/>
              </w:rPr>
              <w:t>ההרכב ב-1914</w:t>
            </w:r>
          </w:p>
        </w:tc>
      </w:tr>
      <w:tr>
        <w:tc>
          <w:tcPr>
            <w:tcW w:type="dxa" w:w="1247"/>
          </w:tcPr>
          <w:p>
            <w:pPr>
              <w:bidi w:val="1"/>
              <w:spacing w:line="240" w:lineRule="auto" w:after="0" w:before="0"/>
              <w:jc w:val="center"/>
            </w:pPr>
            <w:r>
              <w:rPr>
                <w:rFonts w:ascii="David" w:hAnsi="David" w:cs="David"/>
                <w:b w:val="0"/>
                <w:sz w:val="20"/>
                <w:szCs w:val="20"/>
                <w:rtl/>
              </w:rPr>
              <w:t>ירושלים</w:t>
            </w:r>
          </w:p>
        </w:tc>
        <w:tc>
          <w:tcPr>
            <w:tcW w:type="dxa" w:w="1814"/>
          </w:tcPr>
          <w:p>
            <w:pPr>
              <w:bidi w:val="1"/>
              <w:spacing w:line="240" w:lineRule="auto" w:after="0" w:before="0"/>
              <w:jc w:val="center"/>
            </w:pPr>
            <w:r>
              <w:rPr>
                <w:rFonts w:ascii="David" w:hAnsi="David" w:cs="David"/>
                <w:b w:val="0"/>
                <w:sz w:val="20"/>
                <w:szCs w:val="20"/>
                <w:rtl/>
              </w:rPr>
              <w:t>8,000-10,000</w:t>
            </w:r>
          </w:p>
        </w:tc>
        <w:tc>
          <w:tcPr>
            <w:tcW w:type="dxa" w:w="1587"/>
          </w:tcPr>
          <w:p>
            <w:pPr>
              <w:bidi w:val="1"/>
              <w:spacing w:line="240" w:lineRule="auto" w:after="0" w:before="0"/>
              <w:jc w:val="center"/>
            </w:pPr>
            <w:r>
              <w:rPr>
                <w:rFonts w:ascii="David" w:hAnsi="David" w:cs="David"/>
                <w:b w:val="0"/>
                <w:sz w:val="20"/>
                <w:szCs w:val="20"/>
                <w:rtl/>
              </w:rPr>
              <w:t>כ-70,000</w:t>
            </w:r>
          </w:p>
        </w:tc>
        <w:tc>
          <w:tcPr>
            <w:tcW w:type="dxa" w:w="4422"/>
          </w:tcPr>
          <w:p>
            <w:pPr>
              <w:bidi w:val="1"/>
              <w:spacing w:line="240" w:lineRule="auto" w:after="0" w:before="0"/>
              <w:jc w:val="center"/>
            </w:pPr>
            <w:r>
              <w:rPr>
                <w:rFonts w:ascii="David" w:hAnsi="David" w:cs="David"/>
                <w:b w:val="0"/>
                <w:sz w:val="20"/>
                <w:szCs w:val="20"/>
                <w:rtl/>
              </w:rPr>
              <w:t>כ-45,000 יהודים, כ-25,000 ערבים</w:t>
            </w:r>
          </w:p>
        </w:tc>
      </w:tr>
      <w:tr>
        <w:tc>
          <w:tcPr>
            <w:tcW w:type="dxa" w:w="1247"/>
          </w:tcPr>
          <w:p>
            <w:pPr>
              <w:bidi w:val="1"/>
              <w:spacing w:line="240" w:lineRule="auto" w:after="0" w:before="0"/>
              <w:jc w:val="center"/>
            </w:pPr>
            <w:r>
              <w:rPr>
                <w:rFonts w:ascii="David" w:hAnsi="David" w:cs="David"/>
                <w:b w:val="0"/>
                <w:sz w:val="20"/>
                <w:szCs w:val="20"/>
                <w:rtl/>
              </w:rPr>
              <w:t>יפו</w:t>
            </w:r>
          </w:p>
        </w:tc>
        <w:tc>
          <w:tcPr>
            <w:tcW w:type="dxa" w:w="1814"/>
          </w:tcPr>
          <w:p>
            <w:pPr>
              <w:bidi w:val="1"/>
              <w:spacing w:line="240" w:lineRule="auto" w:after="0" w:before="0"/>
              <w:jc w:val="center"/>
            </w:pPr>
            <w:r>
              <w:rPr>
                <w:rFonts w:ascii="David" w:hAnsi="David" w:cs="David"/>
                <w:b w:val="0"/>
                <w:sz w:val="20"/>
                <w:szCs w:val="20"/>
                <w:rtl/>
              </w:rPr>
              <w:t>1,000-1,500</w:t>
            </w:r>
          </w:p>
        </w:tc>
        <w:tc>
          <w:tcPr>
            <w:tcW w:type="dxa" w:w="1587"/>
          </w:tcPr>
          <w:p>
            <w:pPr>
              <w:bidi w:val="1"/>
              <w:spacing w:line="240" w:lineRule="auto" w:after="0" w:before="0"/>
              <w:jc w:val="center"/>
            </w:pPr>
            <w:r>
              <w:rPr>
                <w:rFonts w:ascii="David" w:hAnsi="David" w:cs="David"/>
                <w:b w:val="0"/>
                <w:sz w:val="20"/>
                <w:szCs w:val="20"/>
                <w:rtl/>
              </w:rPr>
              <w:t>כ-45,000</w:t>
            </w:r>
          </w:p>
        </w:tc>
        <w:tc>
          <w:tcPr>
            <w:tcW w:type="dxa" w:w="4422"/>
          </w:tcPr>
          <w:p>
            <w:pPr>
              <w:bidi w:val="1"/>
              <w:spacing w:line="240" w:lineRule="auto" w:after="0" w:before="0"/>
              <w:jc w:val="center"/>
            </w:pPr>
            <w:r>
              <w:rPr>
                <w:rFonts w:ascii="David" w:hAnsi="David" w:cs="David"/>
                <w:b w:val="0"/>
                <w:sz w:val="20"/>
                <w:szCs w:val="20"/>
                <w:rtl/>
              </w:rPr>
              <w:t>כ-15,000 יהודים, היתר ערבים</w:t>
            </w:r>
          </w:p>
        </w:tc>
      </w:tr>
      <w:tr>
        <w:tc>
          <w:tcPr>
            <w:tcW w:type="dxa" w:w="1247"/>
          </w:tcPr>
          <w:p>
            <w:pPr>
              <w:bidi w:val="1"/>
              <w:spacing w:line="240" w:lineRule="auto" w:after="0" w:before="0"/>
              <w:jc w:val="center"/>
            </w:pPr>
            <w:r>
              <w:rPr>
                <w:rFonts w:ascii="David" w:hAnsi="David" w:cs="David"/>
                <w:b w:val="0"/>
                <w:sz w:val="20"/>
                <w:szCs w:val="20"/>
                <w:rtl/>
              </w:rPr>
              <w:t>חיפה</w:t>
            </w:r>
          </w:p>
        </w:tc>
        <w:tc>
          <w:tcPr>
            <w:tcW w:type="dxa" w:w="1814"/>
          </w:tcPr>
          <w:p>
            <w:pPr>
              <w:bidi w:val="1"/>
              <w:spacing w:line="240" w:lineRule="auto" w:after="0" w:before="0"/>
              <w:jc w:val="center"/>
            </w:pPr>
            <w:r>
              <w:rPr>
                <w:rFonts w:ascii="David" w:hAnsi="David" w:cs="David"/>
                <w:b w:val="0"/>
                <w:sz w:val="20"/>
                <w:szCs w:val="20"/>
                <w:rtl/>
              </w:rPr>
              <w:t>כ-1,000</w:t>
            </w:r>
          </w:p>
        </w:tc>
        <w:tc>
          <w:tcPr>
            <w:tcW w:type="dxa" w:w="1587"/>
          </w:tcPr>
          <w:p>
            <w:pPr>
              <w:bidi w:val="1"/>
              <w:spacing w:line="240" w:lineRule="auto" w:after="0" w:before="0"/>
              <w:jc w:val="center"/>
            </w:pPr>
            <w:r>
              <w:rPr>
                <w:rFonts w:ascii="David" w:hAnsi="David" w:cs="David"/>
                <w:b w:val="0"/>
                <w:sz w:val="20"/>
                <w:szCs w:val="20"/>
                <w:rtl/>
              </w:rPr>
              <w:t>כ-22,000</w:t>
            </w:r>
          </w:p>
        </w:tc>
        <w:tc>
          <w:tcPr>
            <w:tcW w:type="dxa" w:w="4422"/>
          </w:tcPr>
          <w:p>
            <w:pPr>
              <w:bidi w:val="1"/>
              <w:spacing w:line="240" w:lineRule="auto" w:after="0" w:before="0"/>
              <w:jc w:val="center"/>
            </w:pPr>
            <w:r>
              <w:rPr>
                <w:rFonts w:ascii="David" w:hAnsi="David" w:cs="David"/>
                <w:b w:val="0"/>
                <w:sz w:val="20"/>
                <w:szCs w:val="20"/>
                <w:rtl/>
              </w:rPr>
              <w:t>כ-15% יהודים, היתר ערבים</w:t>
            </w:r>
          </w:p>
        </w:tc>
      </w:tr>
      <w:tr>
        <w:tc>
          <w:tcPr>
            <w:tcW w:type="dxa" w:w="1247"/>
          </w:tcPr>
          <w:p>
            <w:pPr>
              <w:bidi w:val="1"/>
              <w:spacing w:line="240" w:lineRule="auto" w:after="0" w:before="0"/>
              <w:jc w:val="center"/>
            </w:pPr>
            <w:r>
              <w:rPr>
                <w:rFonts w:ascii="David" w:hAnsi="David" w:cs="David"/>
                <w:b w:val="0"/>
                <w:sz w:val="20"/>
                <w:szCs w:val="20"/>
                <w:rtl/>
              </w:rPr>
              <w:t>עזה</w:t>
            </w:r>
          </w:p>
        </w:tc>
        <w:tc>
          <w:tcPr>
            <w:tcW w:type="dxa" w:w="1814"/>
          </w:tcPr>
          <w:p>
            <w:pPr>
              <w:bidi w:val="1"/>
              <w:spacing w:line="240" w:lineRule="auto" w:after="0" w:before="0"/>
              <w:jc w:val="center"/>
            </w:pPr>
            <w:r>
              <w:rPr>
                <w:rFonts w:ascii="David" w:hAnsi="David" w:cs="David"/>
                <w:b w:val="0"/>
                <w:sz w:val="20"/>
                <w:szCs w:val="20"/>
                <w:rtl/>
              </w:rPr>
              <w:t>כ-8,000</w:t>
            </w:r>
          </w:p>
        </w:tc>
        <w:tc>
          <w:tcPr>
            <w:tcW w:type="dxa" w:w="1587"/>
          </w:tcPr>
          <w:p>
            <w:pPr>
              <w:bidi w:val="1"/>
              <w:spacing w:line="240" w:lineRule="auto" w:after="0" w:before="0"/>
              <w:jc w:val="center"/>
            </w:pPr>
            <w:r>
              <w:rPr>
                <w:rFonts w:ascii="David" w:hAnsi="David" w:cs="David"/>
                <w:b w:val="0"/>
                <w:sz w:val="20"/>
                <w:szCs w:val="20"/>
                <w:rtl/>
              </w:rPr>
              <w:t>כ-40,000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שכם</w:t>
            </w:r>
          </w:p>
        </w:tc>
        <w:tc>
          <w:tcPr>
            <w:tcW w:type="dxa" w:w="1814"/>
          </w:tcPr>
          <w:p>
            <w:pPr>
              <w:bidi w:val="1"/>
              <w:spacing w:line="240" w:lineRule="auto" w:after="0" w:before="0"/>
              <w:jc w:val="center"/>
            </w:pPr>
            <w:r>
              <w:rPr>
                <w:rFonts w:ascii="David" w:hAnsi="David" w:cs="David"/>
                <w:b w:val="0"/>
                <w:sz w:val="20"/>
                <w:szCs w:val="20"/>
                <w:rtl/>
              </w:rPr>
              <w:t>כ-7,500</w:t>
            </w:r>
          </w:p>
        </w:tc>
        <w:tc>
          <w:tcPr>
            <w:tcW w:type="dxa" w:w="1587"/>
          </w:tcPr>
          <w:p>
            <w:pPr>
              <w:bidi w:val="1"/>
              <w:spacing w:line="240" w:lineRule="auto" w:after="0" w:before="0"/>
              <w:jc w:val="center"/>
            </w:pPr>
            <w:r>
              <w:rPr>
                <w:rFonts w:ascii="David" w:hAnsi="David" w:cs="David"/>
                <w:b w:val="0"/>
                <w:sz w:val="20"/>
                <w:szCs w:val="20"/>
                <w:rtl/>
              </w:rPr>
              <w:t>כ-25,000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r>
        <w:tc>
          <w:tcPr>
            <w:tcW w:type="dxa" w:w="1247"/>
          </w:tcPr>
          <w:p>
            <w:pPr>
              <w:bidi w:val="1"/>
              <w:spacing w:line="240" w:lineRule="auto" w:after="0" w:before="0"/>
              <w:jc w:val="center"/>
            </w:pPr>
            <w:r>
              <w:rPr>
                <w:rFonts w:ascii="David" w:hAnsi="David" w:cs="David"/>
                <w:b w:val="0"/>
                <w:sz w:val="20"/>
                <w:szCs w:val="20"/>
                <w:rtl/>
              </w:rPr>
              <w:t>עכו</w:t>
            </w:r>
          </w:p>
        </w:tc>
        <w:tc>
          <w:tcPr>
            <w:tcW w:type="dxa" w:w="1814"/>
          </w:tcPr>
          <w:p>
            <w:pPr>
              <w:bidi w:val="1"/>
              <w:spacing w:line="240" w:lineRule="auto" w:after="0" w:before="0"/>
              <w:jc w:val="center"/>
            </w:pPr>
            <w:r>
              <w:rPr>
                <w:rFonts w:ascii="David" w:hAnsi="David" w:cs="David"/>
                <w:b w:val="0"/>
                <w:sz w:val="20"/>
                <w:szCs w:val="20"/>
                <w:rtl/>
              </w:rPr>
              <w:t>כ-25,000</w:t>
            </w:r>
          </w:p>
        </w:tc>
        <w:tc>
          <w:tcPr>
            <w:tcW w:type="dxa" w:w="1587"/>
          </w:tcPr>
          <w:p>
            <w:pPr>
              <w:bidi w:val="1"/>
              <w:spacing w:line="240" w:lineRule="auto" w:after="0" w:before="0"/>
              <w:jc w:val="center"/>
            </w:pPr>
            <w:r>
              <w:rPr>
                <w:rFonts w:ascii="David" w:hAnsi="David" w:cs="David"/>
                <w:b w:val="0"/>
                <w:sz w:val="20"/>
                <w:szCs w:val="20"/>
                <w:rtl/>
              </w:rPr>
              <w:t>כ-10,000</w:t>
            </w:r>
          </w:p>
        </w:tc>
        <w:tc>
          <w:tcPr>
            <w:tcW w:type="dxa" w:w="4422"/>
          </w:tcPr>
          <w:p>
            <w:pPr>
              <w:bidi w:val="1"/>
              <w:spacing w:line="240" w:lineRule="auto" w:after="0" w:before="0"/>
              <w:jc w:val="center"/>
            </w:pPr>
            <w:r>
              <w:rPr>
                <w:rFonts w:ascii="David" w:hAnsi="David" w:cs="David"/>
                <w:b w:val="0"/>
                <w:sz w:val="20"/>
                <w:szCs w:val="20"/>
                <w:rtl/>
              </w:rPr>
              <w:t>ערבית כמעט כולה</w:t>
            </w:r>
          </w:p>
        </w:tc>
      </w:tr>
    </w:tbl>
    <w:p>
      <w:pPr>
        <w:bidi w:val="1"/>
        <w:spacing w:line="240" w:lineRule="auto" w:after="120" w:before="40"/>
        <w:jc w:val="right"/>
      </w:pPr>
      <w:r>
        <w:rPr>
          <w:rFonts w:ascii="David" w:hAnsi="David" w:cs="David"/>
          <w:b w:val="0"/>
          <w:sz w:val="20"/>
          <w:szCs w:val="20"/>
          <w:rtl/>
        </w:rPr>
        <w:t>טבלה 1: אומדני אוכלוסייה בערי ארץ-ישראל המרכזיות, על-פי בן-אריה.</w:t>
      </w:r>
      <w:r>
        <w:rPr>
          <w:rFonts w:ascii="David" w:hAnsi="David" w:cs="David"/>
          <w:b w:val="0"/>
          <w:sz w:val="20"/>
          <w:szCs w:val="20"/>
          <w:vertAlign w:val="superscript"/>
          <w:rtl/>
        </w:rPr>
        <w:t>1</w:t>
      </w:r>
    </w:p>
    <w:p>
      <w:pPr>
        <w:bidi w:val="1"/>
        <w:spacing w:line="480" w:lineRule="auto" w:after="0" w:before="0"/>
        <w:jc w:val="both"/>
      </w:pPr>
      <w:r>
        <w:rPr>
          <w:rFonts w:ascii="David" w:hAnsi="David" w:cs="David"/>
          <w:b w:val="0"/>
          <w:sz w:val="24"/>
          <w:szCs w:val="24"/>
          <w:rtl/>
        </w:rPr>
        <w:t>היהודים מנו ערב המלחמה כ-85,000 נפש, פחות מ-12 אחוזים מאוכלוסיית הארץ, אך למעלה מ-85 אחוזים מהם ישבו בערים, ומשקלם בשלוש הערים הגדולות היה גדול לאין ערוך ממשקלם הארצי: כ-63,000 מתוך כ-137,000 תושבי ירושלים, יפו וחיפה, קרוב למחצית. האוכלוסייה הערבית מנתה כ-700,000 נפש והייתה עירונית בשיעור של כרבע בלבד, אך בערכים מוחלטים סיפקה את רוב תושבי הערים ואת כלל אוכלוסייתן של עזה, שכם, חברון ועכו.</w:t>
      </w:r>
    </w:p>
    <w:p>
      <w:pPr>
        <w:bidi w:val="1"/>
        <w:spacing w:line="480" w:lineRule="auto" w:after="0" w:before="0"/>
        <w:jc w:val="both"/>
      </w:pPr>
      <w:r>
        <w:rPr>
          <w:rFonts w:ascii="David" w:hAnsi="David" w:cs="David"/>
          <w:b w:val="0"/>
          <w:sz w:val="24"/>
          <w:szCs w:val="24"/>
          <w:rtl/>
        </w:rPr>
        <w:t>גרוס מעמיד את קצב הגידול השנתי הממוצע של שש הערים הראשיות בין 1880 ל-1914 על שלושה אחוזים, ובשתים-עשרה ערים על 2.3 אחוזים. יצוא ההדרים מיפו, שבתחילתו היה כולו בידי ערבים מקומיים, עלה מרבע מיליון תיבות באמצע שנות התשעים לכמעט חצי מיליון ב-1903 עד 1905, ולמעלה ממיליון וחצי ב-1913 וב-1914, וכרבע ממנו היה בסוף התקופה תוצרת פרדסים יהודיים. בנמל יפו עלו ערכי היצוא והיבוא פי שלושה בין 1900 ל-1913, בעוד ערכו של הסחר הבין-לאומי כולו עלה פי שניים בלבד, ועודף היבוא עלה פי ארבעה.</w:t>
      </w:r>
      <w:r>
        <w:rPr>
          <w:rFonts w:ascii="David" w:hAnsi="David" w:cs="David"/>
          <w:b w:val="0"/>
          <w:sz w:val="24"/>
          <w:szCs w:val="24"/>
          <w:vertAlign w:val="superscript"/>
          <w:rtl/>
        </w:rPr>
        <w:t>7</w:t>
      </w:r>
      <w:r>
        <w:rPr>
          <w:rFonts w:ascii="David" w:hAnsi="David" w:cs="David"/>
          <w:b w:val="0"/>
          <w:sz w:val="24"/>
          <w:szCs w:val="24"/>
          <w:rtl/>
        </w:rPr>
        <w:t xml:space="preserve"> השפעתן הייתה אפוא שונה בטיבה. הערבית קבעה את גודלן של הערים, את אופיין המנהלי והמסחרי ואת בסיס הקרקע שלהן, והיהודית קבעה את קצב גידולן של שלוש ערים ואת צורתן הבנויה.</w:t>
      </w:r>
    </w:p>
    <w:p>
      <w:pPr>
        <w:pageBreakBefore/>
        <w:bidi w:val="1"/>
        <w:spacing w:line="360" w:lineRule="auto" w:after="200" w:before="0"/>
        <w:jc w:val="center"/>
      </w:pPr>
      <w:r>
        <w:rPr>
          <w:rFonts w:ascii="David" w:hAnsi="David" w:cs="David"/>
          <w:b/>
          <w:bCs/>
          <w:sz w:val="26"/>
          <w:szCs w:val="26"/>
          <w:rtl/>
        </w:rPr>
        <w:t>ספרות המחקר: רשימת הערות השוליים</w:t>
      </w:r>
    </w:p>
    <w:p>
      <w:pPr>
        <w:bidi w:val="1"/>
        <w:spacing w:line="480" w:lineRule="auto" w:after="40"/>
        <w:ind w:left="454" w:hanging="454"/>
        <w:jc w:val="both"/>
      </w:pPr>
      <w:r>
        <w:rPr>
          <w:rFonts w:ascii="David" w:hAnsi="David" w:cs="David"/>
          <w:b w:val="0"/>
          <w:sz w:val="24"/>
          <w:szCs w:val="24"/>
          <w:rtl/>
        </w:rPr>
        <w:t xml:space="preserve">1. </w:t>
      </w:r>
      <w:r>
        <w:rPr>
          <w:rFonts w:ascii="David" w:hAnsi="David" w:cs="David"/>
          <w:b w:val="0"/>
          <w:sz w:val="24"/>
          <w:szCs w:val="24"/>
          <w:rtl/>
        </w:rPr>
        <w:t xml:space="preserve">יהושע בן-אריה, </w:t>
      </w:r>
      <w:r>
        <w:rPr>
          <w:rFonts w:ascii="David" w:hAnsi="David" w:cs="David"/>
          <w:b w:val="0"/>
          <w:sz w:val="24"/>
          <w:szCs w:val="24"/>
          <w:rtl/>
        </w:rPr>
        <w:t xml:space="preserve">"שנים-עשר היישובים הגדולים בארץ-ישראל במאה התשע-עשרה", </w:t>
      </w:r>
      <w:r>
        <w:rPr>
          <w:rFonts w:ascii="David" w:hAnsi="David" w:cs="David"/>
          <w:b/>
          <w:bCs/>
          <w:sz w:val="24"/>
          <w:szCs w:val="24"/>
          <w:rtl/>
        </w:rPr>
        <w:t>קתדרה</w:t>
      </w:r>
      <w:r>
        <w:rPr>
          <w:rFonts w:ascii="David" w:hAnsi="David" w:cs="David"/>
          <w:b w:val="0"/>
          <w:sz w:val="24"/>
          <w:szCs w:val="24"/>
          <w:rtl/>
        </w:rPr>
        <w:t>, 19 (ניסן תשמ"א), עמ' 83-143.</w:t>
      </w:r>
    </w:p>
    <w:p>
      <w:pPr>
        <w:bidi w:val="1"/>
        <w:spacing w:line="480" w:lineRule="auto" w:after="40"/>
        <w:ind w:left="454" w:hanging="454"/>
        <w:jc w:val="both"/>
      </w:pPr>
      <w:r>
        <w:rPr>
          <w:rFonts w:ascii="David" w:hAnsi="David" w:cs="David"/>
          <w:b w:val="0"/>
          <w:sz w:val="24"/>
          <w:szCs w:val="24"/>
          <w:rtl/>
        </w:rPr>
        <w:t xml:space="preserve">2. </w:t>
      </w:r>
      <w:r>
        <w:rPr>
          <w:rFonts w:ascii="David" w:hAnsi="David" w:cs="David"/>
          <w:b w:val="0"/>
          <w:sz w:val="24"/>
          <w:szCs w:val="24"/>
          <w:rtl/>
        </w:rPr>
        <w:t xml:space="preserve">יהושע בן-אריה, </w:t>
      </w:r>
      <w:r>
        <w:rPr>
          <w:rFonts w:ascii="David" w:hAnsi="David" w:cs="David"/>
          <w:b/>
          <w:bCs/>
          <w:sz w:val="24"/>
          <w:szCs w:val="24"/>
          <w:rtl/>
        </w:rPr>
        <w:t>עיר בראי תקופה: ירושלים החדשה בראשיתה</w:t>
      </w:r>
      <w:r>
        <w:rPr>
          <w:rFonts w:ascii="David" w:hAnsi="David" w:cs="David"/>
          <w:b w:val="0"/>
          <w:sz w:val="24"/>
          <w:szCs w:val="24"/>
          <w:rtl/>
        </w:rPr>
        <w:t>, ירושלים, יד יצחק בן-צבי, 1988, עמ' 472-499.</w:t>
      </w:r>
    </w:p>
    <w:p>
      <w:pPr>
        <w:bidi w:val="1"/>
        <w:spacing w:line="480" w:lineRule="auto" w:after="40"/>
        <w:ind w:left="454" w:hanging="454"/>
        <w:jc w:val="both"/>
      </w:pPr>
      <w:r>
        <w:rPr>
          <w:rFonts w:ascii="David" w:hAnsi="David" w:cs="David"/>
          <w:b w:val="0"/>
          <w:sz w:val="24"/>
          <w:szCs w:val="24"/>
          <w:rtl/>
        </w:rPr>
        <w:t xml:space="preserve">3. </w:t>
      </w:r>
      <w:r>
        <w:rPr>
          <w:rFonts w:ascii="David" w:hAnsi="David" w:cs="David"/>
          <w:b w:val="0"/>
          <w:sz w:val="24"/>
          <w:szCs w:val="24"/>
          <w:rtl/>
        </w:rPr>
        <w:t xml:space="preserve">יוסף כץ, </w:t>
      </w:r>
      <w:r>
        <w:rPr>
          <w:rFonts w:ascii="David" w:hAnsi="David" w:cs="David"/>
          <w:b w:val="0"/>
          <w:sz w:val="24"/>
          <w:szCs w:val="24"/>
          <w:rtl/>
        </w:rPr>
        <w:t xml:space="preserve">"חברת 'אחוזת בית' 1906-1909: הנחת היסודות להקמתה של תל-אביב", </w:t>
      </w:r>
      <w:r>
        <w:rPr>
          <w:rFonts w:ascii="David" w:hAnsi="David" w:cs="David"/>
          <w:b/>
          <w:bCs/>
          <w:sz w:val="24"/>
          <w:szCs w:val="24"/>
          <w:rtl/>
        </w:rPr>
        <w:t>קתדרה</w:t>
      </w:r>
      <w:r>
        <w:rPr>
          <w:rFonts w:ascii="David" w:hAnsi="David" w:cs="David"/>
          <w:b w:val="0"/>
          <w:sz w:val="24"/>
          <w:szCs w:val="24"/>
          <w:rtl/>
        </w:rPr>
        <w:t>, 33 (תשמ"ה), עמ' 161-191.</w:t>
      </w:r>
    </w:p>
    <w:p>
      <w:pPr>
        <w:bidi w:val="1"/>
        <w:spacing w:line="480" w:lineRule="auto" w:after="40"/>
        <w:ind w:left="454" w:hanging="454"/>
        <w:jc w:val="both"/>
      </w:pPr>
      <w:r>
        <w:rPr>
          <w:rFonts w:ascii="David" w:hAnsi="David" w:cs="David"/>
          <w:b w:val="0"/>
          <w:sz w:val="24"/>
          <w:szCs w:val="24"/>
          <w:rtl/>
        </w:rPr>
        <w:t xml:space="preserve">4. </w:t>
      </w:r>
      <w:r>
        <w:rPr>
          <w:rFonts w:ascii="David" w:hAnsi="David" w:cs="David"/>
          <w:b w:val="0"/>
          <w:sz w:val="24"/>
          <w:szCs w:val="24"/>
          <w:rtl/>
        </w:rPr>
        <w:t xml:space="preserve">מחמוד יזבק, </w:t>
      </w:r>
      <w:r>
        <w:rPr>
          <w:rFonts w:ascii="David" w:hAnsi="David" w:cs="David"/>
          <w:b w:val="0"/>
          <w:sz w:val="24"/>
          <w:szCs w:val="24"/>
          <w:rtl/>
        </w:rPr>
        <w:t xml:space="preserve">"חיפה העות'מאנית: צמיחה דמוגרפית וריבוי עדתי", </w:t>
      </w:r>
      <w:r>
        <w:rPr>
          <w:rFonts w:ascii="David" w:hAnsi="David" w:cs="David"/>
          <w:b/>
          <w:bCs/>
          <w:sz w:val="24"/>
          <w:szCs w:val="24"/>
          <w:rtl/>
        </w:rPr>
        <w:t>אופקים בגאוגרפיה</w:t>
      </w:r>
      <w:r>
        <w:rPr>
          <w:rFonts w:ascii="David" w:hAnsi="David" w:cs="David"/>
          <w:b w:val="0"/>
          <w:sz w:val="24"/>
          <w:szCs w:val="24"/>
          <w:rtl/>
        </w:rPr>
        <w:t>, 73-74 (2009), עמ' 58-76.</w:t>
      </w:r>
    </w:p>
    <w:p>
      <w:pPr>
        <w:bidi w:val="1"/>
        <w:spacing w:line="480" w:lineRule="auto" w:after="40"/>
        <w:ind w:left="454" w:hanging="454"/>
        <w:jc w:val="both"/>
      </w:pPr>
      <w:r>
        <w:rPr>
          <w:rFonts w:ascii="David" w:hAnsi="David" w:cs="David"/>
          <w:b w:val="0"/>
          <w:sz w:val="24"/>
          <w:szCs w:val="24"/>
          <w:rtl/>
        </w:rPr>
        <w:t xml:space="preserve">5. </w:t>
      </w:r>
      <w:r>
        <w:rPr>
          <w:rFonts w:ascii="David" w:hAnsi="David" w:cs="David"/>
          <w:b w:val="0"/>
          <w:sz w:val="24"/>
          <w:szCs w:val="24"/>
          <w:rtl/>
        </w:rPr>
        <w:t xml:space="preserve">רות קרק, </w:t>
      </w:r>
      <w:r>
        <w:rPr>
          <w:rFonts w:ascii="David" w:hAnsi="David" w:cs="David"/>
          <w:b w:val="0"/>
          <w:sz w:val="24"/>
          <w:szCs w:val="24"/>
          <w:rtl/>
        </w:rPr>
        <w:t xml:space="preserve">"פעילות עיריית ירושלים בסוף התקופה העות'מאנית", </w:t>
      </w:r>
      <w:r>
        <w:rPr>
          <w:rFonts w:ascii="David" w:hAnsi="David" w:cs="David"/>
          <w:b/>
          <w:bCs/>
          <w:sz w:val="24"/>
          <w:szCs w:val="24"/>
          <w:rtl/>
        </w:rPr>
        <w:t>קתדרה</w:t>
      </w:r>
      <w:r>
        <w:rPr>
          <w:rFonts w:ascii="David" w:hAnsi="David" w:cs="David"/>
          <w:b w:val="0"/>
          <w:sz w:val="24"/>
          <w:szCs w:val="24"/>
          <w:rtl/>
        </w:rPr>
        <w:t>, 6 (תשל"ח), עמ' 74-94.</w:t>
      </w:r>
    </w:p>
    <w:p>
      <w:pPr>
        <w:bidi w:val="1"/>
        <w:spacing w:line="480" w:lineRule="auto" w:after="40"/>
        <w:ind w:left="454" w:hanging="454"/>
        <w:jc w:val="both"/>
      </w:pPr>
      <w:r>
        <w:rPr>
          <w:rFonts w:ascii="David" w:hAnsi="David" w:cs="David"/>
          <w:b w:val="0"/>
          <w:sz w:val="24"/>
          <w:szCs w:val="24"/>
          <w:rtl/>
        </w:rPr>
        <w:t xml:space="preserve">6. </w:t>
      </w:r>
      <w:r>
        <w:rPr>
          <w:rFonts w:ascii="David" w:hAnsi="David" w:cs="David"/>
          <w:b w:val="0"/>
          <w:sz w:val="24"/>
          <w:szCs w:val="24"/>
          <w:rtl/>
        </w:rPr>
        <w:t xml:space="preserve">דוד גרוסמן, </w:t>
      </w:r>
      <w:r>
        <w:rPr>
          <w:rFonts w:ascii="David" w:hAnsi="David" w:cs="David"/>
          <w:b w:val="0"/>
          <w:sz w:val="24"/>
          <w:szCs w:val="24"/>
          <w:rtl/>
        </w:rPr>
        <w:t xml:space="preserve">"האוכלוסייה הערבית בארץ ישראל בתקופה העות'מאנית: תדמית ומציאות", </w:t>
      </w:r>
      <w:r>
        <w:rPr>
          <w:rFonts w:ascii="David" w:hAnsi="David" w:cs="David"/>
          <w:b/>
          <w:bCs/>
          <w:sz w:val="24"/>
          <w:szCs w:val="24"/>
          <w:rtl/>
        </w:rPr>
        <w:t>אופקים בגאוגרפיה</w:t>
      </w:r>
      <w:r>
        <w:rPr>
          <w:rFonts w:ascii="David" w:hAnsi="David" w:cs="David"/>
          <w:b w:val="0"/>
          <w:sz w:val="24"/>
          <w:szCs w:val="24"/>
          <w:rtl/>
        </w:rPr>
        <w:t>, 68-69 (תשס"ח), עמ' 6-34.</w:t>
      </w:r>
    </w:p>
    <w:p>
      <w:pPr>
        <w:bidi w:val="1"/>
        <w:spacing w:line="480" w:lineRule="auto" w:after="40"/>
        <w:ind w:left="454" w:hanging="454"/>
        <w:jc w:val="both"/>
      </w:pPr>
      <w:r>
        <w:rPr>
          <w:rFonts w:ascii="David" w:hAnsi="David" w:cs="David"/>
          <w:b w:val="0"/>
          <w:sz w:val="24"/>
          <w:szCs w:val="24"/>
          <w:rtl/>
        </w:rPr>
        <w:t xml:space="preserve">7. </w:t>
      </w:r>
      <w:r>
        <w:rPr>
          <w:rFonts w:ascii="David" w:hAnsi="David" w:cs="David"/>
          <w:b w:val="0"/>
          <w:sz w:val="24"/>
          <w:szCs w:val="24"/>
          <w:rtl/>
        </w:rPr>
        <w:t xml:space="preserve">נחום גרוס, </w:t>
      </w:r>
      <w:r>
        <w:rPr>
          <w:rFonts w:ascii="David" w:hAnsi="David" w:cs="David"/>
          <w:b w:val="0"/>
          <w:sz w:val="24"/>
          <w:szCs w:val="24"/>
          <w:rtl/>
        </w:rPr>
        <w:t xml:space="preserve">"תמורות כלכליות בארץ-ישראל בסוף התקופה העות'מאנית", </w:t>
      </w:r>
      <w:r>
        <w:rPr>
          <w:rFonts w:ascii="David" w:hAnsi="David" w:cs="David"/>
          <w:b/>
          <w:bCs/>
          <w:sz w:val="24"/>
          <w:szCs w:val="24"/>
          <w:rtl/>
        </w:rPr>
        <w:t>קתדרה</w:t>
      </w:r>
      <w:r>
        <w:rPr>
          <w:rFonts w:ascii="David" w:hAnsi="David" w:cs="David"/>
          <w:b w:val="0"/>
          <w:sz w:val="24"/>
          <w:szCs w:val="24"/>
          <w:rtl/>
        </w:rPr>
        <w:t>, 2 (תשל"ז), עמ' 111-125.</w:t>
      </w:r>
    </w:p>
    <w:sectPr w:rsidR="00FC693F" w:rsidRPr="0006063C" w:rsidSect="00034616">
      <w:footerReference w:type="default" r:id="rId9"/>
      <w:headerReference w:type="default" r:id="rId10"/>
      <w:pgSz w:w="11906" w:h="16838"/>
      <w:pgMar w:top="1417" w:right="1417" w:bottom="1417" w:left="1417" w:header="720" w:footer="720" w:gutter="0"/>
      <w:cols w:space="720"/>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40" w:lineRule="auto"/>
      <w:jc w:val="center"/>
    </w:pPr>
    <w:r>
      <w:rPr>
        <w:rFonts w:ascii="David" w:hAnsi="David" w:cs="David"/>
        <w:b w:val="0"/>
        <w:sz w:val="24"/>
        <w:szCs w:val="24"/>
        <w:rtl/>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