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200" w:before="1400" w:line="360"/>
        <w:jc w:val="center"/>
      </w:pPr>
      <w:r>
        <w:rPr>
          <w:rFonts w:ascii="David" w:cs="David" w:eastAsia="David" w:hAnsi="David"/>
          <w:b/>
          <w:bCs/>
          <w:sz w:val="28"/>
          <w:szCs w:val="28"/>
          <w:rtl/>
        </w:rPr>
        <w:t xml:space="preserve">המכללה האקדמית הערבית לחינוך בישראל, חיפה</w:t>
      </w:r>
    </w:p>
    <w:p>
      <w:pPr>
        <w:bidi/>
        <w:spacing w:after="900" w:before="0" w:line="360"/>
        <w:jc w:val="center"/>
      </w:pPr>
      <w:r>
        <w:rPr>
          <w:rFonts w:ascii="David" w:cs="David" w:eastAsia="David" w:hAnsi="David"/>
          <w:sz w:val="26"/>
          <w:szCs w:val="26"/>
          <w:rtl/>
        </w:rPr>
        <w:t xml:space="preserve">סמינריון בסיפורת עברית מודרנית: הסיפור הקצר מאת אתגר קרת</w:t>
      </w:r>
    </w:p>
    <w:p>
      <w:pPr>
        <w:bidi/>
        <w:spacing w:after="100" w:before="0" w:line="360"/>
        <w:jc w:val="center"/>
      </w:pPr>
      <w:r>
        <w:rPr>
          <w:rFonts w:ascii="David" w:cs="David" w:eastAsia="David" w:hAnsi="David"/>
          <w:b/>
          <w:bCs/>
          <w:sz w:val="36"/>
          <w:szCs w:val="36"/>
          <w:rtl/>
        </w:rPr>
        <w:t xml:space="preserve">"סתם קולות"</w:t>
      </w:r>
    </w:p>
    <w:p>
      <w:pPr>
        <w:bidi/>
        <w:spacing w:after="400" w:before="0" w:line="360"/>
        <w:jc w:val="center"/>
      </w:pPr>
      <w:r>
        <w:rPr>
          <w:rFonts w:ascii="David" w:cs="David" w:eastAsia="David" w:hAnsi="David"/>
          <w:b/>
          <w:bCs/>
          <w:sz w:val="30"/>
          <w:szCs w:val="30"/>
          <w:rtl/>
        </w:rPr>
        <w:t xml:space="preserve">דרכי התמודדות עם קשיים בסיפורים "האנשים החלולים" ו"מי כמונו יודע" מאת אתגר קרת</w:t>
      </w:r>
    </w:p>
    <w:p>
      <w:pPr>
        <w:bidi/>
        <w:spacing w:after="1000" w:before="0" w:line="360"/>
        <w:jc w:val="center"/>
      </w:pPr>
      <w:r>
        <w:rPr>
          <w:rFonts w:ascii="David" w:cs="David" w:eastAsia="David" w:hAnsi="David"/>
          <w:sz w:val="26"/>
          <w:szCs w:val="26"/>
          <w:rtl/>
        </w:rPr>
        <w:t xml:space="preserve">חלק א: רשימת מקורות וראשי פרקים</w:t>
      </w:r>
    </w:p>
    <w:p>
      <w:pPr>
        <w:bidi/>
        <w:spacing w:after="140" w:before="0" w:line="360"/>
        <w:jc w:val="center"/>
      </w:pPr>
      <w:r>
        <w:rPr>
          <w:rFonts w:ascii="David" w:cs="David" w:eastAsia="David" w:hAnsi="David"/>
          <w:sz w:val="26"/>
          <w:szCs w:val="26"/>
          <w:rtl/>
        </w:rPr>
        <w:t xml:space="preserve">שם הקורס: סמינריון בסיפורת עברית מודרנית</w:t>
      </w:r>
    </w:p>
    <w:p>
      <w:pPr>
        <w:bidi/>
        <w:spacing w:after="140" w:before="0" w:line="360"/>
        <w:jc w:val="center"/>
      </w:pPr>
      <w:r>
        <w:rPr>
          <w:rFonts w:ascii="David" w:cs="David" w:eastAsia="David" w:hAnsi="David"/>
          <w:sz w:val="26"/>
          <w:szCs w:val="26"/>
          <w:rtl/>
        </w:rPr>
        <w:t xml:space="preserve">שם המרצה: ד"ר ישראלה וייס</w:t>
      </w:r>
    </w:p>
    <w:p>
      <w:pPr>
        <w:bidi/>
        <w:spacing w:after="140" w:before="0" w:line="360"/>
        <w:jc w:val="center"/>
      </w:pPr>
      <w:r>
        <w:rPr>
          <w:rFonts w:ascii="David" w:cs="David" w:eastAsia="David" w:hAnsi="David"/>
          <w:sz w:val="26"/>
          <w:szCs w:val="26"/>
          <w:rtl/>
        </w:rPr>
        <w:t xml:space="preserve">שם הסטודנט/ית: ____________________</w:t>
      </w:r>
    </w:p>
    <w:p>
      <w:pPr>
        <w:bidi/>
        <w:spacing w:after="140" w:before="0" w:line="360"/>
        <w:jc w:val="center"/>
      </w:pPr>
      <w:r>
        <w:rPr>
          <w:rFonts w:ascii="David" w:cs="David" w:eastAsia="David" w:hAnsi="David"/>
          <w:sz w:val="26"/>
          <w:szCs w:val="26"/>
          <w:rtl/>
        </w:rPr>
        <w:t xml:space="preserve">ת"ז: ____________________</w:t>
      </w:r>
    </w:p>
    <w:p>
      <w:pPr>
        <w:bidi/>
        <w:spacing w:after="140" w:before="0" w:line="360"/>
        <w:jc w:val="center"/>
      </w:pPr>
      <w:r>
        <w:rPr>
          <w:rFonts w:ascii="David" w:cs="David" w:eastAsia="David" w:hAnsi="David"/>
          <w:sz w:val="26"/>
          <w:szCs w:val="26"/>
          <w:rtl/>
        </w:rPr>
        <w:t xml:space="preserve">תאריך הגשה: ____________________</w:t>
      </w:r>
    </w:p>
    <w:p>
      <w:r>
        <w:br w:type="page"/>
      </w:r>
    </w:p>
    <w:p>
      <w:pPr>
        <w:bidi/>
        <w:spacing w:after="300" w:before="0" w:line="360"/>
        <w:jc w:val="center"/>
      </w:pPr>
      <w:r>
        <w:rPr>
          <w:rFonts w:ascii="David" w:cs="David" w:eastAsia="David" w:hAnsi="David"/>
          <w:b/>
          <w:bCs/>
          <w:sz w:val="30"/>
          <w:szCs w:val="30"/>
          <w:rtl/>
        </w:rPr>
        <w:t xml:space="preserve">רשימת מקורות</w:t>
      </w:r>
    </w:p>
    <w:p>
      <w:pPr>
        <w:bidi/>
        <w:spacing w:after="160" w:line="360"/>
        <w:ind w:left="720" w:hanging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כהן, ד' (2015). בשני צירים שונים: תהליך האבל והתקשורת של הורים ואחים שכולים לאחר אבדן ילד בוגר. </w:t>
      </w:r>
      <w:r>
        <w:rPr>
          <w:rFonts w:ascii="David" w:cs="David" w:eastAsia="David" w:hAnsi="David"/>
          <w:i/>
          <w:iCs/>
          <w:sz w:val="24"/>
          <w:szCs w:val="24"/>
          <w:rtl/>
        </w:rPr>
        <w:t xml:space="preserve">מפגש לעבודה חינוכית-סוציאלית</w:t>
      </w:r>
      <w:r>
        <w:rPr>
          <w:rFonts w:ascii="David" w:cs="David" w:eastAsia="David" w:hAnsi="David"/>
          <w:sz w:val="24"/>
          <w:szCs w:val="24"/>
          <w:rtl/>
        </w:rPr>
        <w:t xml:space="preserve">, כג(41). https://kitvei-et.efshar.org.il/גיליונות/מפגש-41/</w:t>
      </w:r>
    </w:p>
    <w:p>
      <w:pPr>
        <w:bidi/>
        <w:spacing w:after="160" w:line="360"/>
        <w:ind w:left="720" w:hanging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קצמן, ר' (2005). געגועים למיתוס: אישיות, אתיקה ואידאולוגיה במיתופואסיס הפוסטמודרני של אתגר קרת. </w:t>
      </w:r>
      <w:r>
        <w:rPr>
          <w:rFonts w:ascii="David" w:cs="David" w:eastAsia="David" w:hAnsi="David"/>
          <w:i/>
          <w:iCs/>
          <w:sz w:val="24"/>
          <w:szCs w:val="24"/>
          <w:rtl/>
        </w:rPr>
        <w:t xml:space="preserve">מכאן</w:t>
      </w:r>
      <w:r>
        <w:rPr>
          <w:rFonts w:ascii="David" w:cs="David" w:eastAsia="David" w:hAnsi="David"/>
          <w:sz w:val="24"/>
          <w:szCs w:val="24"/>
          <w:rtl/>
        </w:rPr>
        <w:t xml:space="preserve">, ד, 20-41.</w:t>
      </w:r>
    </w:p>
    <w:p>
      <w:pPr>
        <w:bidi/>
        <w:spacing w:after="160" w:line="360"/>
        <w:ind w:left="720" w:hanging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קרת, א' (1994). האנשים החלולים. בתוך </w:t>
      </w:r>
      <w:r>
        <w:rPr>
          <w:rFonts w:ascii="David" w:cs="David" w:eastAsia="David" w:hAnsi="David"/>
          <w:i/>
          <w:iCs/>
          <w:sz w:val="24"/>
          <w:szCs w:val="24"/>
          <w:rtl/>
        </w:rPr>
        <w:t xml:space="preserve">געגועי לקיסינג'ר</w:t>
      </w:r>
      <w:r>
        <w:rPr>
          <w:rFonts w:ascii="David" w:cs="David" w:eastAsia="David" w:hAnsi="David"/>
          <w:sz w:val="24"/>
          <w:szCs w:val="24"/>
          <w:rtl/>
        </w:rPr>
        <w:t xml:space="preserve">. זמורה-ביתן.</w:t>
      </w:r>
    </w:p>
    <w:p>
      <w:pPr>
        <w:bidi/>
        <w:spacing w:after="160" w:line="360"/>
        <w:ind w:left="720" w:hanging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קרת, א' (2024). מי כמונו יודע. בתוך </w:t>
      </w:r>
      <w:r>
        <w:rPr>
          <w:rFonts w:ascii="David" w:cs="David" w:eastAsia="David" w:hAnsi="David"/>
          <w:i/>
          <w:iCs/>
          <w:sz w:val="24"/>
          <w:szCs w:val="24"/>
          <w:rtl/>
        </w:rPr>
        <w:t xml:space="preserve">אוטוקורקט</w:t>
      </w:r>
      <w:r>
        <w:rPr>
          <w:rFonts w:ascii="David" w:cs="David" w:eastAsia="David" w:hAnsi="David"/>
          <w:sz w:val="24"/>
          <w:szCs w:val="24"/>
          <w:rtl/>
        </w:rPr>
        <w:t xml:space="preserve">. כנרת, זמורה-ביתן, דביר.</w:t>
      </w:r>
    </w:p>
    <w:p>
      <w:pPr>
        <w:spacing w:after="160" w:line="360"/>
        <w:ind w:left="720" w:hanging="720"/>
        <w:jc w:val="left"/>
      </w:pPr>
      <w:r>
        <w:rPr>
          <w:rFonts w:ascii="David" w:cs="David" w:eastAsia="David" w:hAnsi="David"/>
          <w:sz w:val="24"/>
          <w:szCs w:val="24"/>
        </w:rPr>
        <w:t xml:space="preserve">Abramovich, D. (2019). Israeli Holocaust memory in a short story by Etgar Keret. </w:t>
      </w:r>
      <w:r>
        <w:rPr>
          <w:rFonts w:ascii="David" w:cs="David" w:eastAsia="David" w:hAnsi="David"/>
          <w:i/>
          <w:iCs/>
          <w:sz w:val="24"/>
          <w:szCs w:val="24"/>
        </w:rPr>
        <w:t xml:space="preserve">Australian Journal of Jewish Studies, 32</w:t>
      </w:r>
      <w:r>
        <w:rPr>
          <w:rFonts w:ascii="David" w:cs="David" w:eastAsia="David" w:hAnsi="David"/>
          <w:sz w:val="24"/>
          <w:szCs w:val="24"/>
        </w:rPr>
        <w:t xml:space="preserve">, 21-33. http://www.aajs.org.au/wp-content/uploads/2020/03/AJJSvol32_Abramovich_21-33.pdf</w:t>
      </w:r>
    </w:p>
    <w:p>
      <w:pPr>
        <w:spacing w:after="160" w:line="360"/>
        <w:ind w:left="720" w:hanging="720"/>
        <w:jc w:val="left"/>
      </w:pPr>
      <w:r>
        <w:rPr>
          <w:rFonts w:ascii="David" w:cs="David" w:eastAsia="David" w:hAnsi="David"/>
          <w:sz w:val="24"/>
          <w:szCs w:val="24"/>
        </w:rPr>
        <w:t xml:space="preserve">Lazarus, R. S., &amp; Folkman, S. (1984). </w:t>
      </w:r>
      <w:r>
        <w:rPr>
          <w:rFonts w:ascii="David" w:cs="David" w:eastAsia="David" w:hAnsi="David"/>
          <w:i/>
          <w:iCs/>
          <w:sz w:val="24"/>
          <w:szCs w:val="24"/>
        </w:rPr>
        <w:t xml:space="preserve">Stress, appraisal, and coping</w:t>
      </w:r>
      <w:r>
        <w:rPr>
          <w:rFonts w:ascii="David" w:cs="David" w:eastAsia="David" w:hAnsi="David"/>
          <w:sz w:val="24"/>
          <w:szCs w:val="24"/>
        </w:rPr>
        <w:t xml:space="preserve">. Springer.</w:t>
      </w:r>
    </w:p>
    <w:p>
      <w:pPr>
        <w:spacing w:after="160" w:line="360"/>
        <w:ind w:left="720" w:hanging="720"/>
        <w:jc w:val="left"/>
      </w:pPr>
      <w:r>
        <w:rPr>
          <w:rFonts w:ascii="David" w:cs="David" w:eastAsia="David" w:hAnsi="David"/>
          <w:sz w:val="24"/>
          <w:szCs w:val="24"/>
        </w:rPr>
        <w:t xml:space="preserve">Mendelson-Maoz, A. (2018). Keret's "living-dead" and the sacrifice of Israeli masculinity. </w:t>
      </w:r>
      <w:r>
        <w:rPr>
          <w:rFonts w:ascii="David" w:cs="David" w:eastAsia="David" w:hAnsi="David"/>
          <w:i/>
          <w:iCs/>
          <w:sz w:val="24"/>
          <w:szCs w:val="24"/>
        </w:rPr>
        <w:t xml:space="preserve">BGU Review: A Journal of Israeli Culture</w:t>
      </w:r>
      <w:r>
        <w:rPr>
          <w:rFonts w:ascii="David" w:cs="David" w:eastAsia="David" w:hAnsi="David"/>
          <w:sz w:val="24"/>
          <w:szCs w:val="24"/>
        </w:rPr>
        <w:t xml:space="preserve">, Winter 2018. https://in.bgu.ac.il/en/heksherim/BGU%20Review%202018/Adia-Mendelson-Maoz-BGUR.pdf</w:t>
      </w:r>
    </w:p>
    <w:p>
      <w:pPr>
        <w:spacing w:after="160" w:line="360"/>
        <w:ind w:left="720" w:hanging="720"/>
        <w:jc w:val="left"/>
      </w:pPr>
      <w:r>
        <w:rPr>
          <w:rFonts w:ascii="David" w:cs="David" w:eastAsia="David" w:hAnsi="David"/>
          <w:sz w:val="24"/>
          <w:szCs w:val="24"/>
        </w:rPr>
        <w:t xml:space="preserve">Omer-Sherman, R. (2020). "To extract from it some sort of beautiful thing": The Holocaust in the families and fiction of Nava Semel and Etgar Keret. </w:t>
      </w:r>
      <w:r>
        <w:rPr>
          <w:rFonts w:ascii="David" w:cs="David" w:eastAsia="David" w:hAnsi="David"/>
          <w:i/>
          <w:iCs/>
          <w:sz w:val="24"/>
          <w:szCs w:val="24"/>
        </w:rPr>
        <w:t xml:space="preserve">Humanities, 9</w:t>
      </w:r>
      <w:r>
        <w:rPr>
          <w:rFonts w:ascii="David" w:cs="David" w:eastAsia="David" w:hAnsi="David"/>
          <w:sz w:val="24"/>
          <w:szCs w:val="24"/>
        </w:rPr>
        <w:t xml:space="preserve">(4), Article 137. https://doi.org/10.3390/h9040137</w:t>
      </w:r>
    </w:p>
    <w:p>
      <w:pPr>
        <w:spacing w:after="160" w:line="360"/>
        <w:ind w:left="720" w:hanging="720"/>
        <w:jc w:val="left"/>
      </w:pPr>
      <w:r>
        <w:rPr>
          <w:rFonts w:ascii="David" w:cs="David" w:eastAsia="David" w:hAnsi="David"/>
          <w:sz w:val="24"/>
          <w:szCs w:val="24"/>
        </w:rPr>
        <w:t xml:space="preserve">Rubin, S. S. (1999). The two-track model of bereavement: Overview, retrospect, and prospect. </w:t>
      </w:r>
      <w:r>
        <w:rPr>
          <w:rFonts w:ascii="David" w:cs="David" w:eastAsia="David" w:hAnsi="David"/>
          <w:i/>
          <w:iCs/>
          <w:sz w:val="24"/>
          <w:szCs w:val="24"/>
        </w:rPr>
        <w:t xml:space="preserve">Death Studies, 23</w:t>
      </w:r>
      <w:r>
        <w:rPr>
          <w:rFonts w:ascii="David" w:cs="David" w:eastAsia="David" w:hAnsi="David"/>
          <w:sz w:val="24"/>
          <w:szCs w:val="24"/>
        </w:rPr>
        <w:t xml:space="preserve">(8), 681-714. https://doi.org/10.1080/074811899200731</w:t>
      </w:r>
    </w:p>
    <w:p>
      <w:pPr>
        <w:spacing w:after="160" w:line="360"/>
        <w:ind w:left="720" w:hanging="720"/>
        <w:jc w:val="left"/>
      </w:pPr>
      <w:r>
        <w:rPr>
          <w:rFonts w:ascii="David" w:cs="David" w:eastAsia="David" w:hAnsi="David"/>
          <w:sz w:val="24"/>
          <w:szCs w:val="24"/>
        </w:rPr>
        <w:t xml:space="preserve">Schwartz, Y. (2018). Stam: The unbearable lightness of banality, or on the nature of Etgar Keret's humor. </w:t>
      </w:r>
      <w:r>
        <w:rPr>
          <w:rFonts w:ascii="David" w:cs="David" w:eastAsia="David" w:hAnsi="David"/>
          <w:i/>
          <w:iCs/>
          <w:sz w:val="24"/>
          <w:szCs w:val="24"/>
        </w:rPr>
        <w:t xml:space="preserve">BGU Review: A Journal of Israeli Culture</w:t>
      </w:r>
      <w:r>
        <w:rPr>
          <w:rFonts w:ascii="David" w:cs="David" w:eastAsia="David" w:hAnsi="David"/>
          <w:sz w:val="24"/>
          <w:szCs w:val="24"/>
        </w:rPr>
        <w:t xml:space="preserve">, Winter 2018. https://www.bgu.ac.il/media/zpjot1iw/yigal-schwartz-bgur.pdf</w:t>
      </w:r>
    </w:p>
    <w:p>
      <w:r>
        <w:br w:type="page"/>
      </w:r>
    </w:p>
    <w:p>
      <w:pPr>
        <w:bidi/>
        <w:spacing w:after="300" w:before="0" w:line="360"/>
        <w:jc w:val="center"/>
      </w:pPr>
      <w:r>
        <w:rPr>
          <w:rFonts w:ascii="David" w:cs="David" w:eastAsia="David" w:hAnsi="David"/>
          <w:b/>
          <w:bCs/>
          <w:sz w:val="30"/>
          <w:szCs w:val="30"/>
          <w:rtl/>
        </w:rPr>
        <w:t xml:space="preserve">ראשי פרקים</w:t>
      </w:r>
    </w:p>
    <w:p>
      <w:pPr>
        <w:bidi/>
        <w:spacing w:after="80" w:before="20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תקציר ומילות מפתח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תמצית העבודה: הנושא, שני הסיפורים, שאלות המחקר, שיטת הניתוח והממצא המרכזי.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מילות מפתח: אתגר קרת; הסיפור הקצר; התמודדות; אובדן ושכול; יחסי אב ובן; אשמה; פנטזיה; הומור; הדור השני.</w:t>
      </w:r>
    </w:p>
    <w:p>
      <w:pPr>
        <w:bidi/>
        <w:spacing w:after="80" w:before="20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מבוא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הסיפור העברי הקצר ומקומו בספרות הישראלית של שנות התשעים.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סגנון כתיבתו של אתגר קרת: שפה דיבורית, קוצר, פנטסטי בתוך יומיומי, הומור שחור וסיום פתוח.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הצגת הסיפורים: "האנשים החלולים" (געגועי לקיסינג'ר, 1994) ו"מי כמונו יודע" (אוטוקורקט, 2024).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הנושא המשותף: דרכי התמודדות עם קשיים, ובתוכן יחסי אב ובן, אשמה וחרטה.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שאלות המחקר:</w:t>
      </w:r>
    </w:p>
    <w:p>
      <w:pPr>
        <w:bidi/>
        <w:spacing w:after="40" w:line="360"/>
        <w:ind w:left="144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א. אילו קשיים ניצבים בפני הדמויות בשני הסיפורים, ואילו דרכי התמודדות הן נוקטות?</w:t>
      </w:r>
    </w:p>
    <w:p>
      <w:pPr>
        <w:bidi/>
        <w:spacing w:after="40" w:line="360"/>
        <w:ind w:left="144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ב. כיצד משמשים השפה, הפנטזיה וההומור כאמצעי התמודדות, אצל הדמויות ואצל המספר?</w:t>
      </w:r>
    </w:p>
    <w:p>
      <w:pPr>
        <w:bidi/>
        <w:spacing w:after="40" w:line="360"/>
        <w:ind w:left="144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ג. מה תפקידו של האחר (האב; הזר בבית הקפה) בהתמודדות, ומה מחירה של ההתמודדות?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מבנה העבודה.</w:t>
      </w:r>
    </w:p>
    <w:p>
      <w:pPr>
        <w:bidi/>
        <w:spacing w:after="80" w:before="20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פרק 1: רקע תאורטי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1.1 התמודדות עם לחץ וקשיים: הערכה ראשונית ומשנית, התמודדות ממוקדת בעיה, ממוקדת רגש והימנעות (Lazarus &amp; Folkman, 1984).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1.2 אובדן ושכול: המודל הדו-מסלולי (Rubin, 1999); אבל במשפחה אחרי מות ילד (כהן, 2015).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1.3 הורשה בין-דורית: יחסי אב ובן, אשמה וזיכרון בקרב הדור השני והשלישי (Omer-Sherman, 2020; Abramovich, 2019).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1.4 הפואטיקה של קרת ככלי התמודדות: עולם פרטי בעל חוקים משלו (קצמן, 2005); המתים-החיים (Mendelson-Maoz, 2018); ההומור והמילה "סתם" (Schwartz, 2018).</w:t>
      </w:r>
    </w:p>
    <w:p>
      <w:pPr>
        <w:bidi/>
        <w:spacing w:after="80" w:before="20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פרק 2: "האנשים החלולים": הסתגרות, לחישה ושתיקה כדרכי התמודדות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2.1 תקציר הסיפור ומבנהו: מספר ילד, בית סגור, קולות בדלת, מות האם ומות האב.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2.2 הקושי: פחד, פלישה ובדידות.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2.3 דרכי ההתמודדות של האב: הימנעות (הדלת והתריסים), הסבר מחדש ("סתם קולות"), מגע ולחישה.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2.4 יחסי אב ובן: הורשת הפחד והורשת ההתמודדות; הבן לומד לומר את המילים במקום האב.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2.5 התמודדות עם אובדן: מות האם "בלי קול אבל עם גוף" ומות האב ליד הפסנתר.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2.6 מחיר ההתמודדות: "סתם, ממש סתם"; הבן שנעשה אחד מהאנשים החלולים.</w:t>
      </w:r>
    </w:p>
    <w:p>
      <w:pPr>
        <w:bidi/>
        <w:spacing w:after="80" w:before="20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פרק 3: "מי כמונו יודע": דיבור, אידאולוגיה, הסתרה וכתיבה כדרכי התמודדות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3.1 תקציר הסיפור ומבנהו: הסופר האמריקאי, חייו שהתפרקו, התחתונים, השקיעה והצוואר.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3.2 הקושי: אובדן ילד, פירוק משפחה ובדידות אצל הזר; מבוכה וצורך בשייכות אצל המספר.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3.3 "ומי כמונו יודע": השפה כחיפוש שייכות; "תאומים סיאמיים" עם לב אחד כואב.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3.4 מינימליזם והחלפת אמונות: בנייה מחדש של החיים אחרי אובדן, פתרון לכאורה והימנעות למעשה.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3.5 הסתרה והסכמה: התחתונים והשקיעה; שמירה על הקשר במחיר של ויתור על העצמי.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3.6 הכתיבה: "פעולת הסחה" או שימור היופי לנצח; עמדה מטא-פואטית.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3.7 הסיום: הצוואר במקום השקיעה; ההומור והבנאלי כהתמודדות כנה.</w:t>
      </w:r>
    </w:p>
    <w:p>
      <w:pPr>
        <w:bidi/>
        <w:spacing w:after="80" w:before="20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פרק 4: השוואה בין הסיפורים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4.1 הדמיון: הפנטזיה והשפה כדרך לחיות עם הקושי בלי לפתור אותו.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4.2 השוני: שתיקה מול דיבור; הסתגרות מול חיבור; ילד מול מבוגר.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4.3 המספר בגוף ראשון: הילד ששותק והמבוגר שמהנהן.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4.4 מן הסיפור המוקדם למאוחר: מ"סתם קולות" אל "סתם צוואר"; הכתיבה נעשית דרך ההתמודדות.</w:t>
      </w:r>
    </w:p>
    <w:p>
      <w:pPr>
        <w:bidi/>
        <w:spacing w:after="80" w:before="20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דיון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קריאת הממצאים לאור המודלים התאורטיים: התמודדות ממוקדת רגש והימנעות; הערכה מחודשת של המציאות באמצעות שפה ודמיון; ההקשר הבין-דורי והתרבותי; מגבלות המחקר.</w:t>
      </w:r>
    </w:p>
    <w:p>
      <w:pPr>
        <w:bidi/>
        <w:spacing w:after="80" w:before="20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סיכום ומסקנות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מענה לשאלות המחקר; המסקנה המרכזית והמלצות יישומיות להוראת הסיפורים.</w:t>
      </w:r>
    </w:p>
    <w:p>
      <w:pPr>
        <w:bidi/>
        <w:spacing w:after="80" w:before="20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רשימת מקורות</w:t>
      </w:r>
    </w:p>
    <w:p>
      <w:pPr>
        <w:bidi/>
        <w:spacing w:after="80" w:before="20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רפלקציה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תיאור תהליך העבודה: בחירת הסיפורים והנושא, איתור המקורות, קשיים ותובנות.</w:t>
      </w:r>
    </w:p>
    <w:p>
      <w:pPr>
        <w:bidi/>
        <w:spacing w:after="80" w:before="20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נספחים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נספח א: "האנשים החלולים" (סריקה). נספח ב: "מי כמונו יודע" (סריקה).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avid" w:cs="David" w:eastAsia="David" w:hAnsi="David"/>
        <w:sz w:val="24"/>
        <w:szCs w:val="24"/>
        <w:rtl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רשימת מקורות וראשי פרקים</dc:title>
  <dc:creator>Seminar</dc:creator>
  <cp:lastModifiedBy>Un-named</cp:lastModifiedBy>
  <cp:revision>1</cp:revision>
  <dcterms:created xsi:type="dcterms:W3CDTF">2026-09-07T08:41:03.620Z</dcterms:created>
  <dcterms:modified xsi:type="dcterms:W3CDTF">2026-09-07T08:41:03.656Z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