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1476375"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76375" cy="1476375"/>
                    </a:xfrm>
                    <a:prstGeom prst="rect">
                      <a:avLst/>
                    </a:prstGeom>
                  </pic:spPr>
                </pic:pic>
              </a:graphicData>
            </a:graphic>
          </wp:inline>
        </w:drawing>
      </w:r>
    </w:p>
    <w:p>
      <w:pPr>
        <w:bidi/>
        <w:spacing w:after="0" w:before="0" w:line="360"/>
        <w:jc w:val="center"/>
      </w:pPr>
      <w:r>
        <w:rPr>
          <w:rFonts w:ascii="David" w:cs="David" w:eastAsia="David" w:hAnsi="David"/>
          <w:b/>
          <w:bCs/>
          <w:sz w:val="28"/>
          <w:szCs w:val="28"/>
          <w:rtl/>
        </w:rPr>
        <w:t xml:space="preserve">הקריה האקדמית אונו</w:t>
      </w:r>
    </w:p>
    <w:p>
      <w:pPr>
        <w:bidi/>
        <w:spacing w:after="0" w:before="0" w:line="360"/>
        <w:jc w:val="center"/>
      </w:pPr>
      <w:r>
        <w:rPr>
          <w:rFonts w:ascii="David" w:cs="David" w:eastAsia="David" w:hAnsi="David"/>
          <w:b w:val="false"/>
          <w:bCs w:val="false"/>
          <w:sz w:val="24"/>
          <w:szCs w:val="24"/>
          <w:rtl/>
        </w:rPr>
        <w:t xml:space="preserve">הפקולטה למדעי החברה והרוח</w:t>
      </w:r>
    </w:p>
    <w:p>
      <w:pPr>
        <w:bidi/>
        <w:spacing w:after="0" w:before="300" w:line="360"/>
        <w:jc w:val="center"/>
      </w:pPr>
      <w:r>
        <w:rPr>
          <w:rFonts w:ascii="David" w:cs="David" w:eastAsia="David" w:hAnsi="David"/>
          <w:b w:val="false"/>
          <w:bCs w:val="false"/>
          <w:sz w:val="24"/>
          <w:szCs w:val="24"/>
          <w:rtl/>
        </w:rPr>
        <w:t xml:space="preserve">סמינר: תהליכי חזון ומנהיגות בארגונים</w:t>
      </w:r>
    </w:p>
    <w:p>
      <w:pPr>
        <w:bidi/>
        <w:spacing w:after="0" w:before="0" w:line="360"/>
        <w:jc w:val="center"/>
      </w:pPr>
      <w:r>
        <w:rPr>
          <w:rFonts w:ascii="David" w:cs="David" w:eastAsia="David" w:hAnsi="David"/>
          <w:b w:val="false"/>
          <w:bCs w:val="false"/>
          <w:sz w:val="24"/>
          <w:szCs w:val="24"/>
          <w:rtl/>
        </w:rPr>
        <w:t xml:space="preserve">מרצה: ד"ר עימאד ג'ראיסי</w:t>
      </w:r>
    </w:p>
    <w:p>
      <w:pPr>
        <w:bidi/>
        <w:spacing w:after="120" w:before="700" w:line="360"/>
        <w:jc w:val="center"/>
      </w:pPr>
      <w:r>
        <w:rPr>
          <w:rFonts w:ascii="David" w:cs="David" w:eastAsia="David" w:hAnsi="David"/>
          <w:b/>
          <w:bCs/>
          <w:sz w:val="36"/>
          <w:szCs w:val="36"/>
          <w:rtl/>
        </w:rPr>
        <w:t xml:space="preserve">הרקע התאורטי</w:t>
      </w:r>
    </w:p>
    <w:p>
      <w:pPr>
        <w:bidi/>
        <w:spacing w:after="0" w:before="0" w:line="360"/>
        <w:jc w:val="center"/>
      </w:pPr>
      <w:r>
        <w:rPr>
          <w:rFonts w:ascii="David" w:cs="David" w:eastAsia="David" w:hAnsi="David"/>
          <w:b w:val="false"/>
          <w:bCs w:val="false"/>
          <w:sz w:val="28"/>
          <w:szCs w:val="28"/>
          <w:rtl/>
        </w:rPr>
        <w:t xml:space="preserve">סקירת ספרות</w:t>
      </w:r>
    </w:p>
    <w:p>
      <w:pPr>
        <w:bidi/>
        <w:spacing w:after="0" w:before="400" w:line="360"/>
        <w:jc w:val="center"/>
      </w:pPr>
      <w:r>
        <w:rPr>
          <w:rFonts w:ascii="David" w:cs="David" w:eastAsia="David" w:hAnsi="David"/>
          <w:b w:val="false"/>
          <w:bCs w:val="false"/>
          <w:sz w:val="24"/>
          <w:szCs w:val="24"/>
          <w:rtl/>
        </w:rPr>
        <w:t xml:space="preserve">תפיסות מנהלי בתי ספר בדרום את מנהיגותם החזונית</w:t>
      </w:r>
    </w:p>
    <w:p>
      <w:pPr>
        <w:bidi/>
        <w:spacing w:after="0" w:before="0" w:line="360"/>
        <w:jc w:val="center"/>
      </w:pPr>
      <w:r>
        <w:rPr>
          <w:rFonts w:ascii="David" w:cs="David" w:eastAsia="David" w:hAnsi="David"/>
          <w:b w:val="false"/>
          <w:bCs w:val="false"/>
          <w:sz w:val="24"/>
          <w:szCs w:val="24"/>
          <w:rtl/>
        </w:rPr>
        <w:t xml:space="preserve">בזמן מלחמת "חרבות ברזל"</w:t>
      </w:r>
    </w:p>
    <w:p>
      <w:pPr>
        <w:bidi/>
        <w:spacing w:after="0" w:before="700" w:line="360"/>
        <w:jc w:val="center"/>
      </w:pPr>
      <w:r>
        <w:rPr>
          <w:rFonts w:ascii="David" w:cs="David" w:eastAsia="David" w:hAnsi="David"/>
          <w:b w:val="false"/>
          <w:bCs w:val="false"/>
          <w:sz w:val="24"/>
          <w:szCs w:val="24"/>
          <w:rtl/>
        </w:rPr>
        <w:t xml:space="preserve">מוגש על ידי: סלסביל אבו קוידר</w:t>
      </w:r>
    </w:p>
    <w:p>
      <w:pPr>
        <w:bidi/>
        <w:spacing w:after="0" w:before="0" w:line="360"/>
        <w:jc w:val="center"/>
      </w:pPr>
      <w:r>
        <w:rPr>
          <w:rFonts w:ascii="David" w:cs="David" w:eastAsia="David" w:hAnsi="David"/>
          <w:b w:val="false"/>
          <w:bCs w:val="false"/>
          <w:sz w:val="24"/>
          <w:szCs w:val="24"/>
          <w:rtl/>
        </w:rPr>
        <w:t xml:space="preserve">תעודת זהות: 215075086</w:t>
      </w:r>
    </w:p>
    <w:p>
      <w:pPr>
        <w:bidi/>
        <w:spacing w:after="0" w:before="700" w:line="360"/>
        <w:jc w:val="center"/>
      </w:pPr>
      <w:r>
        <w:rPr>
          <w:rFonts w:ascii="David" w:cs="David" w:eastAsia="David" w:hAnsi="David"/>
          <w:b w:val="false"/>
          <w:bCs w:val="false"/>
          <w:sz w:val="24"/>
          <w:szCs w:val="24"/>
          <w:rtl/>
        </w:rPr>
        <w:t xml:space="preserve">כ"ו באלול התשפ"ו, 8 בספטמבר 2026</w:t>
      </w:r>
    </w:p>
    <w:p>
      <w:pPr>
        <w:sectPr>
          <w:pgSz w:w="11906" w:h="16838" w:orient="portrait"/>
          <w:pgMar w:top="1417" w:right="1417" w:bottom="1417" w:left="1417" w:header="708" w:footer="708" w:gutter="0"/>
          <w:pgNumType/>
          <w:docGrid w:linePitch="360"/>
        </w:sectPr>
      </w:pPr>
    </w:p>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before="120" w:line="360"/>
        <w:jc w:val="right"/>
      </w:pPr>
      <w:r>
        <w:rPr>
          <w:rFonts w:ascii="David" w:cs="David" w:eastAsia="David" w:hAnsi="David"/>
          <w:b/>
          <w:bCs/>
          <w:sz w:val="26"/>
          <w:szCs w:val="26"/>
          <w:rtl/>
        </w:rPr>
        <w:t xml:space="preserve">מבוא</w:t>
      </w:r>
    </w:p>
    <w:p>
      <w:pPr>
        <w:bidi/>
        <w:spacing w:after="0" w:line="360"/>
        <w:jc w:val="both"/>
      </w:pPr>
      <w:r>
        <w:rPr>
          <w:rFonts w:ascii="David" w:cs="David" w:eastAsia="David" w:hAnsi="David"/>
          <w:b w:val="false"/>
          <w:bCs w:val="false"/>
          <w:sz w:val="24"/>
          <w:szCs w:val="24"/>
          <w:rtl/>
        </w:rPr>
        <w:t xml:space="preserve">מלחמת "חרבות ברזל" פרצה בשבעה באוקטובר 2023 ושינתה בבת אחת את תנאי העבודה של מערכת החינוך בדרום הארץ. יישובי עוטף עזה פונו, ערי הדרום והפזורה הבדואית ספגו ירי מתמשך, משפחות נפרדו, מורים גויסו למילואים, ותלמידים איבדו הורים, אחים וחברים. בתי ספר נסגרו, נפתחו מחדש במקומות זרים, עברו ללמידה מרחוק וחזרו ללמידה פנים אל פנים, לעיתים כמה פעמים באותה שנה. במרכז כל אחד מהמעברים האלה עמד מנהל בית הספר.</w:t>
      </w:r>
    </w:p>
    <w:p>
      <w:pPr>
        <w:bidi/>
        <w:spacing w:after="0" w:line="360"/>
        <w:jc w:val="both"/>
      </w:pPr>
      <w:r>
        <w:rPr>
          <w:rFonts w:ascii="David" w:cs="David" w:eastAsia="David" w:hAnsi="David"/>
          <w:b w:val="false"/>
          <w:bCs w:val="false"/>
          <w:sz w:val="24"/>
          <w:szCs w:val="24"/>
          <w:rtl/>
        </w:rPr>
        <w:t xml:space="preserve">העבודה הנוכחית עוסקת בתפיסות של מנהלי בתי ספר באזור הדרום את מנהיגותם החזונית בתקופת המלחמה, ושאלת המחקר שלה היא כיצד תופסים מנהלים אלה את תפקידם המנהיגותי-חזוני בתקופת מלחמת "חרבות ברזל". הבחירה בחזון דווקא אינה מובנת מאליה. הספרות על מנהיגות במשבר מתארת תפקיד שמתכווץ אל ההווה: החלטות מהירות, ביטחון פיזי, תמיכה רגשית. חזון, לעומת זאת, הוא מבט קדימה. השאלה אם המבט הזה נדחק, משתנה או דווקא מתחזק בזמן מלחמה היא השאלה שהעבודה מבקשת לברר, והיא עושה זאת בגישה איכותנית, מתוך הפרשנות הסובייקטיבית של המנהלים עצמם.</w:t>
      </w:r>
    </w:p>
    <w:p>
      <w:pPr>
        <w:bidi/>
        <w:spacing w:after="0" w:line="360"/>
        <w:jc w:val="both"/>
      </w:pPr>
      <w:r>
        <w:rPr>
          <w:rFonts w:ascii="David" w:cs="David" w:eastAsia="David" w:hAnsi="David"/>
          <w:b w:val="false"/>
          <w:bCs w:val="false"/>
          <w:sz w:val="24"/>
          <w:szCs w:val="24"/>
          <w:rtl/>
        </w:rPr>
        <w:t xml:space="preserve">מטרת הסקירה שלהלן היא להציג את המושגים המרכזיים שעליהם נשענת העבודה ולקשור ביניהם. שלושה מושגים עומדים במרכזה: מנהיגות חזונית, להבדיל מניהול; תפיסת התפקיד של מנהל בית הספר כפרשנות סובייקטיבית; ומנהיגות בשעת משבר, ובפרט בזמן מלחמה. הסקירה בנויה כמשפך, בחמישה תתי-פרקים. היא פותחת במושגי היסוד של מנהיגות וחזון בארגונים, עוברת לתפיסת התפקיד של מנהל בית הספר, מצטמצמת למנהיגות בית ספרית במשבר ולמחקרים הראשונים על מלחמת חרבות ברזל, ומסתיימת במנהלי הדרום, בחברה היהודית ובחברה הבדואית, ובפער המחקרי שממנו צומחת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קוטר מפרק כל אחד מהם לשלושה תהליכים מקבילים: מול התכנון והתקצוב של המנהל עומדת קביעת הכיוון של המנהיג; מול הארגון והאיוש עומד יישור האנשים סביב הכיוון, כלומר תקשורת שמביאה אותם להבין ולקבל אותו; ומול הבקרה ופתרון הבעיות עומדות ההנעה וההשראה, שמאפשרות לאנשים להתגבר על מכשולים מתוך צרכים ורגשות ולא מתוך פיקוח.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jc w:val="both"/>
      </w:pPr>
      <w:r>
        <w:rPr>
          <w:rFonts w:ascii="David" w:cs="David" w:eastAsia="David" w:hAnsi="David"/>
          <w:b w:val="false"/>
          <w:bCs w:val="false"/>
          <w:sz w:val="24"/>
          <w:szCs w:val="24"/>
          <w:rtl/>
        </w:rPr>
        <w:t xml:space="preserve">באס (Bass, 1985) פיתח רעיון זה במודל המנהיגות המעצבת. הוא מבחין בינה לבין מנהיגות מתגמלת, שבה היחסים בין מנהיג למונהג הם חליפין: תגמול תמורת ביצוע, והתערבות רק כשמשהו משתבש. המנהיג המעצב אינו מסתפק בחליפין כאלה, אלא משנה את הרצונות של אנשיו עצמם, מעלה את רמת המודעות שלהם לחשיבות המטרות ומביא אותם להעדיף את טובת הקבוצה על פני האינטרס המיידי.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ההנעה מעוררת ההשראה היא המרכיב הקרוב ביותר לחזון: המנהיג מתאר עתיד רצוי במונחים פשוטים ומעורר בצוות אמונה שאפשר להגיע אליו. שני המקורות מסכימים על נקודה אחת: מנהל בלי חזון מנהל, אבל אינו מנהיג.</w:t>
      </w:r>
    </w:p>
    <w:p>
      <w:pPr>
        <w:bidi/>
        <w:spacing w:after="0" w:line="360"/>
        <w:jc w:val="both"/>
      </w:pPr>
      <w:r>
        <w:rPr>
          <w:rFonts w:ascii="David" w:cs="David" w:eastAsia="David" w:hAnsi="David"/>
          <w:b w:val="false"/>
          <w:bCs w:val="false"/>
          <w:sz w:val="24"/>
          <w:szCs w:val="24"/>
          <w:rtl/>
        </w:rPr>
        <w:t xml:space="preserve">האם ההבחנה הזאת מחזיקה גם במשבר? שינה ואחרים (Sheena et al., 2025) ראיינו 20 מנהלי בתי ספר בישראל על התנהגותם בתקופת הקורונה ומצאו שהמנהלים לא בחרו בין הסגנונות אלא שילבו אותם. הם מציעים את המושג מנהיגות משבר משולבת: פרקטיקות מתגמלות, כמו נהלים ברורים, חלוקת משימות ומעקב, מבטיחות תפקוד מיידי, ואילו המנהיגות המעצבת מגייסת את הצוות סביב מטרות משותפות ונותנת משמעות למאמץ. המודל מתאר תהליך שכבתי ומסתגל, שבו המנהל עובר בין השכבות לפי שלב המשבר. עבור העבודה הנוכחית המשמעות ברורה: השאלה אינה אם המנהל בדרום עסק בחזון או בניהול שוטף, אלא כיצד הוא תופס את היחס ביניהם כשהמלחמה נמשכת. צמח ובארט (2024) בחנו במחקר כמותי רחב את השפעתם של שלושה סגנונות מנהיגות של מנהלים, הוראתית, מעצבת ואותנטית, על שחיקת מורים, ומצאו שהמנהיגות האותנטית היא היעילה ביותר בהפחתת השחיקה. הממצא מוסיף נדבך למודל של באס: לא די בהשראה ובחזון, נדרשת גם התאמה בין מה שהמנהל אומר לבין מי שהוא. בתקופת מלחמה, שבה הצוות מזהה מיד ניסוחים חלולים, ההתאמה הזאת קריטית עוד יותר.</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 השאלה כיצד מנהל מפרש את התפקיד הזה לעצמו, מה הוא רואה כליבה ומה כשוליים, היא לכן שאלה מחקרית בפני עצמה, ולא פרט טכני.</w:t>
      </w:r>
    </w:p>
    <w:p>
      <w:pPr>
        <w:bidi/>
        <w:spacing w:after="0" w:line="360"/>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 חשיבותה של הפרשנות הזאת נובעת מכך שהיא מכוונת את הפעולה: מנהל שרואה את עצמו כקברניט יתנהג אחרת ממנהל שרואה את עצמו כמנצח, גם כשהמצב זהה. אלא שהפרשנות אינה נוצרת בחלל ריק, אלא מול ציפיות של אחרים. רייכל (2015) בחנה כיצד תופסים אנשי הצוות החינוכי את דמות המנהל הרצוי, ומצאה שבראש רשימת התפקידים שהם מייחסים לו עומדת הובלת הצוות, פיתוחו וייצוגו, ורק אחריה ההובלה הפדגוגית. דמות המנהל הרצוי, לפי הממצאים, מורכבת משני רכיבים: תכונות אישיות, ובהן כישורי תקשורת, רגישות ויחסי אנוש, וסגנון ניהול. מכאן שתפיסת התפקיד של המנהל מתעצבת גם מתוך מה שהצוות מצפה ממנו, ובמלחמה הציפיות האלה משתנות במהירות.</w:t>
      </w:r>
    </w:p>
    <w:p>
      <w:pPr>
        <w:bidi/>
        <w:spacing w:after="0" w:line="360"/>
        <w:jc w:val="both"/>
      </w:pPr>
      <w:r>
        <w:rPr>
          <w:rFonts w:ascii="David" w:cs="David" w:eastAsia="David" w:hAnsi="David"/>
          <w:b w:val="false"/>
          <w:bCs w:val="false"/>
          <w:sz w:val="24"/>
          <w:szCs w:val="24"/>
          <w:rtl/>
        </w:rPr>
        <w:t xml:space="preserve">מאץ' (Mutch, 2015), שליוותה ארבע קהילות בית ספריות בניו זילנד לאורך רעידות האדמה של 2010 ו-2011 ואחריהן,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במחקרם עלו גם פרקטיקות יומיומיות יותר, כמו יוזמה, סדר וארגון, גמישות קוגניטיבית, שפה חיובית, שיח פנימי, סליחה עצמית, אמונה דתית ואימון גופני. חלקן פרקטיקות של הגוף, חלקן של הרוח, וכולן משמשות את המנהל כדי להמשיך לתפקד כשהתפקיד עולה על כוחותיו.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הם מדגישים שהתכונות האלה שונות במהותן מאלה של מנהיגות שגרתית, ושמנהל מצוין בשגרה אינו בהכרח מנהל מצוין במשבר, ולהפך. השלב שאחרי המשבר, שבו בית הספר לומד מהאירוע ומתחדש, הוא השלב שבו החזון חוזר לתמונה.</w:t>
      </w:r>
    </w:p>
    <w:p>
      <w:pPr>
        <w:bidi/>
        <w:spacing w:after="0" w:line="360"/>
        <w:jc w:val="both"/>
      </w:pPr>
      <w:r>
        <w:rPr>
          <w:rFonts w:ascii="David" w:cs="David" w:eastAsia="David" w:hAnsi="David"/>
          <w:b w:val="false"/>
          <w:bCs w:val="false"/>
          <w:sz w:val="24"/>
          <w:szCs w:val="24"/>
          <w:rtl/>
        </w:rPr>
        <w:t xml:space="preserve">סקירת היקף של המחקרים על מנהיגות חינוכית במשברים (Striepe &amp; Cunningham, 2022) מצאה שהספרות חוזרת על כמה עקרונות: המנהיג נדרש להגיב מהר ובגמישות, לשתף אחרים בהובלה, לתקשר ברציפות עם הצוות ועם הקהילה ולדאוג לרווחתם, וגם לרווחתו שלו. הסקירה נכתבה לפני המלחמה הנוכחית, ורוב המחקרים שבה עוסקים באסונות טבע ובמגפה, כלומר במשברים שאינם מכוונים נגד הקהילה עצמה. 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הם מפנים תשומת לב גם למחיר הרגשי שמשלמים המנהלים עצמם, שנדרשים להרגיע אחרים בזמן שהם עצמם חרדים.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 רייכל ועובד (2024) ראיינו מנהלות חטיבות ביניים על אותה תקופה וזיהו ארבעה אתגרים: הקשר עם ההורים והשלכותיו, תגובות התלמידים למשבר בזמנו ולאחריו, המעבר לטכנו-פדגוגיה, והבירוקרטיה של משרד החינוך. עם זאת הן מצאו שחלק ניכר מהמנהלות הצליחו להפוך את המשבר לנתיב צמיחה. תמונה דומה עולה ממחקרן של כהן זכריה וטובין (2024), שליוו צוות מחנכות בחטיבת ביניים לאורך שלוש תקופות, לפני הקורונה, בזמנה ואחריה, ובחנו מתי משבר אכן הופך להזדמנות ומתי הוא מותיר את הצוות במקומו. המנהל, לפי מחקר זה, משמש גם מעין חיץ: הוא סופג את הלחץ שמגיע מהמערכת ומהציבור ומנסה למנוע ממנו לחלחל אל הצוות, כדי שהמורים יוכלו להתרכז בתלמידים.</w:t>
      </w:r>
    </w:p>
    <w:p>
      <w:pPr>
        <w:bidi/>
        <w:spacing w:after="0" w:line="360"/>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 ייתכן שמנהלים במלחמה ממשית יימנעו דווקא ממטפורות צבאיות, ויחפשו דימויים של בית, עוגן או מקלט, כפי שעלה כבר אצל אנשי החינוך לגיל הרך. זו שאלה אמפירית, והמחקר הנוכחי יכול לתת לה מענה.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2026a)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 מבחינת העבודה הנוכחית, הממצא המעניין ביותר הוא הפעלנות התוך-אישית: מנהלים שהמשיכו לפעול מתוך זהות פנימית ברורה גם כשבית הספר הפיזי לא היה קיים עוד. זו, במובן מסוים, מנהיגות חזונית במצבה הטהור ביותר, חזון בלי בניין. במחקר המשך על אותם מנהלים מפונים בחנו בר-און ושכטר (Bar-On &amp; Schechter, 2026b) את המטפורות שבאמצעותן תיארו המנהלים את תפקידם, וזיהו חמישה צירים תפקודיים הפועלים במקביל: המנהל כמודל לחיקוי, כאסטרטג, כמכיל רגשית, כמבצע וכמנהיג תפעולי. ציר האסטרטג הוא המקום שבו החזון שורד במלחמה: המנהל שממשיך לחשוב קדימה גם כשהוא עסוק בהישרדות. הכותבים מדגישים שמנהיגות בזמן מלחמה אינה מצטמצמת להישרדות, אלא מכוונת לשימור חוסן הקהילה ולרציפות חינוכית למרות הפינוי, הטראומה והאיום הביטחוני.</w:t>
      </w:r>
    </w:p>
    <w:p>
      <w:pPr>
        <w:bidi/>
        <w:spacing w:after="0" w:line="360"/>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 הייזמן ואחרים (2026) הרחיבו את המבט אל מחנכות הכיתה, ובהן מחנכות מיישובי עוטף עזה, שנמצאו בחזית ההתמודדות הרגשית, החברתית והחינוכית. הן בחנו את תרומתן של קהילות מקצועיות לומדות לחוסנן, והשוו את תפיסת התפקיד של המחנכות בשגרה לתפיסתו במלחמה. הממצא המרכזי לענייננו הוא שתפיסת התפקיד אינה נתון קבוע: היא משתנה עם הנסיבות, וניתן לעצב אותה באמצעות מסגרת מקצועית תומכת. אם הדבר נכון למחנכות, סביר שהוא נכון גם למנהלים. ארבעת המחקרים משרטטים יחד תמונה עקבית: הקורונה הייתה משבר של ניהול מרחוק, ואילו המלחמה היא משבר של קרבה, של פחד פיזי, של אובדן ושל צורך במגע אנושי. בקורונה המנהל ניהל דרך המסך, במלחמה הוא נדרש להיות נוכח, לעיתים במקום שאינו בית הספר שלו ומול צוות שחלקו מגויס או מפונה. השינוי הזה בטיב המשבר הוא שמצדיק מחקר נפרד, ולא השלכה של ממצאי הקורונה על המלחמה.</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jc w:val="both"/>
      </w:pPr>
      <w:r>
        <w:rPr>
          <w:rFonts w:ascii="David" w:cs="David" w:eastAsia="David" w:hAnsi="David"/>
          <w:b w:val="false"/>
          <w:bCs w:val="false"/>
          <w:sz w:val="24"/>
          <w:szCs w:val="24"/>
          <w:rtl/>
        </w:rPr>
        <w:t xml:space="preserve">בקצה המשפך נמצאים מנהלי הדרום עצמם. מחקרם של אל-סעיד ואחרים (2025) הוא הקרוב ביותר להקשר של העבודה הנוכחית: החוקרים ראיינו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 המנהלים תיארו גם קושי ייחודי לחברה הבדואית: הלמידה מרחוק פגשה קודים תרבותיים של פרטיות, וכניסת זרים דרך המסך אל המרחב הביתי של תלמידים ומורים עוררה התנגדות, כך שהמנהל נדרש לתווך לא רק בין המערכת לצוות אלא גם בין הטכנולוגיה לתרבות. תמונה משלימה עולה ממחקרם של אבו-גוידר וסולומוביץ' (Abu-Gweder &amp; Solomovich, 2025), שראיינו 20 מורות ומורים מבתי ספר יסודיים בכפרים הבלתי מוכרים: המעבר ללמידה מרחוק בזמן המלחמה שינה את יחסי המורים וההורים, מהגנה על הילדים לשותפות בלמידה, והטכנולוגיה, שנתפסה תחילה כאיום, הפכה לערוץ תקשורת אמין שיצר רשת חברתית בין מורים, הורים ותלמידים. גם כאן המנהל הוא זה שאפשר את השינוי, אך קולו שלו נשמע במחקר רק בעקיפין.</w:t>
      </w:r>
    </w:p>
    <w:p>
      <w:pPr>
        <w:bidi/>
        <w:spacing w:after="0" w:line="360"/>
        <w:jc w:val="both"/>
      </w:pPr>
      <w:r>
        <w:rPr>
          <w:rFonts w:ascii="David" w:cs="David" w:eastAsia="David" w:hAnsi="David"/>
          <w:b w:val="false"/>
          <w:bCs w:val="false"/>
          <w:sz w:val="24"/>
          <w:szCs w:val="24"/>
          <w:rtl/>
        </w:rPr>
        <w:t xml:space="preserve">ממצאים אלה מתחברים לתפיסת ההון של בורדייה (Bourdieu, 1986), שלפיה ההון מופיע בשלוש צורות: הון כלכלי, הניתן להמרה מיידית לכסף; הון תרבותי, המגולם בידע, בהשכלה ובתעודות; והון חברתי, שהוא מכלול המשאבים הממשיים והפוטנציאליים הנובעים מרשת של קשרים מוכרים. היקפו של ההון החברתי תלוי בגודל הרשת ובהון של כל אחד מחבריה, ורשת כזאת אינה נתון טבעי אלא תוצר של מאמץ מתמשך להפוך קשרים מקריים לקשרים שאפשר להישען עליהם. מנהל שגייס ציוד, מתנדבים ותמיכה נפשית בתוך ימים לא עשה זאת מאפס, אלא הפעיל הון שצבר לפני המלחמה, ורשת המורים, ההורים והתלמידים שנוצרה סביב המסך היא בדיוק הון כזה בהתהוותו. מנהיגות חזונית במלחמה נשענת, אם כן, לא רק על תמונת עתיד אלא גם על ההון שהמנהל צבר לפניה, ועל היכולת להמיר אותו למשאבים ממשיים כשהמערכת עצמה מתקשה לספק אותם. מנהל בית ספר בדרום, יהודי או בדואי, פועל בתוך רשתות כאלה, והשאלה כיצד הוא תופס את תפקידו החזוני אינה ניתנת להפרדה מהשאלה על אילו רשתות הוא נשען.</w:t>
      </w:r>
    </w:p>
    <w:p>
      <w:pPr>
        <w:bidi/>
        <w:spacing w:after="0" w:line="360"/>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וגם תוצר של ציפיות הסביבה ושל מסגרות תמיכה (רייכל, 2015; הייזמן ואחרים, 2026; הלוי ושכטר, 2024; Da'as et al., 2023). המחקרים על חרבות ברזל עסקו עד כה במנהלים מפונים, במנהלות חדשות, בגיל הרך, במחנכות כיתה, במורים בחברה הבדואית או במנהליה, ואף אחד מהם לא בחן במישרין כיצד מנהלים בדרום, יהודים ובדואים, תופסים את הממד החזוני של תפקידם בזמן שהמלחמה נמשכת. נוסף על כך, רוב המחקרים בחנו את המנהלים בדיעבד או בחודשים הראשונים של המלחמה, ואילו בדרום המלחמה התמשכה, וכך גם ההתמודדות. פער זה הוא שמצדיק את שאלת המחקר ואת הבחירה בגישה איכותנית, שנקטו גם דעאס ואחרים (Da'as et al., 2023) וגם בר-און ושכטר (Bar-On &amp; Schechter, 2026a), ושמאפשרת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אל-סעיד, ח', אבו-גוידר, ע', וקפלן, ח'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הייזמן, א', חנוכה, מ', ושכטר, ח' (2026). אקוסיסטם של חוסן: קהילות מקצועיות לומדות כמעצבות תפיסת תפקיד וחוסן מקצועי של מחנכות כיתה. עיונים במינהל ובארגון החינוך, 40, 293-325. https://kaye.ac.il/wp-content/uploads/2025/12/1.pdf</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כהן זכריה, מ', וטובין, ד' (2024). משבר כהזדמנות? צוות מחנכות לפני הקורונה, בזמן המגפה ואחריה. עיונים בחינוך, 24, 205-222.</w:t>
      </w:r>
    </w:p>
    <w:p>
      <w:pPr>
        <w:bidi/>
        <w:spacing w:after="0" w:line="360"/>
        <w:ind w:left="720" w:hanging="720"/>
        <w:jc w:val="right"/>
      </w:pPr>
      <w:r>
        <w:rPr>
          <w:rFonts w:ascii="David" w:cs="David" w:eastAsia="David" w:hAnsi="David"/>
          <w:sz w:val="24"/>
          <w:szCs w:val="24"/>
          <w:rtl/>
        </w:rPr>
        <w:t xml:space="preserve">צמח, ס', ובארט, ע' (2024). סגנונות מנהיגות של מנהלי בתי ספר כמנבאים הפחתת שחיקת מורים. חמדעת, יז. https://www.hemdat.ac.il/wp-content/uploads/2024/08/סגנונות-מנהיגות-כמנבאת-שחיקה.pdf</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רייכל, נ' (2015). מנהל בית הספר הרצוי ותפקידיו במשקפי הסגל החינוכי. עיונים במינהל ובארגון החינוך, 34, 111-132.</w:t>
      </w:r>
    </w:p>
    <w:p>
      <w:pPr>
        <w:bidi/>
        <w:spacing w:after="0" w:line="360"/>
        <w:ind w:left="720" w:hanging="720"/>
        <w:jc w:val="right"/>
      </w:pPr>
      <w:r>
        <w:rPr>
          <w:rFonts w:ascii="David" w:cs="David" w:eastAsia="David" w:hAnsi="David"/>
          <w:sz w:val="24"/>
          <w:szCs w:val="24"/>
          <w:rtl/>
        </w:rPr>
        <w:t xml:space="preserve">רייכל, נ', ועובד, א' (2024). משבר הקורונה – אתגרים, דרכי התמודדות והשלכות על תפיסת החינוך במשקפיים של מנהלות חטיבות ביניים. עיונים בחינוך, 24, 461-476.</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Abu-Gweder, A., &amp; Solomovich, L. (2025). From protection to learning: How Arab-Bedouin teachers relate to parents in the shadow of the Gaza-Israel war. </w:t>
      </w:r>
      <w:r>
        <w:rPr>
          <w:rFonts w:ascii="David" w:cs="David" w:eastAsia="David" w:hAnsi="David"/>
          <w:i/>
          <w:iCs/>
          <w:sz w:val="24"/>
          <w:szCs w:val="24"/>
        </w:rPr>
        <w:t xml:space="preserve">Issues in Educational Research, 35</w:t>
      </w:r>
      <w:r>
        <w:rPr>
          <w:rFonts w:ascii="David" w:cs="David" w:eastAsia="David" w:hAnsi="David"/>
          <w:i w:val="false"/>
          <w:iCs w:val="false"/>
          <w:sz w:val="24"/>
          <w:szCs w:val="24"/>
        </w:rPr>
        <w:t xml:space="preserve">(1), 1-19. https://www.iier.org.au/iier35/abu-gweder.pdf</w:t>
      </w:r>
    </w:p>
    <w:p>
      <w:pPr>
        <w:spacing w:after="0" w:line="360"/>
        <w:ind w:left="720" w:hanging="720"/>
        <w:jc w:val="left"/>
      </w:pPr>
      <w:r>
        <w:rPr>
          <w:rFonts w:ascii="David" w:cs="David" w:eastAsia="David" w:hAnsi="David"/>
          <w:i w:val="false"/>
          <w:iCs w:val="false"/>
          <w:sz w:val="24"/>
          <w:szCs w:val="24"/>
        </w:rPr>
        <w:t xml:space="preserve">Bar-On, Y., &amp; Schechter, C. (2026a).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Bar-On, Y., &amp; Schechter, C. (2026b). Leadership metaphors: Evacuated principals' role during a war crisis. </w:t>
      </w:r>
      <w:r>
        <w:rPr>
          <w:rFonts w:ascii="David" w:cs="David" w:eastAsia="David" w:hAnsi="David"/>
          <w:i/>
          <w:iCs/>
          <w:sz w:val="24"/>
          <w:szCs w:val="24"/>
        </w:rPr>
        <w:t xml:space="preserve">Management in Education</w:t>
      </w:r>
      <w:r>
        <w:rPr>
          <w:rFonts w:ascii="David" w:cs="David" w:eastAsia="David" w:hAnsi="David"/>
          <w:i w:val="false"/>
          <w:iCs w:val="false"/>
          <w:sz w:val="24"/>
          <w:szCs w:val="24"/>
        </w:rPr>
        <w:t xml:space="preserve">. Advance online publication. https://doi.org/10.1177/08920206261462722</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Bourdieu, P. (1986). The forms of capital. In J. G. Richardson (Ed.), </w:t>
      </w:r>
      <w:r>
        <w:rPr>
          <w:rFonts w:ascii="David" w:cs="David" w:eastAsia="David" w:hAnsi="David"/>
          <w:i/>
          <w:iCs/>
          <w:sz w:val="24"/>
          <w:szCs w:val="24"/>
        </w:rPr>
        <w:t xml:space="preserve">Handbook of theory and research for the sociology of education</w:t>
      </w:r>
      <w:r>
        <w:rPr>
          <w:rFonts w:ascii="David" w:cs="David" w:eastAsia="David" w:hAnsi="David"/>
          <w:i w:val="false"/>
          <w:iCs w:val="false"/>
          <w:sz w:val="24"/>
          <w:szCs w:val="24"/>
        </w:rPr>
        <w:t xml:space="preserve"> (pp. 241-258). Greenwood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Sheena, D., Benoliel, P., &amp; Berkovich, I. (2025). A qualitative exploration of principals' transformational leadership and transactional leadership behaviors during the COVID-19 crisis: The rise of integrated crisis leadership. </w:t>
      </w:r>
      <w:r>
        <w:rPr>
          <w:rFonts w:ascii="David" w:cs="David" w:eastAsia="David" w:hAnsi="David"/>
          <w:i/>
          <w:iCs/>
          <w:sz w:val="24"/>
          <w:szCs w:val="24"/>
        </w:rPr>
        <w:t xml:space="preserve">Frontiers in Education, 10</w:t>
      </w:r>
      <w:r>
        <w:rPr>
          <w:rFonts w:ascii="David" w:cs="David" w:eastAsia="David" w:hAnsi="David"/>
          <w:i w:val="false"/>
          <w:iCs w:val="false"/>
          <w:sz w:val="24"/>
          <w:szCs w:val="24"/>
        </w:rPr>
        <w:t xml:space="preserve">, Article 1576165. https://doi.org/10.3389/feduc.2025.1576165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p>
      <w:pPr>
        <w:spacing w:after="0" w:line="360"/>
        <w:ind w:left="720" w:hanging="720"/>
        <w:jc w:val="left"/>
      </w:pPr>
      <w:r>
        <w:rPr>
          <w:rFonts w:ascii="David" w:cs="David" w:eastAsia="David" w:hAnsi="David"/>
          <w:i w:val="false"/>
          <w:iCs w:val="false"/>
          <w:sz w:val="24"/>
          <w:szCs w:val="24"/>
        </w:rPr>
        <w:t xml:space="preserve">Striepe, M., &amp; Cunningham, C. (2022). Understanding educational leadership during times of crises: A scoping review. </w:t>
      </w:r>
      <w:r>
        <w:rPr>
          <w:rFonts w:ascii="David" w:cs="David" w:eastAsia="David" w:hAnsi="David"/>
          <w:i/>
          <w:iCs/>
          <w:sz w:val="24"/>
          <w:szCs w:val="24"/>
        </w:rPr>
        <w:t xml:space="preserve">Journal of Educational Administration, 60</w:t>
      </w:r>
      <w:r>
        <w:rPr>
          <w:rFonts w:ascii="David" w:cs="David" w:eastAsia="David" w:hAnsi="David"/>
          <w:i w:val="false"/>
          <w:iCs w:val="false"/>
          <w:sz w:val="24"/>
          <w:szCs w:val="24"/>
        </w:rPr>
        <w:t xml:space="preserve">(2), 133-147. https://doi.org/10.1108/JEA-03-2021-0057</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9a2fb18362491f5515b17468b7b0a30dbd635bc.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2026-09-08T20:56:04.441Z</dcterms:created>
  <dcterms:modified xsi:type="dcterms:W3CDTF">2026-09-08T20:56:04.458Z</dcterms:modified>
</cp:coreProperties>
</file>

<file path=docProps/custom.xml><?xml version="1.0" encoding="utf-8"?>
<Properties xmlns="http://schemas.openxmlformats.org/officeDocument/2006/custom-properties" xmlns:vt="http://schemas.openxmlformats.org/officeDocument/2006/docPropsVTypes"/>
</file>