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1C673" w14:textId="502C2432" w:rsidR="00BE6345" w:rsidRPr="00D54772" w:rsidRDefault="00BE6345" w:rsidP="00BE6345">
      <w:pPr>
        <w:spacing w:line="360" w:lineRule="auto"/>
        <w:ind w:left="-90" w:right="-270" w:firstLine="0"/>
        <w:jc w:val="center"/>
        <w:rPr>
          <w:bCs/>
          <w:smallCaps/>
          <w:sz w:val="72"/>
          <w:szCs w:val="72"/>
        </w:rPr>
      </w:pPr>
      <w:r/>
      <w:r>
        <w:rPr>
          <w:rFonts w:ascii="Times New Roman" w:hAnsi="Times New Roman" w:cs="David"/>
          <w:b w:val="1"/>
          <w:bCs w:val="1"/>
          <w:sz w:val="32"/>
          <w:szCs w:val="32"/>
          <w:rtl w:val="1"/>
        </w:rPr>
        <w:t>ותק באגף ולגיטימיות: הקשר בין משך השהייה באגף לבין תפיסת ההוגנות והיחס מצד סגל הכליאה בקרב אסירים פליליים בישראל</w:t>
      </w:r>
    </w:p>
    <w:p w14:paraId="49B701D1" w14:textId="77777777" w:rsidR="00BE6345" w:rsidRPr="00D54772" w:rsidRDefault="00BE6345" w:rsidP="00BE6345">
      <w:pPr>
        <w:ind w:left="-90" w:right="-270"/>
        <w:jc w:val="center"/>
        <w:rPr>
          <w:bCs/>
          <w:smallCaps/>
          <w:sz w:val="72"/>
          <w:szCs w:val="72"/>
          <w:rtl/>
        </w:rPr>
      </w:pPr>
    </w:p>
    <w:p w14:paraId="0CCD992D" w14:textId="77777777" w:rsidR="00BE6345" w:rsidRDefault="00BE6345" w:rsidP="00BE6345">
      <w:pPr>
        <w:ind w:left="-90" w:right="-870"/>
        <w:jc w:val="center"/>
        <w:rPr>
          <w:rtl/>
        </w:rPr>
      </w:pPr>
    </w:p>
    <w:p w14:paraId="467A1C8D" w14:textId="77777777" w:rsidR="00BE6345" w:rsidRPr="00357DAD" w:rsidRDefault="00BE6345" w:rsidP="00BE6345">
      <w:pPr>
        <w:ind w:left="-90" w:right="-870"/>
        <w:jc w:val="center"/>
      </w:pPr>
    </w:p>
    <w:p w14:paraId="55A638D2" w14:textId="1F39E027" w:rsidR="00BE6345" w:rsidRPr="00357DAD" w:rsidRDefault="00BE6345" w:rsidP="00BE6345">
      <w:pPr>
        <w:ind w:left="-90" w:right="-3" w:firstLine="0"/>
        <w:jc w:val="center"/>
      </w:pPr>
      <w:r/>
      <w:r>
        <w:rPr>
          <w:rFonts w:ascii="Times New Roman" w:hAnsi="Times New Roman" w:cs="David"/>
          <w:b w:val="0"/>
          <w:bCs w:val="0"/>
          <w:sz w:val="24"/>
          <w:szCs w:val="24"/>
          <w:rtl w:val="1"/>
        </w:rPr>
        <w:t>עבודה מוגשת במסגרת סמינריון תנאי כליאה של אסירים פליליים בישראל ובעולם</w:t>
      </w:r>
    </w:p>
    <w:p w14:paraId="64DEA3D5" w14:textId="77777777" w:rsidR="00BE6345" w:rsidRPr="00357DAD" w:rsidRDefault="00BE6345" w:rsidP="00BE6345">
      <w:pPr>
        <w:ind w:left="-90" w:right="-3" w:firstLine="0"/>
        <w:jc w:val="center"/>
      </w:pPr>
      <w:r/>
      <w:r>
        <w:rPr>
          <w:rFonts w:ascii="Times New Roman" w:hAnsi="Times New Roman" w:cs="David"/>
          <w:b w:val="0"/>
          <w:bCs w:val="0"/>
          <w:sz w:val="24"/>
          <w:szCs w:val="24"/>
          <w:rtl w:val="1"/>
        </w:rPr>
        <w:t>מאת</w:t>
      </w:r>
    </w:p>
    <w:p w14:paraId="4C401086" w14:textId="455ADE04" w:rsidR="00BE6345" w:rsidRDefault="00BE6345" w:rsidP="00BE6345">
      <w:pPr>
        <w:tabs>
          <w:tab w:val="left" w:pos="3611"/>
          <w:tab w:val="center" w:pos="4231"/>
        </w:tabs>
        <w:ind w:left="-90" w:right="-3" w:firstLine="0"/>
        <w:jc w:val="center"/>
        <w:rPr>
          <w:bCs/>
          <w:sz w:val="36"/>
          <w:szCs w:val="36"/>
          <w:rtl/>
        </w:rPr>
      </w:pPr>
      <w:r/>
      <w:r>
        <w:rPr>
          <w:rFonts w:ascii="Times New Roman" w:hAnsi="Times New Roman" w:cs="David"/>
          <w:b w:val="0"/>
          <w:bCs w:val="0"/>
          <w:sz w:val="24"/>
          <w:szCs w:val="24"/>
          <w:rtl w:val="1"/>
        </w:rPr>
        <w:t>שם מלא, מספר תעודת זהות</w:t>
      </w:r>
    </w:p>
    <w:p w14:paraId="68CCCC35" w14:textId="77777777" w:rsidR="00BE6345" w:rsidRDefault="00BE6345" w:rsidP="00BE6345">
      <w:pPr>
        <w:tabs>
          <w:tab w:val="left" w:pos="3611"/>
          <w:tab w:val="center" w:pos="4231"/>
        </w:tabs>
        <w:ind w:left="-90" w:right="-3" w:firstLine="0"/>
        <w:jc w:val="center"/>
        <w:rPr>
          <w:bCs/>
          <w:sz w:val="36"/>
          <w:szCs w:val="36"/>
          <w:rtl/>
        </w:rPr>
      </w:pPr>
      <w:r/>
      <w:r>
        <w:rPr>
          <w:rFonts w:ascii="Times New Roman" w:hAnsi="Times New Roman" w:cs="David"/>
          <w:b w:val="0"/>
          <w:bCs w:val="0"/>
          <w:sz w:val="24"/>
          <w:szCs w:val="24"/>
          <w:rtl w:val="1"/>
        </w:rPr>
        <w:t>שם מלא, מספר תעודת זהות</w:t>
      </w:r>
    </w:p>
    <w:p w14:paraId="187F389D" w14:textId="72042637" w:rsidR="00BE6345" w:rsidRPr="00357DAD" w:rsidRDefault="00BE6345" w:rsidP="00BE6345">
      <w:pPr>
        <w:tabs>
          <w:tab w:val="left" w:pos="3611"/>
          <w:tab w:val="center" w:pos="4231"/>
        </w:tabs>
        <w:ind w:left="-90" w:right="-3" w:firstLine="0"/>
        <w:jc w:val="center"/>
        <w:rPr>
          <w:bCs/>
        </w:rPr>
      </w:pPr>
      <w:r/>
      <w:r>
        <w:rPr>
          <w:rFonts w:ascii="Times New Roman" w:hAnsi="Times New Roman" w:cs="David"/>
          <w:b w:val="0"/>
          <w:bCs w:val="0"/>
          <w:sz w:val="24"/>
          <w:szCs w:val="24"/>
          <w:rtl w:val="1"/>
        </w:rPr>
        <w:t>בהנחיית: שם המרצה</w:t>
      </w:r>
    </w:p>
    <w:p w14:paraId="50C6BEF8" w14:textId="33A6F58E" w:rsidR="00BE6345" w:rsidRPr="00357DAD" w:rsidRDefault="00BE6345" w:rsidP="00BE6345">
      <w:pPr>
        <w:ind w:left="-90" w:right="-3" w:firstLine="0"/>
        <w:jc w:val="center"/>
      </w:pPr>
      <w:r/>
      <w:r>
        <w:rPr>
          <w:rFonts w:ascii="Times New Roman" w:hAnsi="Times New Roman" w:cs="David"/>
          <w:b w:val="0"/>
          <w:bCs w:val="0"/>
          <w:sz w:val="24"/>
          <w:szCs w:val="24"/>
          <w:rtl w:val="1"/>
        </w:rPr>
        <w:t>החוג לקרימינולוגיה</w:t>
      </w:r>
    </w:p>
    <w:p w14:paraId="73990536" w14:textId="77777777" w:rsidR="00BE6345" w:rsidRPr="00357DAD" w:rsidRDefault="00BE6345" w:rsidP="00BE6345">
      <w:pPr>
        <w:ind w:left="-90" w:right="-3"/>
        <w:jc w:val="center"/>
        <w:rPr>
          <w:b/>
          <w:rtl/>
        </w:rPr>
      </w:pPr>
    </w:p>
    <w:p w14:paraId="5069CFA5" w14:textId="4564BB9F" w:rsidR="00BE6345" w:rsidRPr="00357DAD" w:rsidRDefault="00BE6345" w:rsidP="00BE6345">
      <w:pPr>
        <w:ind w:left="-90" w:right="-3" w:firstLine="0"/>
        <w:jc w:val="center"/>
      </w:pPr>
      <w:r/>
      <w:r>
        <w:rPr>
          <w:rFonts w:ascii="Times New Roman" w:hAnsi="Times New Roman" w:cs="David"/>
          <w:b w:val="0"/>
          <w:bCs w:val="0"/>
          <w:sz w:val="24"/>
          <w:szCs w:val="24"/>
          <w:rtl w:val="1"/>
        </w:rPr>
        <w:t>המכללה האקדמית אשקלון</w:t>
      </w:r>
    </w:p>
    <w:p w14:paraId="064FBD7E" w14:textId="77777777" w:rsidR="00BE6345" w:rsidRDefault="00BE6345" w:rsidP="00BE6345">
      <w:pPr>
        <w:ind w:left="-90" w:right="-3"/>
        <w:jc w:val="center"/>
        <w:rPr>
          <w:b/>
          <w:rtl/>
        </w:rPr>
      </w:pPr>
    </w:p>
    <w:p w14:paraId="3C25485D" w14:textId="77777777" w:rsidR="00BE6345" w:rsidRDefault="00BE6345" w:rsidP="00BE6345">
      <w:pPr>
        <w:ind w:left="-90" w:right="-3"/>
        <w:jc w:val="center"/>
        <w:rPr>
          <w:b/>
          <w:rtl/>
        </w:rPr>
      </w:pPr>
    </w:p>
    <w:p w14:paraId="7D55FD76" w14:textId="77777777" w:rsidR="00BE6345" w:rsidRPr="00357DAD" w:rsidRDefault="00BE6345" w:rsidP="00BE6345">
      <w:pPr>
        <w:ind w:left="-90" w:right="-3"/>
        <w:jc w:val="center"/>
        <w:rPr>
          <w:b/>
          <w:rtl/>
        </w:rPr>
      </w:pPr>
    </w:p>
    <w:p w14:paraId="66E9845C" w14:textId="77777777" w:rsidR="00BE6345" w:rsidRPr="00357DAD" w:rsidRDefault="00BE6345" w:rsidP="00BE6345">
      <w:pPr>
        <w:ind w:left="-90" w:right="-3"/>
        <w:jc w:val="center"/>
        <w:rPr>
          <w:b/>
          <w:rtl/>
        </w:rPr>
      </w:pPr>
    </w:p>
    <w:p w14:paraId="2787BE3A" w14:textId="77777777" w:rsidR="00BE6345" w:rsidRPr="00357DAD" w:rsidRDefault="00BE6345" w:rsidP="00BE6345">
      <w:pPr>
        <w:ind w:left="-90" w:right="-3"/>
        <w:jc w:val="center"/>
        <w:rPr>
          <w:b/>
          <w:rtl/>
        </w:rPr>
      </w:pPr>
    </w:p>
    <w:p w14:paraId="1D9973C4" w14:textId="1D66DBFB" w:rsidR="00BE6345" w:rsidRPr="00357DAD" w:rsidRDefault="00BE6345" w:rsidP="00BE6345">
      <w:pPr>
        <w:ind w:left="-90" w:right="-3" w:firstLine="0"/>
        <w:jc w:val="center"/>
        <w:rPr>
          <w:rtl/>
        </w:rPr>
      </w:pPr>
      <w:r/>
      <w:r>
        <w:rPr>
          <w:rFonts w:ascii="Times New Roman" w:hAnsi="Times New Roman" w:cs="David"/>
          <w:b w:val="0"/>
          <w:bCs w:val="0"/>
          <w:sz w:val="24"/>
          <w:szCs w:val="24"/>
          <w:rtl w:val="1"/>
        </w:rPr>
        <w:t>אשקלון</w:t>
        <w:tab/>
        <w:tab/>
        <w:tab/>
        <w:tab/>
        <w:tab/>
        <w:tab/>
        <w:t>אלול תשפ"ו, אוגוסט 2026</w:t>
      </w:r>
    </w:p>
    <w:p w14:paraId="22FADEA0" w14:textId="77777777" w:rsidR="00BE6345" w:rsidRPr="00357DAD" w:rsidRDefault="00BE6345" w:rsidP="00BE6345">
      <w:pPr>
        <w:widowControl w:val="0"/>
        <w:spacing w:after="0"/>
        <w:ind w:left="-90"/>
        <w:jc w:val="center"/>
      </w:pPr>
    </w:p>
    <w:p w14:paraId="0D3B715A" w14:textId="77777777" w:rsidR="00BE6345" w:rsidRPr="00357DAD" w:rsidRDefault="00BE6345" w:rsidP="00BE6345">
      <w:pPr>
        <w:widowControl w:val="0"/>
        <w:spacing w:after="0"/>
        <w:ind w:left="-90"/>
        <w:jc w:val="center"/>
      </w:pPr>
    </w:p>
    <w:p w14:paraId="3C783946" w14:textId="77777777" w:rsidR="00BE6345" w:rsidRPr="00357DAD" w:rsidRDefault="00BE6345" w:rsidP="00BE6345">
      <w:pPr>
        <w:widowControl w:val="0"/>
        <w:spacing w:after="0"/>
        <w:ind w:left="-90"/>
        <w:jc w:val="center"/>
      </w:pPr>
    </w:p>
    <w:sdt>
      <w:sdtPr>
        <w:rPr>
          <w:rtl/>
        </w:rPr>
        <w:alias w:val="תוכן"/>
        <w:id w:val="1428464245"/>
      </w:sdtPr>
      <w:sdtContent>
        <w:p w14:paraId="5A54B7BD" w14:textId="1B5675E7" w:rsidR="00127B5D" w:rsidRDefault="00000000" w:rsidP="00127B5D">
          <w:pPr>
            <w:pStyle w:val="TOC1"/>
            <w:tabs>
              <w:tab w:val="right" w:leader="dot" w:pos="9016"/>
            </w:tabs>
            <w:rPr>
              <w:rFonts w:asciiTheme="minorHAnsi" w:eastAsiaTheme="minorEastAsia" w:hAnsiTheme="minorHAnsi" w:cstheme="minorBidi"/>
              <w:noProof/>
              <w:kern w:val="2"/>
              <w14:ligatures w14:val="standardContextual"/>
            </w:rPr>
          </w:pPr>
          <w:r w:rsidRPr="00FD2CA7">
            <w:fldChar w:fldCharType="begin"/>
          </w:r>
          <w:r w:rsidRPr="00FD2CA7">
            <w:instrText>TOC \h \o "1-3"</w:instrText>
          </w:r>
          <w:r w:rsidRPr="00FD2CA7">
            <w:fldChar w:fldCharType="separate"/>
          </w:r>
          <w:hyperlink w:anchor="_Toc236721614" w:history="1">
            <w:r w:rsidR="00127B5D" w:rsidRPr="008F1A1E">
              <w:rPr>
                <w:rStyle w:val="Hyperlink"/>
                <w:noProof/>
                <w:rtl/>
              </w:rPr>
              <w:t>תוכן עניינים</w:t>
            </w:r>
            <w:r w:rsidR="00127B5D">
              <w:rPr>
                <w:noProof/>
              </w:rPr>
              <w:tab/>
            </w:r>
            <w:r w:rsidR="00127B5D">
              <w:rPr>
                <w:rStyle w:val="Hyperlink"/>
                <w:noProof/>
                <w:rtl/>
              </w:rPr>
              <w:fldChar w:fldCharType="begin"/>
            </w:r>
            <w:r w:rsidR="00127B5D">
              <w:rPr>
                <w:noProof/>
              </w:rPr>
              <w:instrText xml:space="preserve"> PAGEREF _Toc236721614 \h </w:instrText>
            </w:r>
            <w:r w:rsidR="00127B5D">
              <w:rPr>
                <w:rStyle w:val="Hyperlink"/>
                <w:noProof/>
                <w:rtl/>
              </w:rPr>
            </w:r>
            <w:r w:rsidR="00127B5D">
              <w:rPr>
                <w:rStyle w:val="Hyperlink"/>
                <w:noProof/>
                <w:rtl/>
              </w:rPr>
              <w:fldChar w:fldCharType="separate"/>
            </w:r>
            <w:r w:rsidR="00127B5D">
              <w:rPr>
                <w:noProof/>
              </w:rPr>
              <w:t>2</w:t>
            </w:r>
            <w:r w:rsidR="00127B5D">
              <w:rPr>
                <w:rStyle w:val="Hyperlink"/>
                <w:noProof/>
                <w:rtl/>
              </w:rPr>
              <w:fldChar w:fldCharType="end"/>
            </w:r>
          </w:hyperlink>
        </w:p>
        <w:p w14:paraId="7F19C3D2" w14:textId="19474AD6"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15" w:history="1">
            <w:r w:rsidRPr="008F1A1E">
              <w:rPr>
                <w:rStyle w:val="Hyperlink"/>
                <w:noProof/>
                <w:rtl/>
              </w:rPr>
              <w:t>תקציר בעברית</w:t>
            </w:r>
            <w:r>
              <w:rPr>
                <w:noProof/>
              </w:rPr>
              <w:tab/>
            </w:r>
            <w:r>
              <w:rPr>
                <w:rStyle w:val="Hyperlink"/>
                <w:noProof/>
                <w:rtl/>
              </w:rPr>
              <w:fldChar w:fldCharType="begin"/>
            </w:r>
            <w:r>
              <w:rPr>
                <w:noProof/>
              </w:rPr>
              <w:instrText xml:space="preserve"> PAGEREF _Toc236721615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1A7A3A4A" w14:textId="549B8E31"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16" w:history="1">
            <w:r w:rsidRPr="008F1A1E">
              <w:rPr>
                <w:rStyle w:val="Hyperlink"/>
                <w:noProof/>
                <w:rtl/>
              </w:rPr>
              <w:t>תקציר באנגלית</w:t>
            </w:r>
            <w:r>
              <w:rPr>
                <w:noProof/>
              </w:rPr>
              <w:tab/>
            </w:r>
            <w:r>
              <w:rPr>
                <w:rStyle w:val="Hyperlink"/>
                <w:noProof/>
                <w:rtl/>
              </w:rPr>
              <w:fldChar w:fldCharType="begin"/>
            </w:r>
            <w:r>
              <w:rPr>
                <w:noProof/>
              </w:rPr>
              <w:instrText xml:space="preserve"> PAGEREF _Toc236721616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5E1AEB0B" w14:textId="27695F62"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17" w:history="1">
            <w:r w:rsidRPr="008F1A1E">
              <w:rPr>
                <w:rStyle w:val="Hyperlink"/>
                <w:noProof/>
                <w:rtl/>
              </w:rPr>
              <w:t>מבוא</w:t>
            </w:r>
            <w:r>
              <w:rPr>
                <w:noProof/>
              </w:rPr>
              <w:tab/>
            </w:r>
            <w:r>
              <w:rPr>
                <w:rStyle w:val="Hyperlink"/>
                <w:noProof/>
                <w:rtl/>
              </w:rPr>
              <w:fldChar w:fldCharType="begin"/>
            </w:r>
            <w:r>
              <w:rPr>
                <w:noProof/>
              </w:rPr>
              <w:instrText xml:space="preserve"> PAGEREF _Toc236721617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49B7EDBF" w14:textId="25C979F4"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18" w:history="1">
            <w:r w:rsidRPr="008F1A1E">
              <w:rPr>
                <w:rStyle w:val="Hyperlink"/>
                <w:noProof/>
                <w:rtl/>
              </w:rPr>
              <w:t>תת כותרת של המבוא</w:t>
            </w:r>
            <w:r>
              <w:rPr>
                <w:noProof/>
              </w:rPr>
              <w:tab/>
            </w:r>
            <w:r>
              <w:rPr>
                <w:rStyle w:val="Hyperlink"/>
                <w:noProof/>
                <w:rtl/>
              </w:rPr>
              <w:fldChar w:fldCharType="begin"/>
            </w:r>
            <w:r>
              <w:rPr>
                <w:noProof/>
              </w:rPr>
              <w:instrText xml:space="preserve"> PAGEREF _Toc236721618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30288FAE" w14:textId="7E1AF3FA"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19" w:history="1">
            <w:r w:rsidRPr="008F1A1E">
              <w:rPr>
                <w:rStyle w:val="Hyperlink"/>
                <w:noProof/>
                <w:rtl/>
              </w:rPr>
              <w:t>תת כותרת של המבוא</w:t>
            </w:r>
            <w:r>
              <w:rPr>
                <w:noProof/>
              </w:rPr>
              <w:tab/>
            </w:r>
            <w:r>
              <w:rPr>
                <w:rStyle w:val="Hyperlink"/>
                <w:noProof/>
                <w:rtl/>
              </w:rPr>
              <w:fldChar w:fldCharType="begin"/>
            </w:r>
            <w:r>
              <w:rPr>
                <w:noProof/>
              </w:rPr>
              <w:instrText xml:space="preserve"> PAGEREF _Toc236721619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1F1CD124" w14:textId="31CA64D7"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20" w:history="1">
            <w:r w:rsidRPr="008F1A1E">
              <w:rPr>
                <w:rStyle w:val="Hyperlink"/>
                <w:noProof/>
                <w:rtl/>
              </w:rPr>
              <w:t>סקירת ספרות</w:t>
            </w:r>
            <w:r>
              <w:rPr>
                <w:noProof/>
              </w:rPr>
              <w:tab/>
            </w:r>
            <w:r>
              <w:rPr>
                <w:rStyle w:val="Hyperlink"/>
                <w:noProof/>
                <w:rtl/>
              </w:rPr>
              <w:fldChar w:fldCharType="begin"/>
            </w:r>
            <w:r>
              <w:rPr>
                <w:noProof/>
              </w:rPr>
              <w:instrText xml:space="preserve"> PAGEREF _Toc236721620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2F901E22" w14:textId="46FBB2D1"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1" w:history="1">
            <w:r w:rsidRPr="008F1A1E">
              <w:rPr>
                <w:rStyle w:val="Hyperlink"/>
                <w:noProof/>
                <w:rtl/>
              </w:rPr>
              <w:t>תת כותרת של של סקירת ספרות</w:t>
            </w:r>
            <w:r>
              <w:rPr>
                <w:noProof/>
              </w:rPr>
              <w:tab/>
            </w:r>
            <w:r>
              <w:rPr>
                <w:rStyle w:val="Hyperlink"/>
                <w:noProof/>
                <w:rtl/>
              </w:rPr>
              <w:fldChar w:fldCharType="begin"/>
            </w:r>
            <w:r>
              <w:rPr>
                <w:noProof/>
              </w:rPr>
              <w:instrText xml:space="preserve"> PAGEREF _Toc236721621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46E0BFD7" w14:textId="630E23FB"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2" w:history="1">
            <w:r w:rsidRPr="008F1A1E">
              <w:rPr>
                <w:rStyle w:val="Hyperlink"/>
                <w:noProof/>
                <w:rtl/>
              </w:rPr>
              <w:t>תת כותרת של המבוא</w:t>
            </w:r>
            <w:r>
              <w:rPr>
                <w:noProof/>
              </w:rPr>
              <w:tab/>
            </w:r>
            <w:r>
              <w:rPr>
                <w:rStyle w:val="Hyperlink"/>
                <w:noProof/>
                <w:rtl/>
              </w:rPr>
              <w:fldChar w:fldCharType="begin"/>
            </w:r>
            <w:r>
              <w:rPr>
                <w:noProof/>
              </w:rPr>
              <w:instrText xml:space="preserve"> PAGEREF _Toc236721622 \h </w:instrText>
            </w:r>
            <w:r>
              <w:rPr>
                <w:rStyle w:val="Hyperlink"/>
                <w:noProof/>
                <w:rtl/>
              </w:rPr>
            </w:r>
            <w:r>
              <w:rPr>
                <w:rStyle w:val="Hyperlink"/>
                <w:noProof/>
                <w:rtl/>
              </w:rPr>
              <w:fldChar w:fldCharType="separate"/>
            </w:r>
            <w:r>
              <w:rPr>
                <w:noProof/>
              </w:rPr>
              <w:t>5</w:t>
            </w:r>
            <w:r>
              <w:rPr>
                <w:rStyle w:val="Hyperlink"/>
                <w:noProof/>
                <w:rtl/>
              </w:rPr>
              <w:fldChar w:fldCharType="end"/>
            </w:r>
          </w:hyperlink>
        </w:p>
        <w:p w14:paraId="372C6B81" w14:textId="4D25AC0A"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3" w:history="1">
            <w:r w:rsidRPr="008F1A1E">
              <w:rPr>
                <w:rStyle w:val="Hyperlink"/>
                <w:noProof/>
                <w:rtl/>
              </w:rPr>
              <w:t>שאלות המחקר</w:t>
            </w:r>
            <w:r>
              <w:rPr>
                <w:noProof/>
              </w:rPr>
              <w:tab/>
            </w:r>
            <w:r>
              <w:rPr>
                <w:rStyle w:val="Hyperlink"/>
                <w:noProof/>
                <w:rtl/>
              </w:rPr>
              <w:fldChar w:fldCharType="begin"/>
            </w:r>
            <w:r>
              <w:rPr>
                <w:noProof/>
              </w:rPr>
              <w:instrText xml:space="preserve"> PAGEREF _Toc236721623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3E2509E2" w14:textId="49E4348E"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24" w:history="1">
            <w:r w:rsidRPr="008F1A1E">
              <w:rPr>
                <w:rStyle w:val="Hyperlink"/>
                <w:noProof/>
                <w:rtl/>
              </w:rPr>
              <w:t>שיטת המחקר</w:t>
            </w:r>
            <w:r>
              <w:rPr>
                <w:noProof/>
              </w:rPr>
              <w:tab/>
            </w:r>
            <w:r>
              <w:rPr>
                <w:rStyle w:val="Hyperlink"/>
                <w:noProof/>
                <w:rtl/>
              </w:rPr>
              <w:fldChar w:fldCharType="begin"/>
            </w:r>
            <w:r>
              <w:rPr>
                <w:noProof/>
              </w:rPr>
              <w:instrText xml:space="preserve"> PAGEREF _Toc236721624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2DF8EAA9" w14:textId="53F9A140"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5" w:history="1">
            <w:r w:rsidRPr="008F1A1E">
              <w:rPr>
                <w:rStyle w:val="Hyperlink"/>
                <w:noProof/>
                <w:rtl/>
              </w:rPr>
              <w:t>אוכלוסיית המחקר</w:t>
            </w:r>
            <w:r>
              <w:rPr>
                <w:noProof/>
              </w:rPr>
              <w:tab/>
            </w:r>
            <w:r>
              <w:rPr>
                <w:rStyle w:val="Hyperlink"/>
                <w:noProof/>
                <w:rtl/>
              </w:rPr>
              <w:fldChar w:fldCharType="begin"/>
            </w:r>
            <w:r>
              <w:rPr>
                <w:noProof/>
              </w:rPr>
              <w:instrText xml:space="preserve"> PAGEREF _Toc236721625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414F1AC7" w14:textId="201642D3"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6" w:history="1">
            <w:r w:rsidRPr="008F1A1E">
              <w:rPr>
                <w:rStyle w:val="Hyperlink"/>
                <w:noProof/>
                <w:rtl/>
              </w:rPr>
              <w:t>כלי  המחקר</w:t>
            </w:r>
            <w:r>
              <w:rPr>
                <w:noProof/>
              </w:rPr>
              <w:tab/>
            </w:r>
            <w:r>
              <w:rPr>
                <w:rStyle w:val="Hyperlink"/>
                <w:noProof/>
                <w:rtl/>
              </w:rPr>
              <w:fldChar w:fldCharType="begin"/>
            </w:r>
            <w:r>
              <w:rPr>
                <w:noProof/>
              </w:rPr>
              <w:instrText xml:space="preserve"> PAGEREF _Toc236721626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2C325C7" w14:textId="6E3A8C42"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7" w:history="1">
            <w:r w:rsidRPr="008F1A1E">
              <w:rPr>
                <w:rStyle w:val="Hyperlink"/>
                <w:noProof/>
                <w:rtl/>
              </w:rPr>
              <w:t>ניתוחים סטטיסטים</w:t>
            </w:r>
            <w:r>
              <w:rPr>
                <w:noProof/>
              </w:rPr>
              <w:tab/>
            </w:r>
            <w:r>
              <w:rPr>
                <w:rStyle w:val="Hyperlink"/>
                <w:noProof/>
                <w:rtl/>
              </w:rPr>
              <w:fldChar w:fldCharType="begin"/>
            </w:r>
            <w:r>
              <w:rPr>
                <w:noProof/>
              </w:rPr>
              <w:instrText xml:space="preserve"> PAGEREF _Toc236721627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38D02D5" w14:textId="10D87EBD"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28" w:history="1">
            <w:r w:rsidRPr="008F1A1E">
              <w:rPr>
                <w:rStyle w:val="Hyperlink"/>
                <w:noProof/>
                <w:rtl/>
              </w:rPr>
              <w:t>ממצאים</w:t>
            </w:r>
            <w:r>
              <w:rPr>
                <w:noProof/>
              </w:rPr>
              <w:tab/>
            </w:r>
            <w:r>
              <w:rPr>
                <w:rStyle w:val="Hyperlink"/>
                <w:noProof/>
                <w:rtl/>
              </w:rPr>
              <w:fldChar w:fldCharType="begin"/>
            </w:r>
            <w:r>
              <w:rPr>
                <w:noProof/>
              </w:rPr>
              <w:instrText xml:space="preserve"> PAGEREF _Toc236721628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33B2806B" w14:textId="2120496A"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29" w:history="1">
            <w:r w:rsidRPr="008F1A1E">
              <w:rPr>
                <w:rStyle w:val="Hyperlink"/>
                <w:noProof/>
                <w:rtl/>
              </w:rPr>
              <w:t>אוכלוסיית המחקר</w:t>
            </w:r>
            <w:r>
              <w:rPr>
                <w:noProof/>
              </w:rPr>
              <w:tab/>
            </w:r>
            <w:r>
              <w:rPr>
                <w:rStyle w:val="Hyperlink"/>
                <w:noProof/>
                <w:rtl/>
              </w:rPr>
              <w:fldChar w:fldCharType="begin"/>
            </w:r>
            <w:r>
              <w:rPr>
                <w:noProof/>
              </w:rPr>
              <w:instrText xml:space="preserve"> PAGEREF _Toc236721629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1F556F2" w14:textId="04EAC4F4"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0" w:history="1">
            <w:r w:rsidRPr="008F1A1E">
              <w:rPr>
                <w:rStyle w:val="Hyperlink"/>
                <w:noProof/>
                <w:rtl/>
              </w:rPr>
              <w:t>דיון</w:t>
            </w:r>
            <w:r>
              <w:rPr>
                <w:noProof/>
              </w:rPr>
              <w:tab/>
            </w:r>
            <w:r>
              <w:rPr>
                <w:rStyle w:val="Hyperlink"/>
                <w:noProof/>
                <w:rtl/>
              </w:rPr>
              <w:fldChar w:fldCharType="begin"/>
            </w:r>
            <w:r>
              <w:rPr>
                <w:noProof/>
              </w:rPr>
              <w:instrText xml:space="preserve"> PAGEREF _Toc236721630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C156619" w14:textId="34598820"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1" w:history="1">
            <w:r w:rsidRPr="008F1A1E">
              <w:rPr>
                <w:rStyle w:val="Hyperlink"/>
                <w:noProof/>
                <w:rtl/>
              </w:rPr>
              <w:t>רקע למחקר</w:t>
            </w:r>
            <w:r>
              <w:rPr>
                <w:noProof/>
              </w:rPr>
              <w:tab/>
            </w:r>
            <w:r>
              <w:rPr>
                <w:rStyle w:val="Hyperlink"/>
                <w:noProof/>
                <w:rtl/>
              </w:rPr>
              <w:fldChar w:fldCharType="begin"/>
            </w:r>
            <w:r>
              <w:rPr>
                <w:noProof/>
              </w:rPr>
              <w:instrText xml:space="preserve"> PAGEREF _Toc236721631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7BFA7AEF" w14:textId="3BDE92B6"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2" w:history="1">
            <w:r w:rsidRPr="008F1A1E">
              <w:rPr>
                <w:rStyle w:val="Hyperlink"/>
                <w:noProof/>
                <w:rtl/>
              </w:rPr>
              <w:t>סוגיית המזון</w:t>
            </w:r>
            <w:r>
              <w:rPr>
                <w:noProof/>
              </w:rPr>
              <w:tab/>
            </w:r>
            <w:r>
              <w:rPr>
                <w:rStyle w:val="Hyperlink"/>
                <w:noProof/>
                <w:rtl/>
              </w:rPr>
              <w:fldChar w:fldCharType="begin"/>
            </w:r>
            <w:r>
              <w:rPr>
                <w:noProof/>
              </w:rPr>
              <w:instrText xml:space="preserve"> PAGEREF _Toc236721632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534B2952" w14:textId="2F176B9C"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3" w:history="1">
            <w:r w:rsidRPr="008F1A1E">
              <w:rPr>
                <w:rStyle w:val="Hyperlink"/>
                <w:noProof/>
                <w:rtl/>
              </w:rPr>
              <w:t>שביעות רצון מטיפול רפואי</w:t>
            </w:r>
            <w:r>
              <w:rPr>
                <w:noProof/>
              </w:rPr>
              <w:tab/>
            </w:r>
            <w:r>
              <w:rPr>
                <w:rStyle w:val="Hyperlink"/>
                <w:noProof/>
                <w:rtl/>
              </w:rPr>
              <w:fldChar w:fldCharType="begin"/>
            </w:r>
            <w:r>
              <w:rPr>
                <w:noProof/>
              </w:rPr>
              <w:instrText xml:space="preserve"> PAGEREF _Toc236721633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057D0A6E" w14:textId="6C1478A1"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4" w:history="1">
            <w:r w:rsidRPr="008F1A1E">
              <w:rPr>
                <w:rStyle w:val="Hyperlink"/>
                <w:noProof/>
                <w:rtl/>
              </w:rPr>
              <w:t>עמדות הנשים בנושא תנאי כליאה</w:t>
            </w:r>
            <w:r>
              <w:rPr>
                <w:noProof/>
              </w:rPr>
              <w:tab/>
            </w:r>
            <w:r>
              <w:rPr>
                <w:rStyle w:val="Hyperlink"/>
                <w:noProof/>
                <w:rtl/>
              </w:rPr>
              <w:fldChar w:fldCharType="begin"/>
            </w:r>
            <w:r>
              <w:rPr>
                <w:noProof/>
              </w:rPr>
              <w:instrText xml:space="preserve"> PAGEREF _Toc236721634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2905D70F" w14:textId="763FE765"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5" w:history="1">
            <w:r w:rsidRPr="008F1A1E">
              <w:rPr>
                <w:rStyle w:val="Hyperlink"/>
                <w:noProof/>
                <w:rtl/>
              </w:rPr>
              <w:t>מגבלות המחקר</w:t>
            </w:r>
            <w:r>
              <w:rPr>
                <w:noProof/>
              </w:rPr>
              <w:tab/>
            </w:r>
            <w:r>
              <w:rPr>
                <w:rStyle w:val="Hyperlink"/>
                <w:noProof/>
                <w:rtl/>
              </w:rPr>
              <w:fldChar w:fldCharType="begin"/>
            </w:r>
            <w:r>
              <w:rPr>
                <w:noProof/>
              </w:rPr>
              <w:instrText xml:space="preserve"> PAGEREF _Toc236721635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60181DA9" w14:textId="01027251" w:rsidR="00127B5D" w:rsidRDefault="00127B5D" w:rsidP="00127B5D">
          <w:pPr>
            <w:pStyle w:val="TOC2"/>
            <w:tabs>
              <w:tab w:val="right" w:leader="dot" w:pos="9016"/>
            </w:tabs>
            <w:rPr>
              <w:rFonts w:asciiTheme="minorHAnsi" w:eastAsiaTheme="minorEastAsia" w:hAnsiTheme="minorHAnsi" w:cstheme="minorBidi"/>
              <w:noProof/>
              <w:kern w:val="2"/>
              <w14:ligatures w14:val="standardContextual"/>
            </w:rPr>
          </w:pPr>
          <w:hyperlink w:anchor="_Toc236721636" w:history="1">
            <w:r w:rsidRPr="008F1A1E">
              <w:rPr>
                <w:rStyle w:val="Hyperlink"/>
                <w:noProof/>
                <w:rtl/>
              </w:rPr>
              <w:t>רקע למחקר</w:t>
            </w:r>
            <w:r>
              <w:rPr>
                <w:noProof/>
              </w:rPr>
              <w:tab/>
            </w:r>
            <w:r>
              <w:rPr>
                <w:rStyle w:val="Hyperlink"/>
                <w:noProof/>
                <w:rtl/>
              </w:rPr>
              <w:fldChar w:fldCharType="begin"/>
            </w:r>
            <w:r>
              <w:rPr>
                <w:noProof/>
              </w:rPr>
              <w:instrText xml:space="preserve"> PAGEREF _Toc236721636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836B39D" w14:textId="4BC0BC10"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7" w:history="1">
            <w:r w:rsidRPr="008F1A1E">
              <w:rPr>
                <w:rStyle w:val="Hyperlink"/>
                <w:noProof/>
                <w:rtl/>
              </w:rPr>
              <w:t>סיכום</w:t>
            </w:r>
            <w:r>
              <w:rPr>
                <w:noProof/>
              </w:rPr>
              <w:tab/>
            </w:r>
            <w:r>
              <w:rPr>
                <w:rStyle w:val="Hyperlink"/>
                <w:noProof/>
                <w:rtl/>
              </w:rPr>
              <w:fldChar w:fldCharType="begin"/>
            </w:r>
            <w:r>
              <w:rPr>
                <w:noProof/>
              </w:rPr>
              <w:instrText xml:space="preserve"> PAGEREF _Toc236721637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05955200" w14:textId="3C8B12F1"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8" w:history="1">
            <w:r w:rsidRPr="008F1A1E">
              <w:rPr>
                <w:rStyle w:val="Hyperlink"/>
                <w:noProof/>
                <w:rtl/>
              </w:rPr>
              <w:t>גילוי נאות</w:t>
            </w:r>
            <w:r>
              <w:rPr>
                <w:noProof/>
              </w:rPr>
              <w:tab/>
            </w:r>
            <w:r>
              <w:rPr>
                <w:rStyle w:val="Hyperlink"/>
                <w:noProof/>
                <w:rtl/>
              </w:rPr>
              <w:fldChar w:fldCharType="begin"/>
            </w:r>
            <w:r>
              <w:rPr>
                <w:noProof/>
              </w:rPr>
              <w:instrText xml:space="preserve"> PAGEREF _Toc236721638 \h </w:instrText>
            </w:r>
            <w:r>
              <w:rPr>
                <w:rStyle w:val="Hyperlink"/>
                <w:noProof/>
                <w:rtl/>
              </w:rPr>
            </w:r>
            <w:r>
              <w:rPr>
                <w:rStyle w:val="Hyperlink"/>
                <w:noProof/>
                <w:rtl/>
              </w:rPr>
              <w:fldChar w:fldCharType="separate"/>
            </w:r>
            <w:r>
              <w:rPr>
                <w:noProof/>
              </w:rPr>
              <w:t>8</w:t>
            </w:r>
            <w:r>
              <w:rPr>
                <w:rStyle w:val="Hyperlink"/>
                <w:noProof/>
                <w:rtl/>
              </w:rPr>
              <w:fldChar w:fldCharType="end"/>
            </w:r>
          </w:hyperlink>
        </w:p>
        <w:p w14:paraId="4C7773CF" w14:textId="65F914C1"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39" w:history="1">
            <w:r w:rsidRPr="008F1A1E">
              <w:rPr>
                <w:rStyle w:val="Hyperlink"/>
                <w:noProof/>
                <w:rtl/>
              </w:rPr>
              <w:t>ביבליוגרפיה</w:t>
            </w:r>
            <w:r>
              <w:rPr>
                <w:noProof/>
              </w:rPr>
              <w:tab/>
            </w:r>
            <w:r>
              <w:rPr>
                <w:rStyle w:val="Hyperlink"/>
                <w:noProof/>
                <w:rtl/>
              </w:rPr>
              <w:fldChar w:fldCharType="begin"/>
            </w:r>
            <w:r>
              <w:rPr>
                <w:noProof/>
              </w:rPr>
              <w:instrText xml:space="preserve"> PAGEREF _Toc236721639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1DA2B3AD" w14:textId="0FE1C56F"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40" w:history="1">
            <w:r w:rsidRPr="008F1A1E">
              <w:rPr>
                <w:rStyle w:val="Hyperlink"/>
                <w:noProof/>
                <w:rtl/>
              </w:rPr>
              <w:t>נספחים</w:t>
            </w:r>
            <w:r>
              <w:rPr>
                <w:noProof/>
              </w:rPr>
              <w:tab/>
            </w:r>
            <w:r>
              <w:rPr>
                <w:rStyle w:val="Hyperlink"/>
                <w:noProof/>
                <w:rtl/>
              </w:rPr>
              <w:fldChar w:fldCharType="begin"/>
            </w:r>
            <w:r>
              <w:rPr>
                <w:noProof/>
              </w:rPr>
              <w:instrText xml:space="preserve"> PAGEREF _Toc236721640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05D3C7C5" w14:textId="7040227D"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41" w:history="1">
            <w:r w:rsidRPr="008F1A1E">
              <w:rPr>
                <w:rStyle w:val="Hyperlink"/>
                <w:noProof/>
                <w:rtl/>
              </w:rPr>
              <w:t>נספח א'</w:t>
            </w:r>
            <w:r>
              <w:rPr>
                <w:noProof/>
              </w:rPr>
              <w:tab/>
            </w:r>
            <w:r>
              <w:rPr>
                <w:rStyle w:val="Hyperlink"/>
                <w:noProof/>
                <w:rtl/>
              </w:rPr>
              <w:fldChar w:fldCharType="begin"/>
            </w:r>
            <w:r>
              <w:rPr>
                <w:noProof/>
              </w:rPr>
              <w:instrText xml:space="preserve"> PAGEREF _Toc236721641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28A394D4" w14:textId="027AD576" w:rsidR="00127B5D" w:rsidRDefault="00127B5D" w:rsidP="00127B5D">
          <w:pPr>
            <w:pStyle w:val="TOC1"/>
            <w:tabs>
              <w:tab w:val="right" w:leader="dot" w:pos="9016"/>
            </w:tabs>
            <w:rPr>
              <w:rFonts w:asciiTheme="minorHAnsi" w:eastAsiaTheme="minorEastAsia" w:hAnsiTheme="minorHAnsi" w:cstheme="minorBidi"/>
              <w:noProof/>
              <w:kern w:val="2"/>
              <w14:ligatures w14:val="standardContextual"/>
            </w:rPr>
          </w:pPr>
          <w:hyperlink w:anchor="_Toc236721642" w:history="1">
            <w:r w:rsidRPr="008F1A1E">
              <w:rPr>
                <w:rStyle w:val="Hyperlink"/>
                <w:noProof/>
                <w:rtl/>
              </w:rPr>
              <w:t>נספח ב'</w:t>
            </w:r>
            <w:r>
              <w:rPr>
                <w:noProof/>
              </w:rPr>
              <w:tab/>
            </w:r>
            <w:r>
              <w:rPr>
                <w:rStyle w:val="Hyperlink"/>
                <w:noProof/>
                <w:rtl/>
              </w:rPr>
              <w:fldChar w:fldCharType="begin"/>
            </w:r>
            <w:r>
              <w:rPr>
                <w:noProof/>
              </w:rPr>
              <w:instrText xml:space="preserve"> PAGEREF _Toc236721642 \h </w:instrText>
            </w:r>
            <w:r>
              <w:rPr>
                <w:rStyle w:val="Hyperlink"/>
                <w:noProof/>
                <w:rtl/>
              </w:rPr>
            </w:r>
            <w:r>
              <w:rPr>
                <w:rStyle w:val="Hyperlink"/>
                <w:noProof/>
                <w:rtl/>
              </w:rPr>
              <w:fldChar w:fldCharType="separate"/>
            </w:r>
            <w:r>
              <w:rPr>
                <w:noProof/>
              </w:rPr>
              <w:t>10</w:t>
            </w:r>
            <w:r>
              <w:rPr>
                <w:rStyle w:val="Hyperlink"/>
                <w:noProof/>
                <w:rtl/>
              </w:rPr>
              <w:fldChar w:fldCharType="end"/>
            </w:r>
          </w:hyperlink>
        </w:p>
        <w:p w14:paraId="6313BD1C" w14:textId="26914EB3" w:rsidR="00080DD8" w:rsidRPr="00FD2CA7" w:rsidRDefault="00000000" w:rsidP="00127B5D">
          <w:r w:rsidRPr="00FD2CA7">
            <w:fldChar w:fldCharType="end"/>
          </w:r>
        </w:p>
      </w:sdtContent>
    </w:sdt>
    <w:p>
      <w:pPr>
        <w:bidi/>
        <w:ind w:firstLine="0"/>
      </w:pPr>
      <w:r>
        <w:br w:type="page"/>
      </w:r>
    </w:p>
    <w:p>
      <w:pPr>
        <w:pStyle w:val="Heading1"/>
        <w:bidi/>
        <w:ind w:firstLine="0"/>
        <w:jc w:val="center"/>
      </w:pPr>
      <w:r>
        <w:rPr>
          <w:rFonts w:ascii="Times New Roman" w:hAnsi="Times New Roman" w:cs="David"/>
          <w:b w:val="1"/>
          <w:bCs w:val="1"/>
          <w:sz w:val="28"/>
          <w:szCs w:val="28"/>
          <w:rtl w:val="1"/>
        </w:rPr>
        <w:t>מבוא</w:t>
      </w:r>
    </w:p>
    <w:p>
      <w:pPr>
        <w:bidi/>
        <w:spacing w:line="480" w:lineRule="auto"/>
        <w:ind w:firstLine="482"/>
        <w:jc w:val="both"/>
      </w:pPr>
      <w:r>
        <w:rPr>
          <w:rFonts w:ascii="Times New Roman" w:hAnsi="Times New Roman" w:cs="David"/>
          <w:b w:val="0"/>
          <w:bCs w:val="0"/>
          <w:sz w:val="24"/>
          <w:szCs w:val="24"/>
          <w:rtl w:val="1"/>
        </w:rPr>
        <w:t>בית הסוהר מחזיק בני אדם בכוח, ובכך מסתיים ההסבר הפשוט לסדר שנשמר בתוכו. שגרת החיים באגף אינה מתקיימת בזכות הסורגים בלבד, אלא גם בזכות מידה מסוימת של היענות מצד הכלואים עצמם. הבחנה זו עומדת ביסוד הדיון בלגיטימיות של סמכות הכליאה: מערכת הנשענת על כפייה בלבד משלמת על כך במטבע של הפרות סדר ושל התנגדות, ואילו מערכת שהכלואים רואים בה סמכות מוצדקת זוכה לציות מרצון (Deambrogio, 2025). הלגיטימיות במובן הזה אינה תכונה של החוק ואינה נקבעת בפקודה. היא שיפוט מתמשך שהאסיר עורך ביחס לסוהר שעומד מולו, יום אחר יום.</w:t>
      </w:r>
    </w:p>
    <w:p>
      <w:pPr>
        <w:bidi/>
        <w:spacing w:line="480" w:lineRule="auto"/>
        <w:ind w:firstLine="482"/>
        <w:jc w:val="both"/>
      </w:pPr>
      <w:r>
        <w:rPr>
          <w:rFonts w:ascii="Times New Roman" w:hAnsi="Times New Roman" w:cs="David"/>
          <w:b w:val="0"/>
          <w:bCs w:val="0"/>
          <w:sz w:val="24"/>
          <w:szCs w:val="24"/>
          <w:rtl w:val="1"/>
        </w:rPr>
        <w:t>הסוגיה נבחנה בישראל לאחרונה בהיקף רחב. סקר שנערך בקרב 3,790 עצורים וכלואים פליליים בסוף שנת 2021 מצא כי מדד הלגיטימיות, המורכב משלושה היגדים על היכולת לפנות לסוהר בעת מצוקה, על יחס של כבוד ועל הטיפול בבקשות, קיבל ממוצע של 4.23 בסולם של חמש דרגות, גבוה מכל מדד אחר שנבחן באותו סקר למעט הקשר עם משפחה וחברים (ועקנין, 2024). לצד הממצא החיובי הזה עלה ממצא מורכב יותר. הלגיטימיות ממתנת את הקשר בין שביעות הרצון מתנאי המחיה ובין שביעות הרצון מפעילויות החינוך, הטיפול והשיקום, כך שככל שהלגיטימיות הנתפסת גבוהה יותר מתחזק הקשר בין השניים (ועקנין, 2024). שיפור בתנאים הפיזיים, אם כן, אינו מתורגם מאליו לשיתוף פעולה שיקומי. הוא נזקק לתיווך של יחס.</w:t>
      </w:r>
    </w:p>
    <w:p>
      <w:pPr>
        <w:bidi/>
        <w:spacing w:line="480" w:lineRule="auto"/>
        <w:ind w:firstLine="482"/>
        <w:jc w:val="both"/>
      </w:pPr>
      <w:r>
        <w:rPr>
          <w:rFonts w:ascii="Times New Roman" w:hAnsi="Times New Roman" w:cs="David"/>
          <w:b w:val="0"/>
          <w:bCs w:val="0"/>
          <w:sz w:val="24"/>
          <w:szCs w:val="24"/>
          <w:rtl w:val="1"/>
        </w:rPr>
        <w:t>רוב הידע הקיים מתאר את הלגיטימיות כתוצר של מה שהסגל עושה ושל התנאים שבהם הוא פועל. פחות תשומת לב הוקדשה לשאלה מה עושה הזמן עצמו. מחקרים על אקלים הכליאה נוטים למדוד את תפיסות הכלואים בנקודת זמן אחת, ולכן הם מתארים תמונת מצב ולא תהליך (Hyatt et al., 2024; Toma et al., 2025). כלוא ששוהה באגף שלושה שבועות וכלוא ששוהה בו ארבע שנים חולקים את אותו מרחב, את אותם נהלים ולעיתים גם את אותו סוהר, אך אין זה מובן מאליו שהם שופטים אותם באותה דרך.</w:t>
      </w:r>
    </w:p>
    <w:p>
      <w:pPr>
        <w:bidi/>
        <w:spacing w:line="480" w:lineRule="auto"/>
        <w:ind w:firstLine="482"/>
        <w:jc w:val="both"/>
      </w:pPr>
      <w:r>
        <w:rPr>
          <w:rFonts w:ascii="Times New Roman" w:hAnsi="Times New Roman" w:cs="David"/>
          <w:b w:val="0"/>
          <w:bCs w:val="0"/>
          <w:sz w:val="24"/>
          <w:szCs w:val="24"/>
          <w:rtl w:val="1"/>
        </w:rPr>
        <w:t>העבודה בוחנת באיזו מידה קיים קשר בין משך השהייה באגף ובין תפיסת ההוגנות והלגיטימיות של סגל הכליאה בקרב אסירים פליליים בישראל. המשתנה הבלתי תלוי הוא משך השהייה באגף, והמשתנה התלוי הוא תפיסת ההוגנות והלגיטימיות של הסגל. הבחירה באגף ולא בבית הסוהר כיחידת ההתייחסות אינה טכנית. האגף הוא המרחב שבו מתרחשת רוב האינטראקציה היומיומית בין הכלוא לסוהר, ובו נקבעים בפועל סדרי הגישה למקלחת, לחצר, לטלפון ולבקשות. תמיכה בכך עולה ממחקר שהעביר שאלון אקלים כליאה לכלל האסירים במתקן אחד בארצות הברית ומצא הבדלים מובהקים בין אגפים באותו מתקן דווקא בשאלות של יחסים עם הסגל, אפליה ובידוד (Hyatt et al., 2024). האגף, ולא המתקן, הוא יחידת החוויה.</w:t>
      </w:r>
    </w:p>
    <w:p>
      <w:pPr>
        <w:bidi/>
        <w:ind w:firstLine="0"/>
      </w:pPr>
      <w:r>
        <w:br w:type="page"/>
      </w:r>
    </w:p>
    <w:p>
      <w:pPr>
        <w:pStyle w:val="Heading1"/>
        <w:bidi/>
        <w:ind w:firstLine="0"/>
        <w:jc w:val="center"/>
      </w:pPr>
      <w:r>
        <w:rPr>
          <w:rFonts w:ascii="Times New Roman" w:hAnsi="Times New Roman" w:cs="David"/>
          <w:b w:val="1"/>
          <w:bCs w:val="1"/>
          <w:sz w:val="28"/>
          <w:szCs w:val="28"/>
          <w:rtl w:val="1"/>
        </w:rPr>
        <w:t>סקירת ספרות</w:t>
      </w:r>
    </w:p>
    <w:p>
      <w:pPr>
        <w:pStyle w:val="Heading2"/>
        <w:bidi/>
        <w:spacing w:before="240"/>
        <w:ind w:firstLine="0"/>
        <w:jc w:val="right"/>
      </w:pPr>
      <w:r>
        <w:rPr>
          <w:rFonts w:ascii="Times New Roman" w:hAnsi="Times New Roman" w:cs="David"/>
          <w:b w:val="1"/>
          <w:bCs w:val="1"/>
          <w:sz w:val="24"/>
          <w:szCs w:val="24"/>
          <w:rtl w:val="1"/>
        </w:rPr>
        <w:t>תנאי כליאה: מן המדד הפיזי אל החוויה הנתפסת</w:t>
      </w:r>
    </w:p>
    <w:p>
      <w:pPr>
        <w:bidi/>
        <w:spacing w:line="480" w:lineRule="auto"/>
        <w:ind w:firstLine="482"/>
        <w:jc w:val="both"/>
      </w:pPr>
      <w:r>
        <w:rPr>
          <w:rFonts w:ascii="Times New Roman" w:hAnsi="Times New Roman" w:cs="David"/>
          <w:b w:val="0"/>
          <w:bCs w:val="0"/>
          <w:sz w:val="24"/>
          <w:szCs w:val="24"/>
          <w:rtl w:val="1"/>
        </w:rPr>
        <w:t>הדיון המחקרי בתנאי הכליאה נפתח שנים רבות סביב שאלות של מדידה פיזית: שטח מחיה לאסיר, יחס בין תקן הכליאה ובין מספר הכלואים בפועל, רמות רעש, טמפרטורה ותברואה (דוידסקו וולק, 2015). ההנחה שהנחתה את הדיון הזה הייתה פשוטה. תנאים קשים מייצרים דחק, ודחק מייצר אלימות והפרות משמעת.</w:t>
      </w:r>
    </w:p>
    <w:p>
      <w:pPr>
        <w:bidi/>
        <w:spacing w:line="480" w:lineRule="auto"/>
        <w:ind w:firstLine="482"/>
        <w:jc w:val="both"/>
      </w:pPr>
      <w:r>
        <w:rPr>
          <w:rFonts w:ascii="Times New Roman" w:hAnsi="Times New Roman" w:cs="David"/>
          <w:b w:val="0"/>
          <w:bCs w:val="0"/>
          <w:sz w:val="24"/>
          <w:szCs w:val="24"/>
          <w:rtl w:val="1"/>
        </w:rPr>
        <w:t>הממצאים האמפיריים סירבו להתיישר לפי ההנחה הזאת. סקירה של המחקרים שבחנו את הקשר בין צפיפות להתנהגות שלילית של כלואים העלתה תמונה מפוצלת, שבה חלק מן המחקרים מדווחים על קשר חיובי, חלק על קשר שלילי וחלק על היעדר קשר (דוידסקו וולק, 2015). מחקרי-על שסיכמו עשרות מחקרים מצאו קשר חלש בלבד, שמתחזק בעיקר בקרב כלואים צעירים. גם בבחינה שנערכה בשירות בתי הסוהר לא נמצא קשר בין צפיפות חברתית או מרחבית ובין שכיחות אירועי אלימות, אך כאשר שוקלל המרחב האישי יחד עם משך הזמן שהאסיר שוהה מחוץ לתא, נצפו יותר אירועים אלימים (דוידסקו וולק, 2015). הממצא האחרון מעניין לענייננו במיוחד, משום שהוא מכניס את ממד הזמן אל תוך משוואה שהייתה עד אז מרחבית בלבד.</w:t>
      </w:r>
    </w:p>
    <w:p>
      <w:pPr>
        <w:bidi/>
        <w:spacing w:line="480" w:lineRule="auto"/>
        <w:ind w:firstLine="482"/>
        <w:jc w:val="both"/>
      </w:pPr>
      <w:r>
        <w:rPr>
          <w:rFonts w:ascii="Times New Roman" w:hAnsi="Times New Roman" w:cs="David"/>
          <w:b w:val="0"/>
          <w:bCs w:val="0"/>
          <w:sz w:val="24"/>
          <w:szCs w:val="24"/>
          <w:rtl w:val="1"/>
        </w:rPr>
        <w:t>הפער בין הציפייה התאורטית ובין הממצאים הוליד תפנית מושגית. במקום למדוד את בית הסוהר במטרים, החלו חוקרים למדוד אותו דרך עיני מי שחי בו. המונח אקלים כליאה (prison climate) מבקש לתפוס את האיכות החברתית והרגשית של המקום ולא רק את מאפייניו הפיזיים. מחקר ארצי שהעביר שאלון אקלים כליאה לכלל הכלואים בעשרים ושמונה בתי סוהר בהולנד הראה כי אפשר למדוד ממדים כגון אוטונומיה, ביטחון, קשר עם העולם שבחוץ, פעילות בעלת משמעות ויחסים עם הסגל, וכי ההבדלים בין משטרי כליאה שונים ניכרים בעיקר בממד היחסים עם הסגל (Van Ginneken et al., 2018).</w:t>
      </w:r>
    </w:p>
    <w:p>
      <w:pPr>
        <w:bidi/>
        <w:spacing w:line="480" w:lineRule="auto"/>
        <w:ind w:firstLine="482"/>
        <w:jc w:val="both"/>
      </w:pPr>
      <w:r>
        <w:rPr>
          <w:rFonts w:ascii="Times New Roman" w:hAnsi="Times New Roman" w:cs="David"/>
          <w:b w:val="0"/>
          <w:bCs w:val="0"/>
          <w:sz w:val="24"/>
          <w:szCs w:val="24"/>
          <w:rtl w:val="1"/>
        </w:rPr>
        <w:t>תוקפו של הכלי נבחן מאז גם מחוץ להולנד. מחקר רומני שהעביר שאלון אקלים לכלואים ולסגל באותם אגפים מצא מבנה גורמים יציב בשתי האוכלוסיות, אך גם פערי תפיסה שיטתיים: הסגל העריך את התמיכה הטיפולית חיובית יותר מן הכלואים, ואילו הכלואים העריכו את הביטחון באגף חיובית יותר מן הסגל (Toma et al., 2025). הממצא הזה חשוב מתודולוגית. הוא מלמד שאין טעם לשאול מהו אקלים האגף בלי לשאול קודם את מי שואלים.</w:t>
      </w:r>
    </w:p>
    <w:p>
      <w:pPr>
        <w:bidi/>
        <w:spacing w:line="480" w:lineRule="auto"/>
        <w:ind w:firstLine="482"/>
        <w:jc w:val="both"/>
      </w:pPr>
      <w:r>
        <w:rPr>
          <w:rFonts w:ascii="Times New Roman" w:hAnsi="Times New Roman" w:cs="David"/>
          <w:b w:val="0"/>
          <w:bCs w:val="0"/>
          <w:sz w:val="24"/>
          <w:szCs w:val="24"/>
          <w:rtl w:val="1"/>
        </w:rPr>
        <w:t>שינוי הזווית הזה אינו טכני. הוא מעביר את מרכז הכובד ממה שבית הסוהר הוא אל מה שבית הסוהר נחווה כמותו, ובכך פותח את הדלת לשאלה מי חווה ומתי. אם התנאים אינם עובדה קבועה אלא פרשנות, סביר שהפרשנות משתנה עם הזמן שבו נחשף הפרשן לאותם תנאים.</w:t>
      </w:r>
    </w:p>
    <w:p>
      <w:pPr>
        <w:pStyle w:val="Heading2"/>
        <w:bidi/>
        <w:spacing w:before="240"/>
        <w:ind w:firstLine="0"/>
        <w:jc w:val="right"/>
      </w:pPr>
      <w:r>
        <w:rPr>
          <w:rFonts w:ascii="Times New Roman" w:hAnsi="Times New Roman" w:cs="David"/>
          <w:b w:val="1"/>
          <w:bCs w:val="1"/>
          <w:sz w:val="24"/>
          <w:szCs w:val="24"/>
          <w:rtl w:val="1"/>
        </w:rPr>
        <w:t>לגיטימיות והוגנות פרוצדורלית בבית הסוהר</w:t>
      </w:r>
    </w:p>
    <w:p>
      <w:pPr>
        <w:bidi/>
        <w:spacing w:line="480" w:lineRule="auto"/>
        <w:ind w:firstLine="482"/>
        <w:jc w:val="both"/>
      </w:pPr>
      <w:r>
        <w:rPr>
          <w:rFonts w:ascii="Times New Roman" w:hAnsi="Times New Roman" w:cs="David"/>
          <w:b w:val="0"/>
          <w:bCs w:val="0"/>
          <w:sz w:val="24"/>
          <w:szCs w:val="24"/>
          <w:rtl w:val="1"/>
        </w:rPr>
        <w:t>המושג לגיטימיות חדר לחקר הכליאה מן הסוציולוגיה הפוליטית ומחקר הציות לחוק. בבסיסו עומדת ההבחנה בין ציות הנובע מחישוב עלות ותועלת ובין ציות הנובע מהכרה בכך שהסמכות מוצדקת. בית הסוהר הוא מקרה קיצון של השאלה הזאת, משום שהכליאה כפויה מעצם טבעה, ולכן הוא סובל מגירעון לגיטימיות מובנה. עם זאת הלגיטימיות היא עניין של מידה ולא של הכול או לא כלום: הכלואים מעניקים או מונעים הכרה בסמכות בהתאם לאופן שבו מופעל הכוח מולם בשגרה (Deambrogio, 2025).</w:t>
      </w:r>
    </w:p>
    <w:p>
      <w:pPr>
        <w:bidi/>
        <w:spacing w:line="480" w:lineRule="auto"/>
        <w:ind w:firstLine="482"/>
        <w:jc w:val="both"/>
      </w:pPr>
      <w:r>
        <w:rPr>
          <w:rFonts w:ascii="Times New Roman" w:hAnsi="Times New Roman" w:cs="David"/>
          <w:b w:val="0"/>
          <w:bCs w:val="0"/>
          <w:sz w:val="24"/>
          <w:szCs w:val="24"/>
          <w:rtl w:val="1"/>
        </w:rPr>
        <w:t>הוגנות פרוצדורלית היא המנגנון המרכזי שדרכו נבנית הלגיטימיות. היא עוסקת באופן שבו מתקבלת ההחלטה ולא בתוצאתה, ומורכבת ממתן קול לאדם שההחלטה נוגעת לו, מניטרליות, מיחס מכבד ומאמון בכוונות הרשות. ההבחנה בינה ובין הוגנות חלוקתית, העוסקת בשאלה מה בדיוק האסיר מקבל, חשובה במיוחד לענייננו. דיאמברוג׳ו (Deambrogio, 2025) מראה כי מנגנוני השתתפות שמאפשרים לכלואים להשמיע את קולם בהחלטות הנוגעות להם מחזקים את הלגיטימיות הנתפסת, ומציעה על בסיס זה מודל דמוקרטי של השתתפות כלואים כדרך לצמצם את גירעון הלגיטימיות המובנה.</w:t>
      </w:r>
    </w:p>
    <w:p>
      <w:pPr>
        <w:bidi/>
        <w:spacing w:line="480" w:lineRule="auto"/>
        <w:ind w:firstLine="482"/>
        <w:jc w:val="both"/>
      </w:pPr>
      <w:r>
        <w:rPr>
          <w:rFonts w:ascii="Times New Roman" w:hAnsi="Times New Roman" w:cs="David"/>
          <w:b w:val="0"/>
          <w:bCs w:val="0"/>
          <w:sz w:val="24"/>
          <w:szCs w:val="24"/>
          <w:rtl w:val="1"/>
        </w:rPr>
        <w:t>שרשרת ההשפעה נבדקה גם אמפירית. מחקר שנערך בקרב 177 כלואים באוסטרליה מצא כי כלואים שתפסו את יחס הסגל כהוגן מבחינה פרוצדורלית דיווחו על ציות רב יותר, וכי תפיסות הוגנות נמוכות היו קשורות לעמדות של התרחקות והתגוננות מול הסגל ולהתנהגות מתריסה (Murphy &amp; Barkworth, 2021). כלומר, תפיסת ההוגנות אינה עמדה מנותקת. יש לה תוצאות התנהגותיות מדידות בתוך האגף.</w:t>
      </w:r>
    </w:p>
    <w:p>
      <w:pPr>
        <w:pStyle w:val="Heading2"/>
        <w:bidi/>
        <w:spacing w:before="240"/>
        <w:ind w:firstLine="0"/>
        <w:jc w:val="right"/>
      </w:pPr>
      <w:r>
        <w:rPr>
          <w:rFonts w:ascii="Times New Roman" w:hAnsi="Times New Roman" w:cs="David"/>
          <w:b w:val="1"/>
          <w:bCs w:val="1"/>
          <w:sz w:val="24"/>
          <w:szCs w:val="24"/>
          <w:rtl w:val="1"/>
        </w:rPr>
        <w:t>יחסי סוהר-כלוא כמנגנון המרכזי</w:t>
      </w:r>
    </w:p>
    <w:p>
      <w:pPr>
        <w:bidi/>
        <w:spacing w:line="480" w:lineRule="auto"/>
        <w:ind w:firstLine="482"/>
        <w:jc w:val="both"/>
      </w:pPr>
      <w:r>
        <w:rPr>
          <w:rFonts w:ascii="Times New Roman" w:hAnsi="Times New Roman" w:cs="David"/>
          <w:b w:val="0"/>
          <w:bCs w:val="0"/>
          <w:sz w:val="24"/>
          <w:szCs w:val="24"/>
          <w:rtl w:val="1"/>
        </w:rPr>
        <w:t>הסוהר באגף הוא הנקודה שבה המדיניות פוגשת את האדם, והיחסים ביניהם מורכבים יותר משהם נראים מבחוץ. מחקר אתנוגרפי שנערך בבית סוהר לנשים באנגליה תיאר יחסי סגל וכלואות רוויים בדו-משמעות: קרבה רגשית שאינה מוגדרת, ציפיות סותרות משני הצדדים, וקושי מתמשך לשרטט גבול בין תמיכה ובין סמכות (Crewe et al., 2023). החוקרים מדגישים שהיחסים האלה אינם נתון קבוע אלא תוצר של היסטוריה משותפת שנבנית לאורך זמן בין אנשים מסוימים.</w:t>
      </w:r>
    </w:p>
    <w:p>
      <w:pPr>
        <w:bidi/>
        <w:spacing w:line="480" w:lineRule="auto"/>
        <w:ind w:firstLine="482"/>
        <w:jc w:val="both"/>
      </w:pPr>
      <w:r>
        <w:rPr>
          <w:rFonts w:ascii="Times New Roman" w:hAnsi="Times New Roman" w:cs="David"/>
          <w:b w:val="0"/>
          <w:bCs w:val="0"/>
          <w:sz w:val="24"/>
          <w:szCs w:val="24"/>
          <w:rtl w:val="1"/>
        </w:rPr>
        <w:t>איכות היחסים הזאת אינה עניין פרטי בין שני אנשים. היא מאפיין של האגף. במחקר שהעביר שאלון אקלים כליאה לכלל האסירים במתקן אחד נמצאו הבדלים מובהקים בין אגפים באותו מתקן דווקא בממד היחסים עם הסגל, אף שכל האגפים כפופים לאותו נוהל ולאותה הנהלה (Hyatt et al., 2024). סקירה של הספרות על האקלים היחסי בבתי סוהר מוסיפה כי התנהגות של כלואים עם קשיים נפשיים, וכן היחס הסטיגמטי שהם מקבלים, פוגעים באקלים החברתי של האגף כולו (Calles-Rubiales &amp; Ibáñez del Prado, 2020). האגף, אם כן, הוא יחידה חברתית בעלת מאפיינים משלה, ולא רק מכפלה של הפרטים שבתוכה.</w:t>
      </w:r>
    </w:p>
    <w:p>
      <w:pPr>
        <w:pStyle w:val="Heading2"/>
        <w:bidi/>
        <w:spacing w:before="240"/>
        <w:ind w:firstLine="0"/>
        <w:jc w:val="right"/>
      </w:pPr>
      <w:r>
        <w:rPr>
          <w:rFonts w:ascii="Times New Roman" w:hAnsi="Times New Roman" w:cs="David"/>
          <w:b w:val="1"/>
          <w:bCs w:val="1"/>
          <w:sz w:val="24"/>
          <w:szCs w:val="24"/>
          <w:rtl w:val="1"/>
        </w:rPr>
        <w:t>הזמן כמשתנה: מה יודעים ומה עדיין לא</w:t>
      </w:r>
    </w:p>
    <w:p>
      <w:pPr>
        <w:bidi/>
        <w:spacing w:line="480" w:lineRule="auto"/>
        <w:ind w:firstLine="482"/>
        <w:jc w:val="both"/>
      </w:pPr>
      <w:r>
        <w:rPr>
          <w:rFonts w:ascii="Times New Roman" w:hAnsi="Times New Roman" w:cs="David"/>
          <w:b w:val="0"/>
          <w:bCs w:val="0"/>
          <w:sz w:val="24"/>
          <w:szCs w:val="24"/>
          <w:rtl w:val="1"/>
        </w:rPr>
        <w:t>העדות הישירה ביותר לכך שתפיסות הכלואים משתנות לאורך הכליאה מגיעה ממחקר אורך שנערך בבית סוהר לצעירים בפורטוגל. גונסלבס ועמיתיו (Gonçalves et al., 2016) עקבו אחר 75 כלואים בני 17 עד 22 ומדדו את מצבם הנפשי ואת תפיסותיהם את אקלים הכליאה שלושה מועדים: חודש, שלושה חודשים ושישה חודשים לאחר הכניסה. הממצאים הראו שתסמיני המצוקה יורדים לאורך התקופה, וכי תפיסות האקלים תורמות להסבר המצב הנפשי מעבר למאפיינים האישיים שהכלוא הביא איתו. המחקר הזה מבסס את ההנחה שהזמן פועל, אך הוא עוקב אחר חצי שנה בלבד ואינו בוחן ישירות את תפיסת ההוגנות של הסגל.</w:t>
      </w:r>
    </w:p>
    <w:p>
      <w:pPr>
        <w:bidi/>
        <w:spacing w:line="480" w:lineRule="auto"/>
        <w:ind w:firstLine="482"/>
        <w:jc w:val="both"/>
      </w:pPr>
      <w:r>
        <w:rPr>
          <w:rFonts w:ascii="Times New Roman" w:hAnsi="Times New Roman" w:cs="David"/>
          <w:b w:val="0"/>
          <w:bCs w:val="0"/>
          <w:sz w:val="24"/>
          <w:szCs w:val="24"/>
          <w:rtl w:val="1"/>
        </w:rPr>
        <w:t>כיוון ההשפעה נותר פתוח, ואפשר לגזור מן הספרות שני טיעונים מנוגדים. הטיעון הראשון גורס היכרות והתמסדות: אי-הוודאות הגבוהה ביותר שחווה כלוא היא דווקא בתחילת הדרך, בטרם למד את הכללים הפורמליים והבלתי פורמליים של המקום, ועם הזמן נבנים קשרים אישיים עם סוהרים מסוימים ופוחתת תחושת האיום. תיאור היחסים ההדדיים שנבנים לאורך זמן תומך בכיוון הזה (Crewe et al., 2023), וכך גם מגמת הירידה במצוקה שנמצאה בחודשי המאסר הראשונים (Gonçalves et al., 2016).</w:t>
      </w:r>
    </w:p>
    <w:p>
      <w:pPr>
        <w:bidi/>
        <w:spacing w:line="480" w:lineRule="auto"/>
        <w:ind w:firstLine="482"/>
        <w:jc w:val="both"/>
      </w:pPr>
      <w:r>
        <w:rPr>
          <w:rFonts w:ascii="Times New Roman" w:hAnsi="Times New Roman" w:cs="David"/>
          <w:b w:val="0"/>
          <w:bCs w:val="0"/>
          <w:sz w:val="24"/>
          <w:szCs w:val="24"/>
          <w:rtl w:val="1"/>
        </w:rPr>
        <w:t>הטיעון הנגדי גורס שחיקה. הצטברות של חיכוכים, של בקשות שלא נענו ושל החלטות שנתפסו כשרירותיות עלולה לכרסם בהדרגה בנכונות לראות בסמכות סמכות מוצדקת, במיוחד כאשר תפיסות ההוגנות נמוכות מלכתחילה ומעודדות התרחקות מן הסגל (Murphy &amp; Barkworth, 2021). גם עצם הדו-משמעות ביחסים, שתוארה כמקור למתח מתמשך ולא רק לקרבה, מותירה מקום לאפשרות הזאת (Crewe et al., 2023).</w:t>
      </w:r>
    </w:p>
    <w:p>
      <w:pPr>
        <w:bidi/>
        <w:spacing w:line="480" w:lineRule="auto"/>
        <w:ind w:firstLine="482"/>
        <w:jc w:val="both"/>
      </w:pPr>
      <w:r>
        <w:rPr>
          <w:rFonts w:ascii="Times New Roman" w:hAnsi="Times New Roman" w:cs="David"/>
          <w:b w:val="0"/>
          <w:bCs w:val="0"/>
          <w:sz w:val="24"/>
          <w:szCs w:val="24"/>
          <w:rtl w:val="1"/>
        </w:rPr>
        <w:t>מקור אפשרי נוסף לשינוי לאורך זמן הוא ההשתתפות בפעילות שיקומית. מחקר נורווגי שבחן את תרומת ההשכלה בכלא לחיים שלאחר השחרור מצא כי כלואים מייחסים לפעילות הזאת ערך מעבר לתעודה עצמה, ובכלל זה תחושת התקדמות ויחס אחר מצד הסגל (Tønseth &amp; Bergsland, 2019). מכיוון שהשתלבות בפעילויות כאלה נבנית בדרך כלל עם הוותק במקום, ייתכן שהוותק פועל על הלגיטימיות גם בעקיפין, דרך הנגישות לפעילות משמעותית.</w:t>
      </w:r>
    </w:p>
    <w:p>
      <w:pPr>
        <w:pStyle w:val="Heading2"/>
        <w:bidi/>
        <w:spacing w:before="240"/>
        <w:ind w:firstLine="0"/>
        <w:jc w:val="right"/>
      </w:pPr>
      <w:r>
        <w:rPr>
          <w:rFonts w:ascii="Times New Roman" w:hAnsi="Times New Roman" w:cs="David"/>
          <w:b w:val="1"/>
          <w:bCs w:val="1"/>
          <w:sz w:val="24"/>
          <w:szCs w:val="24"/>
          <w:rtl w:val="1"/>
        </w:rPr>
        <w:t>ההקשר הישראלי</w:t>
      </w:r>
    </w:p>
    <w:p>
      <w:pPr>
        <w:bidi/>
        <w:spacing w:line="480" w:lineRule="auto"/>
        <w:ind w:firstLine="482"/>
        <w:jc w:val="both"/>
      </w:pPr>
      <w:r>
        <w:rPr>
          <w:rFonts w:ascii="Times New Roman" w:hAnsi="Times New Roman" w:cs="David"/>
          <w:b w:val="0"/>
          <w:bCs w:val="0"/>
          <w:sz w:val="24"/>
          <w:szCs w:val="24"/>
          <w:rtl w:val="1"/>
        </w:rPr>
        <w:t>מערכת הכליאה בישראל פועלת בתנאי מחיה שנמצאו במשך שנים מתחת לסטנדרטים המקובלים. שטח המחיה הממוצע לאסיר עמד על כ-3.1 מ"ר, לעומת מינימום של 4 מ"ר בהמלצות התקנות האירופיות לכליאה ו-5 מ"ר שנקבעו בתמ"א 24 לבנייתם של מתקנים חדשים (דוידסקו וולק, 2015). בשנת 2017 קבע בית המשפט העליון בבג"ץ 1892/14 כי המצב פוגע בזכות לכבוד ולקיום בתנאים אנושיים, וחייב את המדינה להגדיל את שטח המחיה בהדרגה.</w:t>
      </w:r>
    </w:p>
    <w:p>
      <w:pPr>
        <w:bidi/>
        <w:spacing w:line="480" w:lineRule="auto"/>
        <w:ind w:firstLine="482"/>
        <w:jc w:val="both"/>
      </w:pPr>
      <w:r>
        <w:rPr>
          <w:rFonts w:ascii="Times New Roman" w:hAnsi="Times New Roman" w:cs="David"/>
          <w:b w:val="0"/>
          <w:bCs w:val="0"/>
          <w:sz w:val="24"/>
          <w:szCs w:val="24"/>
          <w:rtl w:val="1"/>
        </w:rPr>
        <w:t>הידע האמפירי הישראלי על יחסי סגל וכלואים מוגבל יותר. מחקר שבחן את הסביבה החברתית בבית הסוהר לנוער "אופק" על פי תפיסת האסירים לאורך חמש שנים הראה כי תפיסות הכלואים משתנות עם הזמן ואינן קבועות (גולדברג, 2012). מחקר אחר בחן את הקשר בין רמת הצפיפות בבתי סוהר פליליים בישראל ובין רמת האלימות הפיזית ולא מצא קשר עקבי (בן צבי וכרמל, 2013). הסקר הרחב ביותר בנושא נערך בשנת 2021 ושימש בסיס למחקר על מקומה של הלגיטימיות בקשר שבין תנאי המחיה ובין ההשתתפות בפעילות שיקומית (ועקנין, 2024). אף אחד מן המחקרים האלה לא בחן ישירות את הוותק באגף כמשתנה מסביר לתפיסת ההוגנות של הסגל. זהו הפער שהעבודה הנוכחית מבקשת להתחיל ולמלא.</w:t>
      </w:r>
    </w:p>
    <w:p>
      <w:pPr>
        <w:bidi/>
        <w:spacing w:line="480" w:lineRule="auto"/>
        <w:ind w:firstLine="482"/>
        <w:jc w:val="both"/>
      </w:pPr>
      <w:r>
        <w:rPr>
          <w:rFonts w:ascii="Times New Roman" w:hAnsi="Times New Roman" w:cs="David"/>
          <w:b w:val="0"/>
          <w:bCs w:val="0"/>
          <w:sz w:val="24"/>
          <w:szCs w:val="24"/>
          <w:rtl w:val="1"/>
        </w:rPr>
        <w:t>הערה מתודולוגית נדרשת כבר בשלב הזה. מחקרים באוכלוסיות כלואים מתמודדים עם שיעורי סירוב גבוהים ולא אקראיים, וסירוב כזה עלול להטות את הממצאים דווקא בכיוון של הערכת יתר לשביעות הרצון, משום שהנוטים לסרב הם לעיתים קרובות מי שעמדתם כלפי המערכת שלילית יותר (Baggio et al., 2023). בסקר שעליו מבוססים הנתונים הנוכחיים השתתפו כ-41% מן הכלואים הפליליים (ועקנין, 2024), ולכן יש לקרוא כל ממצא על לגיטימיות גבוהה בזהירות המתאימה.</w:t>
      </w:r>
    </w:p>
    <w:p>
      <w:pPr>
        <w:pStyle w:val="Heading2"/>
        <w:bidi/>
        <w:spacing w:before="240"/>
        <w:ind w:firstLine="0"/>
        <w:jc w:val="right"/>
      </w:pPr>
      <w:r>
        <w:rPr>
          <w:rFonts w:ascii="Times New Roman" w:hAnsi="Times New Roman" w:cs="David"/>
          <w:b w:val="1"/>
          <w:bCs w:val="1"/>
          <w:sz w:val="24"/>
          <w:szCs w:val="24"/>
          <w:rtl w:val="1"/>
        </w:rPr>
        <w:t>שאלת המחקר והשערות</w:t>
      </w:r>
    </w:p>
    <w:p>
      <w:pPr>
        <w:bidi/>
        <w:spacing w:line="480" w:lineRule="auto"/>
        <w:ind w:firstLine="482"/>
        <w:jc w:val="both"/>
      </w:pPr>
      <w:r>
        <w:rPr>
          <w:rFonts w:ascii="Times New Roman" w:hAnsi="Times New Roman" w:cs="David"/>
          <w:b w:val="0"/>
          <w:bCs w:val="0"/>
          <w:sz w:val="24"/>
          <w:szCs w:val="24"/>
          <w:rtl w:val="1"/>
        </w:rPr>
        <w:t>שאלת המחקר: באיזו מידה קיים קשר בין משך השהייה באגף ובין תפיסת ההוגנות והלגיטימיות של סגל הכליאה בקרב אסירים פליליים בישראל?</w:t>
      </w:r>
    </w:p>
    <w:p>
      <w:pPr>
        <w:bidi/>
        <w:spacing w:line="480" w:lineRule="auto"/>
        <w:ind w:firstLine="482"/>
        <w:jc w:val="both"/>
      </w:pPr>
      <w:r>
        <w:rPr>
          <w:rFonts w:ascii="Times New Roman" w:hAnsi="Times New Roman" w:cs="David"/>
          <w:b w:val="0"/>
          <w:bCs w:val="0"/>
          <w:sz w:val="24"/>
          <w:szCs w:val="24"/>
          <w:rtl w:val="1"/>
        </w:rPr>
        <w:t>לנוכח הפער בספרות מוצעות שתי השערות מתחרות ואחת משלימה. ההשערה הראשונה, הנגזרת מגישת ההיכרות וההתמסדות, היא שיימצא קשר חיובי בין משך השהייה באגף ובין תפיסת ההוגנות והלגיטימיות של הסגל, שכן היכרות מצטברת מפחיתה אי-ודאות ומייצרת יחסים אישיים (Crewe et al., 2023; Gonçalves et al., 2016). ההשערה השנייה, הנגזרת מגישת השחיקה, היא שיימצא קשר שלילי, שכן הצטברות חיכוכים ותפיסות הוגנות נמוכות מובילה להתרחקות מן הסגל (Murphy &amp; Barkworth, 2021). ההשערה השלישית היא שהקשר אינו ליניארי, ושעוצמתו תשתנה בין אגפים גם בתוך אותו מתקן, לנוכח ההבדלים הבין-אגפיים שנמצאו בממד היחסים עם הסגל (Hyatt et al., 2024).</w:t>
      </w:r>
    </w:p>
    <w:p>
      <w:pPr>
        <w:bidi/>
        <w:ind w:firstLine="0"/>
      </w:pPr>
      <w:r>
        <w:br w:type="page"/>
      </w:r>
    </w:p>
    <w:p>
      <w:pPr>
        <w:pStyle w:val="Heading1"/>
        <w:bidi/>
        <w:ind w:firstLine="0"/>
        <w:jc w:val="center"/>
      </w:pPr>
      <w:r>
        <w:rPr>
          <w:rFonts w:ascii="Times New Roman" w:hAnsi="Times New Roman" w:cs="David"/>
          <w:b w:val="1"/>
          <w:bCs w:val="1"/>
          <w:sz w:val="28"/>
          <w:szCs w:val="28"/>
          <w:rtl w:val="1"/>
        </w:rPr>
        <w:t>רשימת מקורות</w:t>
      </w:r>
    </w:p>
    <w:p>
      <w:pPr>
        <w:bidi/>
        <w:spacing w:line="480" w:lineRule="auto"/>
        <w:ind w:left="709" w:hanging="709"/>
        <w:jc w:val="right"/>
      </w:pPr>
      <w:r>
        <w:rPr>
          <w:rFonts w:ascii="Times New Roman" w:hAnsi="Times New Roman" w:cs="David"/>
          <w:b w:val="0"/>
          <w:bCs w:val="0"/>
          <w:sz w:val="24"/>
          <w:szCs w:val="24"/>
          <w:rtl w:val="1"/>
        </w:rPr>
        <w:t>בג"ץ 1892/14 האגודה לזכויות האזרח בישראל נ' השר לביטחון פנים (פורסם בנבו, 13.6.2017).</w:t>
      </w:r>
    </w:p>
    <w:p>
      <w:pPr>
        <w:bidi/>
        <w:spacing w:line="480" w:lineRule="auto"/>
        <w:ind w:left="709" w:hanging="709"/>
        <w:jc w:val="right"/>
      </w:pPr>
      <w:r>
        <w:rPr>
          <w:rFonts w:ascii="Times New Roman" w:hAnsi="Times New Roman" w:cs="David"/>
          <w:b w:val="0"/>
          <w:bCs w:val="0"/>
          <w:sz w:val="24"/>
          <w:szCs w:val="24"/>
          <w:rtl w:val="1"/>
        </w:rPr>
        <w:t>בן צבי, ק' וכרמל, ת' (2013). אלימות כלואה: הקשר בין רמת צפיפות בבתי סוהר פליליים בישראל לרמת האלימות הפיזית. צוהר לבית הסוהר, 15, 28-44.</w:t>
      </w:r>
    </w:p>
    <w:p>
      <w:pPr>
        <w:bidi/>
        <w:spacing w:line="480" w:lineRule="auto"/>
        <w:ind w:left="709" w:hanging="709"/>
        <w:jc w:val="right"/>
      </w:pPr>
      <w:r>
        <w:rPr>
          <w:rFonts w:ascii="Times New Roman" w:hAnsi="Times New Roman" w:cs="David"/>
          <w:b w:val="0"/>
          <w:bCs w:val="0"/>
          <w:sz w:val="24"/>
          <w:szCs w:val="24"/>
          <w:rtl w:val="1"/>
        </w:rPr>
        <w:t>גולדברג, א' (2012). בית הסוהר לנוער "אופק": הסביבה החברתית בכלא על פי תפיסת האסירים בין השנים 2001-2005. צוהר לבית הסוהר, 12, 34-49.</w:t>
      </w:r>
    </w:p>
    <w:p>
      <w:pPr>
        <w:bidi/>
        <w:spacing w:line="480" w:lineRule="auto"/>
        <w:ind w:left="709" w:hanging="709"/>
        <w:jc w:val="right"/>
      </w:pPr>
      <w:r>
        <w:rPr>
          <w:rFonts w:ascii="Times New Roman" w:hAnsi="Times New Roman" w:cs="David"/>
          <w:b w:val="0"/>
          <w:bCs w:val="0"/>
          <w:sz w:val="24"/>
          <w:szCs w:val="24"/>
          <w:rtl w:val="1"/>
        </w:rPr>
        <w:t>דוידסקו, ע' וולק, ד' (2015). תנאי כליאה של אסירים: בין רווחה לנוקשות [סקירת ספרות, פרסום מס' LR-02-2015]. שירות בתי הסוהר, מחלקת מחקר ואסטרטגיה.</w:t>
      </w:r>
    </w:p>
    <w:p>
      <w:pPr>
        <w:bidi/>
        <w:spacing w:line="480" w:lineRule="auto"/>
        <w:ind w:left="709" w:hanging="709"/>
        <w:jc w:val="right"/>
      </w:pPr>
      <w:r>
        <w:rPr>
          <w:rFonts w:ascii="Times New Roman" w:hAnsi="Times New Roman" w:cs="David"/>
          <w:b w:val="0"/>
          <w:bCs w:val="0"/>
          <w:sz w:val="24"/>
          <w:szCs w:val="24"/>
          <w:rtl w:val="1"/>
        </w:rPr>
        <w:t>ועקנין, י' (2024). בין שיקום ללגיטימיות: תפקידה של לגיטימיות בקשר שבין שביעות רצון מתנאי המחיה לשביעות רצון מפעילות חטו"ש בקרב כלואים פליליים בישראל. צוהר לבית הסוהר, 22, 62-77.</w:t>
      </w:r>
    </w:p>
    <w:p>
      <w:pPr>
        <w:bidi/>
        <w:spacing w:line="480" w:lineRule="auto"/>
        <w:ind w:left="709" w:hanging="709"/>
        <w:jc w:val="left"/>
      </w:pPr>
      <w:r>
        <w:rPr>
          <w:rFonts w:ascii="Times New Roman" w:hAnsi="Times New Roman" w:cs="David"/>
          <w:b w:val="0"/>
          <w:bCs w:val="0"/>
          <w:sz w:val="24"/>
          <w:szCs w:val="24"/>
        </w:rPr>
        <w:t>Baggio, S., Gonçalves, L., Heller, P., Wolff, H., &amp; Gétaz, L. (2023). Refusal to participate in research among hard-to-reach populations: The case of detained persons. PLoS ONE, 18(3), e0282083. https://doi.org/10.1371/journal.pone.0282083</w:t>
      </w:r>
    </w:p>
    <w:p>
      <w:pPr>
        <w:bidi/>
        <w:spacing w:line="480" w:lineRule="auto"/>
        <w:ind w:left="709" w:hanging="709"/>
        <w:jc w:val="left"/>
      </w:pPr>
      <w:r>
        <w:rPr>
          <w:rFonts w:ascii="Times New Roman" w:hAnsi="Times New Roman" w:cs="David"/>
          <w:b w:val="0"/>
          <w:bCs w:val="0"/>
          <w:sz w:val="24"/>
          <w:szCs w:val="24"/>
        </w:rPr>
        <w:t>Calles-Rubiales, N., &amp; Ibáñez del Prado, C. (2020). Influence of prisoners' mental health on the relational climate of prisons. Revista Española de Sanidad Penitenciaria, 22(3), 116-125. https://doi.org/10.18176/resp.00019</w:t>
      </w:r>
    </w:p>
    <w:p>
      <w:pPr>
        <w:bidi/>
        <w:spacing w:line="480" w:lineRule="auto"/>
        <w:ind w:left="709" w:hanging="709"/>
        <w:jc w:val="left"/>
      </w:pPr>
      <w:r>
        <w:rPr>
          <w:rFonts w:ascii="Times New Roman" w:hAnsi="Times New Roman" w:cs="David"/>
          <w:b w:val="0"/>
          <w:bCs w:val="0"/>
          <w:sz w:val="24"/>
          <w:szCs w:val="24"/>
        </w:rPr>
        <w:t>Crewe, B., Schliehe, A., &amp; Przybylska, D. A. (2023). "It causes a lot of problems": Relational ambiguities and dynamics between prisoners and staff in a women's prison. European Journal of Criminology, 20(3), 925-946. https://doi.org/10.1177/14773708221140870</w:t>
      </w:r>
    </w:p>
    <w:p>
      <w:pPr>
        <w:bidi/>
        <w:spacing w:line="480" w:lineRule="auto"/>
        <w:ind w:left="709" w:hanging="709"/>
        <w:jc w:val="left"/>
      </w:pPr>
      <w:r>
        <w:rPr>
          <w:rFonts w:ascii="Times New Roman" w:hAnsi="Times New Roman" w:cs="David"/>
          <w:b w:val="0"/>
          <w:bCs w:val="0"/>
          <w:sz w:val="24"/>
          <w:szCs w:val="24"/>
        </w:rPr>
        <w:t>Deambrogio, C. (2025). Procedural justice and prison legitimacy: Towards a democratic model of inmate participation. Oxford Journal of Legal Studies, 45(3), 801-820. https://doi.org/10.1093/ojls/gqaf013</w:t>
      </w:r>
    </w:p>
    <w:p>
      <w:pPr>
        <w:bidi/>
        <w:spacing w:line="480" w:lineRule="auto"/>
        <w:ind w:left="709" w:hanging="709"/>
        <w:jc w:val="left"/>
      </w:pPr>
      <w:r>
        <w:rPr>
          <w:rFonts w:ascii="Times New Roman" w:hAnsi="Times New Roman" w:cs="David"/>
          <w:b w:val="0"/>
          <w:bCs w:val="0"/>
          <w:sz w:val="24"/>
          <w:szCs w:val="24"/>
        </w:rPr>
        <w:t>Gonçalves, L. C., Endrass, J., Rossegger, A., &amp; Dirkzwager, A. J. E. (2016). A longitudinal study of mental health symptoms in young prisoners: Exploring the influence of personal factors and the correctional climate. BMC Psychiatry, 16, Article 91. https://doi.org/10.1186/s12888-016-0803-z</w:t>
      </w:r>
    </w:p>
    <w:p>
      <w:pPr>
        <w:bidi/>
        <w:spacing w:line="480" w:lineRule="auto"/>
        <w:ind w:left="709" w:hanging="709"/>
        <w:jc w:val="left"/>
      </w:pPr>
      <w:r>
        <w:rPr>
          <w:rFonts w:ascii="Times New Roman" w:hAnsi="Times New Roman" w:cs="David"/>
          <w:b w:val="0"/>
          <w:bCs w:val="0"/>
          <w:sz w:val="24"/>
          <w:szCs w:val="24"/>
        </w:rPr>
        <w:t>Hyatt, J. M., Andersen, S. N., &amp; van Tiem, B. (2024). Perceptions of incarcerated people: Prison conditions, public health, and justice in the United States. Journal of Public Health Policy, 45(3), 446-459. https://doi.org/10.1057/s41271-024-00496-z</w:t>
      </w:r>
    </w:p>
    <w:p>
      <w:pPr>
        <w:bidi/>
        <w:spacing w:line="480" w:lineRule="auto"/>
        <w:ind w:left="709" w:hanging="709"/>
        <w:jc w:val="left"/>
      </w:pPr>
      <w:r>
        <w:rPr>
          <w:rFonts w:ascii="Times New Roman" w:hAnsi="Times New Roman" w:cs="David"/>
          <w:b w:val="0"/>
          <w:bCs w:val="0"/>
          <w:sz w:val="24"/>
          <w:szCs w:val="24"/>
        </w:rPr>
        <w:t>Murphy, K., &amp; Barkworth, J. (2021). Procedural justice, posturing and defiant action: Exploring prisoner reactions to prison authority. Justice Quarterly, 38(3), 537-564. https://doi.org/10.1080/07418825.2019.1666905</w:t>
      </w:r>
    </w:p>
    <w:p>
      <w:pPr>
        <w:bidi/>
        <w:spacing w:line="480" w:lineRule="auto"/>
        <w:ind w:left="709" w:hanging="709"/>
        <w:jc w:val="left"/>
      </w:pPr>
      <w:r>
        <w:rPr>
          <w:rFonts w:ascii="Times New Roman" w:hAnsi="Times New Roman" w:cs="David"/>
          <w:b w:val="0"/>
          <w:bCs w:val="0"/>
          <w:sz w:val="24"/>
          <w:szCs w:val="24"/>
        </w:rPr>
        <w:t>Toma, R. A., Răducan, R. M., Matichescu, M. L., Andelin, E. I., &amp; Banse, R. (2025). Climate counts: A multilevel validation of the EssenCES in Romanian correctional settings. Frontiers in Psychology, 16, Article 1666516. https://doi.org/10.3389/fpsyg.2025.1666516</w:t>
      </w:r>
    </w:p>
    <w:p>
      <w:pPr>
        <w:bidi/>
        <w:spacing w:line="480" w:lineRule="auto"/>
        <w:ind w:left="709" w:hanging="709"/>
        <w:jc w:val="left"/>
      </w:pPr>
      <w:r>
        <w:rPr>
          <w:rFonts w:ascii="Times New Roman" w:hAnsi="Times New Roman" w:cs="David"/>
          <w:b w:val="0"/>
          <w:bCs w:val="0"/>
          <w:sz w:val="24"/>
          <w:szCs w:val="24"/>
        </w:rPr>
        <w:t>Tønseth, C., &amp; Bergsland, R. (2019). Prison education in Norway: The importance for work and life after release. Cogent Education, 6(1), Article 1628408. https://doi.org/10.1080/2331186X.2019.1628408</w:t>
      </w:r>
    </w:p>
    <w:p>
      <w:pPr>
        <w:bidi/>
        <w:spacing w:line="480" w:lineRule="auto"/>
        <w:ind w:left="709" w:hanging="709"/>
        <w:jc w:val="left"/>
      </w:pPr>
      <w:r>
        <w:rPr>
          <w:rFonts w:ascii="Times New Roman" w:hAnsi="Times New Roman" w:cs="David"/>
          <w:b w:val="0"/>
          <w:bCs w:val="0"/>
          <w:sz w:val="24"/>
          <w:szCs w:val="24"/>
        </w:rPr>
        <w:t>Van Ginneken, E. F. J. C., Palmen, H., Bosma, A. Q., Nieuwbeerta, P., &amp; Berghuis, M. L. (2018). The Life in Custody Study: The quality of prison life in Dutch prison regimes. Journal of Criminological Research, Policy and Practice, 4(4), 253-268. https://doi.org/10.1108/JCRPP-07-2018-0020</w:t>
      </w:r>
    </w:p>
    <w:sectPr w:rsidR="008A0036" w:rsidRPr="008A003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4D5"/>
    <w:multiLevelType w:val="hybridMultilevel"/>
    <w:tmpl w:val="B4E8BB1E"/>
    <w:lvl w:ilvl="0" w:tplc="25CEDC80">
      <w:start w:val="1"/>
      <w:numFmt w:val="bullet"/>
      <w:lvlText w:val="●"/>
      <w:lvlJc w:val="left"/>
      <w:pPr>
        <w:ind w:left="720" w:hanging="360"/>
      </w:pPr>
    </w:lvl>
    <w:lvl w:ilvl="1" w:tplc="93FC9F78">
      <w:start w:val="1"/>
      <w:numFmt w:val="bullet"/>
      <w:lvlText w:val="○"/>
      <w:lvlJc w:val="left"/>
      <w:pPr>
        <w:ind w:left="1440" w:hanging="360"/>
      </w:pPr>
    </w:lvl>
    <w:lvl w:ilvl="2" w:tplc="370E8E98">
      <w:start w:val="1"/>
      <w:numFmt w:val="bullet"/>
      <w:lvlText w:val="■"/>
      <w:lvlJc w:val="left"/>
      <w:pPr>
        <w:ind w:left="2160" w:hanging="360"/>
      </w:pPr>
    </w:lvl>
    <w:lvl w:ilvl="3" w:tplc="C0F28860">
      <w:start w:val="1"/>
      <w:numFmt w:val="bullet"/>
      <w:lvlText w:val="●"/>
      <w:lvlJc w:val="left"/>
      <w:pPr>
        <w:ind w:left="2880" w:hanging="360"/>
      </w:pPr>
    </w:lvl>
    <w:lvl w:ilvl="4" w:tplc="46FA3254">
      <w:start w:val="1"/>
      <w:numFmt w:val="bullet"/>
      <w:lvlText w:val="○"/>
      <w:lvlJc w:val="left"/>
      <w:pPr>
        <w:ind w:left="3600" w:hanging="360"/>
      </w:pPr>
    </w:lvl>
    <w:lvl w:ilvl="5" w:tplc="3378FEA6">
      <w:start w:val="1"/>
      <w:numFmt w:val="bullet"/>
      <w:lvlText w:val="■"/>
      <w:lvlJc w:val="left"/>
      <w:pPr>
        <w:ind w:left="4320" w:hanging="360"/>
      </w:pPr>
    </w:lvl>
    <w:lvl w:ilvl="6" w:tplc="D9F42030">
      <w:start w:val="1"/>
      <w:numFmt w:val="bullet"/>
      <w:lvlText w:val="●"/>
      <w:lvlJc w:val="left"/>
      <w:pPr>
        <w:ind w:left="5040" w:hanging="360"/>
      </w:pPr>
    </w:lvl>
    <w:lvl w:ilvl="7" w:tplc="555898B6">
      <w:start w:val="1"/>
      <w:numFmt w:val="bullet"/>
      <w:lvlText w:val="●"/>
      <w:lvlJc w:val="left"/>
      <w:pPr>
        <w:ind w:left="5760" w:hanging="360"/>
      </w:pPr>
    </w:lvl>
    <w:lvl w:ilvl="8" w:tplc="07C2E37E">
      <w:start w:val="1"/>
      <w:numFmt w:val="bullet"/>
      <w:lvlText w:val="●"/>
      <w:lvlJc w:val="left"/>
      <w:pPr>
        <w:ind w:left="6480" w:hanging="360"/>
      </w:pPr>
    </w:lvl>
  </w:abstractNum>
  <w:abstractNum w:abstractNumId="1" w15:restartNumberingAfterBreak="0">
    <w:nsid w:val="207B4A08"/>
    <w:multiLevelType w:val="hybridMultilevel"/>
    <w:tmpl w:val="95D8284A"/>
    <w:lvl w:ilvl="0" w:tplc="E7203E64">
      <w:start w:val="1"/>
      <w:numFmt w:val="bullet"/>
      <w:lvlText w:val="•"/>
      <w:lvlJc w:val="right"/>
      <w:pPr>
        <w:ind w:right="360" w:hanging="260"/>
      </w:pPr>
    </w:lvl>
    <w:lvl w:ilvl="1" w:tplc="DFE84BBC">
      <w:numFmt w:val="decimal"/>
      <w:lvlText w:val=""/>
      <w:lvlJc w:val="left"/>
    </w:lvl>
    <w:lvl w:ilvl="2" w:tplc="BFC46F14">
      <w:numFmt w:val="decimal"/>
      <w:lvlText w:val=""/>
      <w:lvlJc w:val="left"/>
    </w:lvl>
    <w:lvl w:ilvl="3" w:tplc="AE80134A">
      <w:numFmt w:val="decimal"/>
      <w:lvlText w:val=""/>
      <w:lvlJc w:val="left"/>
    </w:lvl>
    <w:lvl w:ilvl="4" w:tplc="5F4ED00C">
      <w:numFmt w:val="decimal"/>
      <w:lvlText w:val=""/>
      <w:lvlJc w:val="left"/>
    </w:lvl>
    <w:lvl w:ilvl="5" w:tplc="11DA19C6">
      <w:numFmt w:val="decimal"/>
      <w:lvlText w:val=""/>
      <w:lvlJc w:val="left"/>
    </w:lvl>
    <w:lvl w:ilvl="6" w:tplc="45AAF8FE">
      <w:numFmt w:val="decimal"/>
      <w:lvlText w:val=""/>
      <w:lvlJc w:val="left"/>
    </w:lvl>
    <w:lvl w:ilvl="7" w:tplc="E1564A9A">
      <w:numFmt w:val="decimal"/>
      <w:lvlText w:val=""/>
      <w:lvlJc w:val="left"/>
    </w:lvl>
    <w:lvl w:ilvl="8" w:tplc="49D62594">
      <w:numFmt w:val="decimal"/>
      <w:lvlText w:val=""/>
      <w:lvlJc w:val="left"/>
    </w:lvl>
  </w:abstractNum>
  <w:abstractNum w:abstractNumId="2" w15:restartNumberingAfterBreak="0">
    <w:nsid w:val="54632839"/>
    <w:multiLevelType w:val="hybridMultilevel"/>
    <w:tmpl w:val="46CC5252"/>
    <w:lvl w:ilvl="0" w:tplc="9FA893A0">
      <w:start w:val="1"/>
      <w:numFmt w:val="decimal"/>
      <w:pStyle w:val="a"/>
      <w:lvlText w:val="לוח %1."/>
      <w:lvlJc w:val="left"/>
      <w:pPr>
        <w:ind w:left="360" w:hanging="360"/>
      </w:pPr>
      <w:rPr>
        <w:rFonts w:ascii="Times New Roman" w:hAnsi="Times New Roman"/>
        <w:b/>
        <w:bCs/>
        <w:i w:val="0"/>
        <w:iCs w:val="0"/>
        <w:caps w:val="0"/>
        <w:smallCaps w:val="0"/>
        <w:strike w:val="0"/>
        <w:dstrike w:val="0"/>
        <w:noProof w:val="0"/>
        <w:vanish w:val="0"/>
        <w:color w:val="000000"/>
        <w:spacing w:val="0"/>
        <w:kern w:val="0"/>
        <w:position w:val="0"/>
        <w:u w:val="none"/>
        <w:effect w:val="none"/>
        <w:vertAlign w:val="baseline"/>
        <w:em w:val="none"/>
        <w:lang w:bidi="he-IL"/>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17445151">
    <w:abstractNumId w:val="0"/>
    <w:lvlOverride w:ilvl="0">
      <w:startOverride w:val="1"/>
    </w:lvlOverride>
  </w:num>
  <w:num w:numId="2" w16cid:durableId="17091396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0DD8"/>
    <w:rsid w:val="00080DD8"/>
    <w:rsid w:val="00127B5D"/>
    <w:rsid w:val="003D3D5C"/>
    <w:rsid w:val="005F0F7D"/>
    <w:rsid w:val="007377CA"/>
    <w:rsid w:val="00872690"/>
    <w:rsid w:val="008A0036"/>
    <w:rsid w:val="00AB4878"/>
    <w:rsid w:val="00B237FD"/>
    <w:rsid w:val="00BE6345"/>
    <w:rsid w:val="00D8797D"/>
    <w:rsid w:val="00FD2CA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44E90"/>
  <w15:docId w15:val="{49B31415-6339-4538-8686-3372CCD9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CA7"/>
    <w:pPr>
      <w:bidi/>
      <w:spacing w:after="120" w:line="360" w:lineRule="auto"/>
      <w:ind w:firstLine="340"/>
      <w:jc w:val="both"/>
    </w:pPr>
  </w:style>
  <w:style w:type="paragraph" w:styleId="Heading1">
    <w:name w:val="heading 1"/>
    <w:uiPriority w:val="9"/>
    <w:qFormat/>
    <w:rsid w:val="00FD2CA7"/>
    <w:pPr>
      <w:bidi/>
      <w:spacing w:before="320" w:after="160"/>
      <w:outlineLvl w:val="0"/>
    </w:pPr>
    <w:rPr>
      <w:b/>
      <w:bCs/>
      <w:color w:val="1B2A4A"/>
      <w:sz w:val="32"/>
      <w:szCs w:val="32"/>
    </w:rPr>
  </w:style>
  <w:style w:type="paragraph" w:styleId="Heading2">
    <w:name w:val="heading 2"/>
    <w:uiPriority w:val="9"/>
    <w:unhideWhenUsed/>
    <w:qFormat/>
    <w:rsid w:val="00FD2CA7"/>
    <w:pPr>
      <w:bidi/>
      <w:spacing w:before="240" w:after="120"/>
      <w:outlineLvl w:val="1"/>
    </w:pPr>
    <w:rPr>
      <w:b/>
      <w:bCs/>
      <w:sz w:val="27"/>
      <w:szCs w:val="27"/>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237FD"/>
    <w:pPr>
      <w:spacing w:after="100"/>
    </w:pPr>
  </w:style>
  <w:style w:type="paragraph" w:styleId="TOC2">
    <w:name w:val="toc 2"/>
    <w:basedOn w:val="Normal"/>
    <w:next w:val="Normal"/>
    <w:autoRedefine/>
    <w:uiPriority w:val="39"/>
    <w:unhideWhenUsed/>
    <w:rsid w:val="00B237FD"/>
    <w:pPr>
      <w:spacing w:after="100"/>
      <w:ind w:left="240"/>
    </w:pPr>
  </w:style>
  <w:style w:type="paragraph" w:styleId="TOC3">
    <w:name w:val="toc 3"/>
    <w:basedOn w:val="Normal"/>
    <w:next w:val="Normal"/>
    <w:autoRedefine/>
    <w:uiPriority w:val="39"/>
    <w:unhideWhenUsed/>
    <w:rsid w:val="00B237FD"/>
    <w:pPr>
      <w:spacing w:after="100"/>
      <w:ind w:left="480"/>
    </w:pPr>
  </w:style>
  <w:style w:type="paragraph" w:customStyle="1" w:styleId="a0">
    <w:name w:val="רגילה"/>
    <w:basedOn w:val="Normal"/>
    <w:link w:val="a1"/>
    <w:autoRedefine/>
    <w:qFormat/>
    <w:rsid w:val="00BE6345"/>
    <w:pPr>
      <w:spacing w:after="0"/>
      <w:ind w:firstLine="720"/>
    </w:pPr>
    <w:rPr>
      <w:rFonts w:ascii="Times New Roman" w:eastAsia="MS Mincho" w:hAnsi="Times New Roman"/>
      <w:lang w:val="en-GB"/>
    </w:rPr>
  </w:style>
  <w:style w:type="character" w:customStyle="1" w:styleId="a1">
    <w:name w:val="רגילה תו"/>
    <w:link w:val="a0"/>
    <w:locked/>
    <w:rsid w:val="00BE6345"/>
    <w:rPr>
      <w:rFonts w:ascii="Times New Roman" w:eastAsia="MS Mincho" w:hAnsi="Times New Roman"/>
      <w:lang w:val="en-GB"/>
    </w:rPr>
  </w:style>
  <w:style w:type="paragraph" w:customStyle="1" w:styleId="a">
    <w:name w:val="לוחות"/>
    <w:basedOn w:val="Caption"/>
    <w:next w:val="PlainText"/>
    <w:link w:val="Char"/>
    <w:autoRedefine/>
    <w:qFormat/>
    <w:rsid w:val="00BE6345"/>
    <w:pPr>
      <w:numPr>
        <w:numId w:val="2"/>
      </w:numPr>
      <w:spacing w:before="120" w:after="120" w:line="360" w:lineRule="auto"/>
    </w:pPr>
    <w:rPr>
      <w:rFonts w:ascii="Times New Roman" w:eastAsia="MS Mincho" w:hAnsi="Times New Roman"/>
      <w:b/>
      <w:bCs/>
      <w:i w:val="0"/>
      <w:iCs w:val="0"/>
      <w:color w:val="auto"/>
      <w:sz w:val="22"/>
      <w:szCs w:val="22"/>
    </w:rPr>
  </w:style>
  <w:style w:type="character" w:customStyle="1" w:styleId="Char">
    <w:name w:val="לוחות Char"/>
    <w:link w:val="a"/>
    <w:rsid w:val="00BE6345"/>
    <w:rPr>
      <w:rFonts w:ascii="Times New Roman" w:eastAsia="MS Mincho" w:hAnsi="Times New Roman"/>
      <w:b/>
      <w:bCs/>
      <w:sz w:val="22"/>
      <w:szCs w:val="22"/>
    </w:rPr>
  </w:style>
  <w:style w:type="paragraph" w:customStyle="1" w:styleId="pvalue">
    <w:name w:val="pvalue"/>
    <w:basedOn w:val="Normal"/>
    <w:link w:val="pvalueChar"/>
    <w:qFormat/>
    <w:rsid w:val="00BE6345"/>
    <w:pPr>
      <w:bidi w:val="0"/>
      <w:spacing w:after="240"/>
      <w:ind w:left="720" w:firstLine="0"/>
    </w:pPr>
    <w:rPr>
      <w:rFonts w:eastAsia="Times New Roman"/>
      <w:sz w:val="20"/>
      <w:szCs w:val="20"/>
      <w:lang w:val="en-GB"/>
    </w:rPr>
  </w:style>
  <w:style w:type="paragraph" w:customStyle="1" w:styleId="nispah">
    <w:name w:val="nispah"/>
    <w:basedOn w:val="Normal"/>
    <w:link w:val="nispahChar"/>
    <w:qFormat/>
    <w:rsid w:val="00BE6345"/>
    <w:pPr>
      <w:spacing w:after="0"/>
      <w:ind w:firstLine="0"/>
    </w:pPr>
    <w:rPr>
      <w:rFonts w:ascii="Times New Roman" w:eastAsia="MS Mincho" w:hAnsi="Times New Roman"/>
      <w:lang w:val="en-GB"/>
    </w:rPr>
  </w:style>
  <w:style w:type="character" w:customStyle="1" w:styleId="pvalueChar">
    <w:name w:val="pvalue Char"/>
    <w:link w:val="pvalue"/>
    <w:rsid w:val="00BE6345"/>
    <w:rPr>
      <w:rFonts w:eastAsia="Times New Roman"/>
      <w:sz w:val="20"/>
      <w:szCs w:val="20"/>
      <w:lang w:val="en-GB"/>
    </w:rPr>
  </w:style>
  <w:style w:type="character" w:customStyle="1" w:styleId="nispahChar">
    <w:name w:val="nispah Char"/>
    <w:link w:val="nispah"/>
    <w:rsid w:val="00BE6345"/>
    <w:rPr>
      <w:rFonts w:ascii="Times New Roman" w:eastAsia="MS Mincho" w:hAnsi="Times New Roman"/>
      <w:lang w:val="en-GB"/>
    </w:rPr>
  </w:style>
  <w:style w:type="paragraph" w:styleId="Caption">
    <w:name w:val="caption"/>
    <w:basedOn w:val="Normal"/>
    <w:next w:val="Normal"/>
    <w:uiPriority w:val="35"/>
    <w:semiHidden/>
    <w:unhideWhenUsed/>
    <w:qFormat/>
    <w:rsid w:val="00BE6345"/>
    <w:pPr>
      <w:spacing w:after="200" w:line="240" w:lineRule="auto"/>
    </w:pPr>
    <w:rPr>
      <w:i/>
      <w:iCs/>
      <w:color w:val="0E2841" w:themeColor="text2"/>
      <w:sz w:val="18"/>
      <w:szCs w:val="18"/>
    </w:rPr>
  </w:style>
  <w:style w:type="paragraph" w:styleId="PlainText">
    <w:name w:val="Plain Text"/>
    <w:basedOn w:val="Normal"/>
    <w:link w:val="PlainTextChar"/>
    <w:uiPriority w:val="99"/>
    <w:semiHidden/>
    <w:unhideWhenUsed/>
    <w:rsid w:val="00BE6345"/>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BE6345"/>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943</Words>
  <Characters>4716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כללי כתיבה אקדמית – מדריך לסמינריון תנאי כליאה</vt:lpstr>
    </vt:vector>
  </TitlesOfParts>
  <Company/>
  <LinksUpToDate>false</LinksUpToDate>
  <CharactersWithSpaces>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כללי כתיבה אקדמית – מדריך לסמינריון תנאי כליאה</dc:title>
  <dc:creator>ד"ר יוחנן ועקנין</dc:creator>
  <cp:lastModifiedBy>Yohanan Ouaknine</cp:lastModifiedBy>
  <cp:revision>4</cp:revision>
  <dcterms:created xsi:type="dcterms:W3CDTF">2026-08-04T04:39:00Z</dcterms:created>
  <dcterms:modified xsi:type="dcterms:W3CDTF">2026-08-04T04:40:00Z</dcterms:modified>
</cp:coreProperties>
</file>