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noProof/>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noProof/>
          <w:sz w:val="28"/>
          <w:szCs w:val="28"/>
          <w:rtl/>
        </w:rPr>
        <w:t xml:space="preserve">הקריה האקדמית אונו</w:t>
      </w:r>
    </w:p>
    <w:p>
      <w:pPr>
        <w:bidi/>
        <w:spacing w:after="700"/>
        <w:jc w:val="center"/>
      </w:pPr>
      <w:r>
        <w:rPr>
          <w:rFonts w:ascii="David" w:cs="David" w:eastAsia="David" w:hAnsi="David"/>
          <w:b w:val="false"/>
          <w:bCs w:val="false"/>
          <w:noProof/>
          <w:sz w:val="28"/>
          <w:szCs w:val="28"/>
          <w:rtl/>
        </w:rPr>
        <w:t xml:space="preserve">הפקולטה למשפטים</w:t>
      </w:r>
    </w:p>
    <w:p>
      <w:pPr>
        <w:bidi/>
        <w:spacing w:after="500"/>
        <w:jc w:val="center"/>
      </w:pPr>
      <w:r>
        <w:rPr>
          <w:rFonts w:ascii="David" w:cs="David" w:eastAsia="David" w:hAnsi="David"/>
          <w:b w:val="false"/>
          <w:bCs w:val="false"/>
          <w:noProof/>
          <w:sz w:val="26"/>
          <w:szCs w:val="26"/>
          <w:rtl/>
        </w:rPr>
        <w:t xml:space="preserve">עבודה סמינריונית</w:t>
      </w:r>
    </w:p>
    <w:p>
      <w:pPr>
        <w:bidi/>
        <w:spacing w:after="240"/>
        <w:jc w:val="center"/>
      </w:pPr>
      <w:r>
        <w:rPr>
          <w:rFonts w:ascii="David" w:cs="David" w:eastAsia="David" w:hAnsi="David"/>
          <w:b/>
          <w:bCs/>
          <w:noProof/>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noProof/>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noProof/>
          <w:sz w:val="26"/>
          <w:szCs w:val="26"/>
          <w:rtl/>
        </w:rPr>
        <w:t xml:space="preserve">מגיש/ה: ______________</w:t>
      </w:r>
    </w:p>
    <w:p>
      <w:pPr>
        <w:bidi/>
        <w:spacing w:after="120"/>
        <w:jc w:val="center"/>
      </w:pPr>
      <w:r>
        <w:rPr>
          <w:rFonts w:ascii="David" w:cs="David" w:eastAsia="David" w:hAnsi="David"/>
          <w:b w:val="false"/>
          <w:bCs w:val="false"/>
          <w:noProof/>
          <w:sz w:val="26"/>
          <w:szCs w:val="26"/>
          <w:rtl/>
        </w:rPr>
        <w:t xml:space="preserve">מספר זהות: ______________</w:t>
      </w:r>
    </w:p>
    <w:p>
      <w:pPr>
        <w:bidi/>
        <w:spacing w:after="120"/>
        <w:jc w:val="center"/>
      </w:pPr>
      <w:r>
        <w:rPr>
          <w:rFonts w:ascii="David" w:cs="David" w:eastAsia="David" w:hAnsi="David"/>
          <w:b w:val="false"/>
          <w:bCs w:val="false"/>
          <w:noProof/>
          <w:sz w:val="26"/>
          <w:szCs w:val="26"/>
          <w:rtl/>
        </w:rPr>
        <w:t xml:space="preserve">שם הקורס: ______________</w:t>
      </w:r>
    </w:p>
    <w:p>
      <w:pPr>
        <w:bidi/>
        <w:spacing w:after="700"/>
        <w:jc w:val="center"/>
      </w:pPr>
      <w:r>
        <w:rPr>
          <w:rFonts w:ascii="David" w:cs="David" w:eastAsia="David" w:hAnsi="David"/>
          <w:b w:val="false"/>
          <w:bCs w:val="false"/>
          <w:noProof/>
          <w:sz w:val="26"/>
          <w:szCs w:val="26"/>
          <w:rtl/>
        </w:rPr>
        <w:t xml:space="preserve">בהנחיית: ______________</w:t>
      </w:r>
    </w:p>
    <w:p>
      <w:pPr>
        <w:bidi/>
        <w:spacing w:after="700"/>
        <w:jc w:val="center"/>
      </w:pPr>
      <w:r>
        <w:rPr>
          <w:rFonts w:ascii="David" w:cs="David" w:eastAsia="David" w:hAnsi="David"/>
          <w:b w:val="false"/>
          <w:bCs w:val="false"/>
          <w:noProof/>
          <w:sz w:val="26"/>
          <w:szCs w:val="26"/>
          <w:rtl/>
        </w:rPr>
        <w:t xml:space="preserve">אלול התשפ"ו • אוגוסט 2026</w:t>
      </w:r>
    </w:p>
    <w:p>
      <w:pPr>
        <w:bidi/>
        <w:jc w:val="center"/>
      </w:pPr>
      <w:r>
        <w:rPr>
          <w:rFonts w:ascii="David" w:cs="David" w:eastAsia="David" w:hAnsi="David"/>
          <w:i/>
          <w:iCs/>
          <w:noProof/>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תקציר</w:t>
      </w:r>
    </w:p>
    <w:p>
      <w:pPr>
        <w:bidi/>
        <w:spacing w:after="160" w:line="360"/>
        <w:jc w:val="both"/>
      </w:pPr>
      <w:r>
        <w:rPr>
          <w:rFonts w:ascii="David" w:cs="David" w:eastAsia="David" w:hAnsi="David"/>
          <w:noProof/>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noProof/>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noProof/>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noProof/>
          <w:color w:val="000000"/>
          <w:sz w:val="32"/>
          <w:szCs w:val="32"/>
          <w:rtl/>
        </w:rPr>
        <w:t xml:space="preserve">מבוא</w:t>
      </w:r>
    </w:p>
    <w:p>
      <w:pPr>
        <w:bidi/>
        <w:spacing w:after="0" w:line="360"/>
        <w:jc w:val="both"/>
      </w:pPr>
      <w:r>
        <w:rPr>
          <w:rFonts w:ascii="David" w:cs="David" w:eastAsia="David" w:hAnsi="David"/>
          <w:noProof/>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noProof/>
          <w:sz w:val="24"/>
          <w:szCs w:val="24"/>
          <w:rtl/>
        </w:rPr>
        <w:t xml:space="preserve"> ואולם, המציאות הקניינית בחברה הערבית רחוקה מן האידיאל הרישומי: חלק ניכר מן המקרקעין ביישובים הערביים מוחזק ומועבר מדור לדור על יסוד הסכמות בעל פה, ייפויי כוח בלתי חוזרים ישנים וחלוקות משפחתיות בלתי כתובות, בלא שהעסקאות הושלמו ברישום ולעיתים אף בלא שדווחו לרשויות המס. כאשר פורץ סכסוך בתוך המשפחה, נדרש בית המשפט להכריע בזכויות על יסוד תשתית ראייתית חסרה.</w:t>
      </w:r>
    </w:p>
    <w:p>
      <w:pPr>
        <w:bidi/>
        <w:spacing w:after="0" w:line="360"/>
        <w:ind w:firstLine="420"/>
        <w:jc w:val="both"/>
      </w:pPr>
      <w:r>
        <w:rPr>
          <w:rFonts w:ascii="David" w:cs="David" w:eastAsia="David" w:hAnsi="David"/>
          <w:noProof/>
          <w:sz w:val="24"/>
          <w:szCs w:val="24"/>
          <w:rtl/>
        </w:rPr>
        <w:t xml:space="preserve">עבודה זו בוחנת, מתוך עמדה ביקורתית, כיצד מכריעים בתי המשפט בזכויות במקרקעין לא רשומים בסכסוכים אלה. הטענה המרכזית כפולה: ראשית, כי הדין הישראלי, זה של סעיפים 6–10 לחוק המקרקעין, מניח שוק נדל"ן מסחרי ואנונימי ומתעלם מפרקטיקות קהילתיות של החזקה והעברה; שנית, כי הכלים שפיתחה הפסיקה כדי למלא את החלל הם פתרונות בדיעבד, התלויים בשיקול דעת שיפוטי רחב, בעוד החסם המבני, "התניית הרישום" בהסדרת מס היסטורית, נותר על כנו. הטענות ייבחנו גם בראי משפט משווה: המשפט המקובל האנגלי, מקור היניקה של דוקטרינת הזכויות שביושר;</w:t>
      </w:r>
      <w:r>
        <w:rPr>
          <w:rStyle w:val="FootnoteReference"/>
        </w:rPr>
        <w:footnoteReference w:id="2"/>
      </w:r>
      <w:r>
        <w:rPr>
          <w:rFonts w:ascii="David" w:cs="David" w:eastAsia="David" w:hAnsi="David"/>
          <w:noProof/>
          <w:sz w:val="24"/>
          <w:szCs w:val="24"/>
          <w:rtl/>
        </w:rPr>
        <w:t xml:space="preserve"> המשפט המצרי, המתמודד עם שיעורי אי רישום עצומים; והמשפט השרעי, התשתית ההיסטורית שעליה צמחו דפוסי ההחזקה הבלתי פורמליים.</w:t>
      </w:r>
    </w:p>
    <w:p>
      <w:pPr>
        <w:pStyle w:val="Heading2"/>
        <w:bidi/>
        <w:spacing w:after="180" w:before="280"/>
      </w:pPr>
      <w:r>
        <w:rPr>
          <w:rFonts w:ascii="David" w:cs="David" w:eastAsia="David" w:hAnsi="David"/>
          <w:b/>
          <w:bCs/>
          <w:noProof/>
          <w:color w:val="000000"/>
          <w:sz w:val="28"/>
          <w:szCs w:val="28"/>
          <w:rtl/>
        </w:rPr>
        <w:t xml:space="preserve">שאלות המחקר</w:t>
      </w:r>
    </w:p>
    <w:p>
      <w:pPr>
        <w:bidi/>
        <w:spacing w:after="120" w:line="360"/>
        <w:jc w:val="both"/>
      </w:pPr>
      <w:r>
        <w:rPr>
          <w:rFonts w:ascii="David" w:cs="David" w:eastAsia="David" w:hAnsi="David"/>
          <w:b/>
          <w:bCs/>
          <w:noProof/>
          <w:sz w:val="24"/>
          <w:szCs w:val="24"/>
          <w:rtl/>
        </w:rPr>
        <w:t xml:space="preserve">א. </w:t>
      </w:r>
      <w:r>
        <w:rPr>
          <w:rFonts w:ascii="David" w:cs="David" w:eastAsia="David" w:hAnsi="David"/>
          <w:noProof/>
          <w:sz w:val="24"/>
          <w:szCs w:val="24"/>
          <w:rtl/>
        </w:rPr>
        <w:t xml:space="preserve">באילו כלים משפטיים וראייתיים מתמודדים בתי המשפט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20" w:line="360"/>
        <w:jc w:val="both"/>
      </w:pPr>
      <w:r>
        <w:rPr>
          <w:rFonts w:ascii="David" w:cs="David" w:eastAsia="David" w:hAnsi="David"/>
          <w:b/>
          <w:bCs/>
          <w:noProof/>
          <w:sz w:val="24"/>
          <w:szCs w:val="24"/>
          <w:rtl/>
        </w:rPr>
        <w:t xml:space="preserve">ב. </w:t>
      </w:r>
      <w:r>
        <w:rPr>
          <w:rFonts w:ascii="David" w:cs="David" w:eastAsia="David" w:hAnsi="David"/>
          <w:noProof/>
          <w:sz w:val="24"/>
          <w:szCs w:val="24"/>
          <w:rtl/>
        </w:rPr>
        <w:t xml:space="preserve">מהן ההשלכות הכלכליות של "התניית הרישום" בתשלום מיסי מקרקעין, מקום שמדובר בעסקה היסטורית משנות השבעים או השמונים שלא דווחה במועדה?</w:t>
      </w:r>
    </w:p>
    <w:p>
      <w:pPr>
        <w:bidi/>
        <w:spacing w:after="120" w:line="360"/>
        <w:jc w:val="both"/>
      </w:pPr>
      <w:r>
        <w:rPr>
          <w:rFonts w:ascii="David" w:cs="David" w:eastAsia="David" w:hAnsi="David"/>
          <w:b/>
          <w:bCs/>
          <w:noProof/>
          <w:sz w:val="24"/>
          <w:szCs w:val="24"/>
          <w:rtl/>
        </w:rPr>
        <w:t xml:space="preserve">ג. </w:t>
      </w:r>
      <w:r>
        <w:rPr>
          <w:rFonts w:ascii="David" w:cs="David" w:eastAsia="David" w:hAnsi="David"/>
          <w:noProof/>
          <w:sz w:val="24"/>
          <w:szCs w:val="24"/>
          <w:rtl/>
        </w:rPr>
        <w:t xml:space="preserve">מהו המשקל הראייתי שמעניק בית המשפט להיתר 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noProof/>
          <w:color w:val="000000"/>
          <w:sz w:val="28"/>
          <w:szCs w:val="28"/>
          <w:rtl/>
        </w:rPr>
        <w:t xml:space="preserve">מתודולוגיה</w:t>
      </w:r>
    </w:p>
    <w:p>
      <w:pPr>
        <w:bidi/>
        <w:spacing w:after="0" w:line="360"/>
        <w:jc w:val="both"/>
      </w:pPr>
      <w:r>
        <w:rPr>
          <w:rFonts w:ascii="David" w:cs="David" w:eastAsia="David" w:hAnsi="David"/>
          <w:noProof/>
          <w:sz w:val="24"/>
          <w:szCs w:val="24"/>
          <w:rtl/>
        </w:rPr>
        <w:t xml:space="preserve">העבודה משלבת ניתוח דוקטרינרי ביקורתי של החקיקה והפסיקה עם עיון משווה פונקציונלי, והיא בנויה על חמישה צעדי מחקר: מיפוי נורמטיבי וביקורת תפיסת "מסך המרשם"; ניתוח המענה הפסיקתי ובחינת יציבותו; שקלול ארגז הכלים הראייתי החלופי; ניתוח "המלכוד הכלכלי" שבחוקי המס; והעמדת הממצאים במבחן משווה.</w:t>
      </w:r>
      <w:r>
        <w:rPr>
          <w:rStyle w:val="FootnoteReference"/>
        </w:rPr>
        <w:footnoteReference w:id="3"/>
      </w:r>
      <w:r>
        <w:rPr>
          <w:rFonts w:ascii="David" w:cs="David" w:eastAsia="David" w:hAnsi="David"/>
          <w:noProof/>
          <w:sz w:val="24"/>
          <w:szCs w:val="24"/>
          <w:rtl/>
        </w:rPr>
        <w:t xml:space="preserve"> יוער גבול אחד: העבודה איננה מחקר אמפירי ואינה מתיימרת לכמת את היקף התופעה; טענותיה דוקטרינריות ומבניות, והנתונים המובאים בה משמשים רקע.</w:t>
      </w:r>
    </w:p>
    <w:p>
      <w:pPr>
        <w:pStyle w:val="Heading2"/>
        <w:bidi/>
        <w:spacing w:after="180" w:before="280"/>
      </w:pPr>
      <w:r>
        <w:rPr>
          <w:rFonts w:ascii="David" w:cs="David" w:eastAsia="David" w:hAnsi="David"/>
          <w:b/>
          <w:bCs/>
          <w:noProof/>
          <w:color w:val="000000"/>
          <w:sz w:val="28"/>
          <w:szCs w:val="28"/>
          <w:rtl/>
        </w:rPr>
        <w:t xml:space="preserve">מבנה העבודה</w:t>
      </w:r>
    </w:p>
    <w:p>
      <w:pPr>
        <w:bidi/>
        <w:spacing w:after="0" w:line="360"/>
        <w:jc w:val="both"/>
      </w:pPr>
      <w:r>
        <w:rPr>
          <w:rFonts w:ascii="David" w:cs="David" w:eastAsia="David" w:hAnsi="David"/>
          <w:b/>
          <w:bCs/>
          <w:noProof/>
          <w:sz w:val="24"/>
          <w:szCs w:val="24"/>
          <w:rtl/>
        </w:rPr>
        <w:t xml:space="preserve">פרק א</w:t>
      </w:r>
      <w:r>
        <w:rPr>
          <w:rFonts w:ascii="David" w:cs="David" w:eastAsia="David" w:hAnsi="David"/>
          <w:noProof/>
          <w:sz w:val="24"/>
          <w:szCs w:val="24"/>
          <w:rtl/>
        </w:rPr>
        <w:t xml:space="preserve"> מציג את עקרונות דיני המקרקעין ואת הביקורת על הנחות היסוד שלהם. </w:t>
      </w:r>
      <w:r>
        <w:rPr>
          <w:rFonts w:ascii="David" w:cs="David" w:eastAsia="David" w:hAnsi="David"/>
          <w:b/>
          <w:bCs/>
          <w:noProof/>
          <w:sz w:val="24"/>
          <w:szCs w:val="24"/>
          <w:rtl/>
        </w:rPr>
        <w:t xml:space="preserve">פרק ב</w:t>
      </w:r>
      <w:r>
        <w:rPr>
          <w:rFonts w:ascii="David" w:cs="David" w:eastAsia="David" w:hAnsi="David"/>
          <w:noProof/>
          <w:sz w:val="24"/>
          <w:szCs w:val="24"/>
          <w:rtl/>
        </w:rPr>
        <w:t xml:space="preserve"> עומד על מאפייני הסכסוכים הפנים משפחתיים בחברה הערבית. </w:t>
      </w:r>
      <w:r>
        <w:rPr>
          <w:rFonts w:ascii="David" w:cs="David" w:eastAsia="David" w:hAnsi="David"/>
          <w:b/>
          <w:bCs/>
          <w:noProof/>
          <w:sz w:val="24"/>
          <w:szCs w:val="24"/>
          <w:rtl/>
        </w:rPr>
        <w:t xml:space="preserve">פרק ג</w:t>
      </w:r>
      <w:r>
        <w:rPr>
          <w:rFonts w:ascii="David" w:cs="David" w:eastAsia="David" w:hAnsi="David"/>
          <w:noProof/>
          <w:sz w:val="24"/>
          <w:szCs w:val="24"/>
          <w:rtl/>
        </w:rPr>
        <w:t xml:space="preserve"> מנתח את התמודדות בתי המשפט עם היעדר הרישום ושואל אם מדובר בפתרון יציב או ב"פלסטר משפטי". </w:t>
      </w:r>
      <w:r>
        <w:rPr>
          <w:rFonts w:ascii="David" w:cs="David" w:eastAsia="David" w:hAnsi="David"/>
          <w:b/>
          <w:bCs/>
          <w:noProof/>
          <w:sz w:val="24"/>
          <w:szCs w:val="24"/>
          <w:rtl/>
        </w:rPr>
        <w:t xml:space="preserve">פרק ד</w:t>
      </w:r>
      <w:r>
        <w:rPr>
          <w:rFonts w:ascii="David" w:cs="David" w:eastAsia="David" w:hAnsi="David"/>
          <w:noProof/>
          <w:sz w:val="24"/>
          <w:szCs w:val="24"/>
          <w:rtl/>
        </w:rPr>
        <w:t xml:space="preserve"> בוחן את משקלם הראייתי של היתרי בנייה, ארנונה ומסמכים היסטוריים. </w:t>
      </w:r>
      <w:r>
        <w:rPr>
          <w:rFonts w:ascii="David" w:cs="David" w:eastAsia="David" w:hAnsi="David"/>
          <w:b/>
          <w:bCs/>
          <w:noProof/>
          <w:sz w:val="24"/>
          <w:szCs w:val="24"/>
          <w:rtl/>
        </w:rPr>
        <w:t xml:space="preserve">פרק ה</w:t>
      </w:r>
      <w:r>
        <w:rPr>
          <w:rFonts w:ascii="David" w:cs="David" w:eastAsia="David" w:hAnsi="David"/>
          <w:noProof/>
          <w:sz w:val="24"/>
          <w:szCs w:val="24"/>
          <w:rtl/>
        </w:rPr>
        <w:t xml:space="preserve"> מנתח את מנגנון התניית הרישום במס. </w:t>
      </w:r>
      <w:r>
        <w:rPr>
          <w:rFonts w:ascii="David" w:cs="David" w:eastAsia="David" w:hAnsi="David"/>
          <w:b/>
          <w:bCs/>
          <w:noProof/>
          <w:sz w:val="24"/>
          <w:szCs w:val="24"/>
          <w:rtl/>
        </w:rPr>
        <w:t xml:space="preserve">פרק ו</w:t>
      </w:r>
      <w:r>
        <w:rPr>
          <w:rFonts w:ascii="David" w:cs="David" w:eastAsia="David" w:hAnsi="David"/>
          <w:noProof/>
          <w:sz w:val="24"/>
          <w:szCs w:val="24"/>
          <w:rtl/>
        </w:rPr>
        <w:t xml:space="preserve"> מוקדש למשפט המשווה. </w:t>
      </w:r>
      <w:r>
        <w:rPr>
          <w:rFonts w:ascii="David" w:cs="David" w:eastAsia="David" w:hAnsi="David"/>
          <w:b/>
          <w:bCs/>
          <w:noProof/>
          <w:sz w:val="24"/>
          <w:szCs w:val="24"/>
          <w:rtl/>
        </w:rPr>
        <w:t xml:space="preserve">פרק ז</w:t>
      </w:r>
      <w:r>
        <w:rPr>
          <w:rFonts w:ascii="David" w:cs="David" w:eastAsia="David" w:hAnsi="David"/>
          <w:noProof/>
          <w:sz w:val="24"/>
          <w:szCs w:val="24"/>
          <w:rtl/>
        </w:rPr>
        <w:t xml:space="preserve"> הוא פרק הדיון, ובו הערכה ביקורתית כוללת וכיווני תיקון. העבודה נחתמת בסיכום ומסקנות.</w:t>
      </w:r>
    </w:p>
    <w:p>
      <w:pPr>
        <w:pStyle w:val="Heading1"/>
        <w:bidi/>
        <w:spacing w:after="240" w:before="360"/>
      </w:pPr>
      <w:r>
        <w:rPr>
          <w:rFonts w:ascii="David" w:cs="David" w:eastAsia="David" w:hAnsi="David"/>
          <w:b/>
          <w:bCs/>
          <w:noProof/>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noProof/>
          <w:color w:val="000000"/>
          <w:sz w:val="28"/>
          <w:szCs w:val="28"/>
          <w:rtl/>
        </w:rPr>
        <w:t xml:space="preserve">א.1 עקרון הרישום הקונסטיטוטיבי ומדרג הזכויות</w:t>
      </w:r>
    </w:p>
    <w:p>
      <w:pPr>
        <w:bidi/>
        <w:spacing w:after="0" w:line="360"/>
        <w:jc w:val="both"/>
      </w:pPr>
      <w:r>
        <w:rPr>
          <w:rFonts w:ascii="David" w:cs="David" w:eastAsia="David" w:hAnsi="David"/>
          <w:noProof/>
          <w:sz w:val="24"/>
          <w:szCs w:val="24"/>
          <w:rtl/>
        </w:rPr>
        <w:t xml:space="preserve">חוק המקרקעין עיצב את דיני הקניין סביב המרשם. סעיף 6 מגדיר "עסקה במקרקעין" כהקניה לפי רצון המקנה, למעט הורשה על פי צוואה; סעיף 7(א) קובע כי "עסקה במקרקעין טעונה רישום; העסקה נגמרת ברישום", וסעיף 7(ב) מוסיף כי עסקה שלא נגמרה ברישום "רואים אותה כהתחייבות לעשות עסקה".</w:t>
      </w:r>
      <w:r>
        <w:rPr>
          <w:rStyle w:val="FootnoteReference"/>
        </w:rPr>
        <w:footnoteReference w:id="4"/>
      </w:r>
      <w:r>
        <w:rPr>
          <w:rFonts w:ascii="David" w:cs="David" w:eastAsia="David" w:hAnsi="David"/>
          <w:noProof/>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5"/>
      </w:r>
      <w:r>
        <w:rPr>
          <w:rFonts w:ascii="David" w:cs="David" w:eastAsia="David" w:hAnsi="David"/>
          <w:noProof/>
          <w:sz w:val="24"/>
          <w:szCs w:val="24"/>
          <w:rtl/>
        </w:rPr>
        <w:t xml:space="preserve"> המסמך החוזי, יהא זה הסכם מכר, תצהיר מתנה או ייפוי כוח בלתי חוזר, אינו מקנה אפוא בעלות אלא זכות אובליגטורית בלבד, וההקניה נדחית עד הרישום.</w:t>
      </w:r>
    </w:p>
    <w:p>
      <w:pPr>
        <w:bidi/>
        <w:spacing w:after="0" w:line="360"/>
        <w:ind w:firstLine="420"/>
        <w:jc w:val="both"/>
      </w:pPr>
      <w:r>
        <w:rPr>
          <w:rFonts w:ascii="David" w:cs="David" w:eastAsia="David" w:hAnsi="David"/>
          <w:noProof/>
          <w:sz w:val="24"/>
          <w:szCs w:val="24"/>
          <w:rtl/>
        </w:rPr>
        <w:t xml:space="preserve">הרישום הוא גם מקור כוחה הראייתי של הזכות: לפי סעיף 125(א) הרישום במקרקעין מוסדרים הוא "ראיה חותכת לתכנו", ובמקרקעין לא מוסדרים ראיה לכאורה בלבד.</w:t>
      </w:r>
      <w:r>
        <w:rPr>
          <w:rStyle w:val="FootnoteReference"/>
        </w:rPr>
        <w:footnoteReference w:id="6"/>
      </w:r>
      <w:r>
        <w:rPr>
          <w:rFonts w:ascii="David" w:cs="David" w:eastAsia="David" w:hAnsi="David"/>
          <w:noProof/>
          <w:sz w:val="24"/>
          <w:szCs w:val="24"/>
          <w:rtl/>
        </w:rPr>
        <w:t xml:space="preserve"> על שני אלה נשען מנגנון תקנת השוק שבסעיף 10: מי שרכש בתמורה ובהסתמך בתום לב על הרישום, זכותו שרירה אף אם הרישום לא היה נכון.</w:t>
      </w:r>
      <w:r>
        <w:rPr>
          <w:rStyle w:val="FootnoteReference"/>
        </w:rPr>
        <w:footnoteReference w:id="7"/>
      </w:r>
      <w:r>
        <w:rPr>
          <w:rFonts w:ascii="David" w:cs="David" w:eastAsia="David" w:hAnsi="David"/>
          <w:noProof/>
          <w:sz w:val="24"/>
          <w:szCs w:val="24"/>
          <w:rtl/>
        </w:rPr>
        <w:t xml:space="preserve"> ובצדם ניצבת הערת האזהרה שבסעיפים 126–127, כלי הביניים המגשר בין החיוב לקניין: משנרשמה, לא תירשם עסקה סותרת ועיקול מאוחר לא יפגע בזכאי.</w:t>
      </w:r>
      <w:r>
        <w:rPr>
          <w:rStyle w:val="FootnoteReference"/>
        </w:rPr>
        <w:footnoteReference w:id="8"/>
      </w:r>
      <w:r>
        <w:rPr>
          <w:rFonts w:ascii="David" w:cs="David" w:eastAsia="David" w:hAnsi="David"/>
          <w:noProof/>
          <w:sz w:val="24"/>
          <w:szCs w:val="24"/>
          <w:rtl/>
        </w:rPr>
        <w:t xml:space="preserve"> ברקע ניצבת ההבחנה בין הזכות הקניינית, הפועלת כלפי כולי עלמא, לבין הזכות האישית.</w:t>
      </w:r>
      <w:r>
        <w:rPr>
          <w:rStyle w:val="FootnoteReference"/>
        </w:rPr>
        <w:footnoteReference w:id="9"/>
      </w:r>
      <w:r>
        <w:rPr>
          <w:rFonts w:ascii="David" w:cs="David" w:eastAsia="David" w:hAnsi="David"/>
          <w:noProof/>
          <w:sz w:val="24"/>
          <w:szCs w:val="24"/>
          <w:rtl/>
        </w:rPr>
        <w:t xml:space="preserve"> המחזיק הבלתי רשום חי בין שני הקצוות: הדין מסווג את זכותו כאישית, אך חייו מתנהלים כשל בעלים.</w:t>
      </w:r>
    </w:p>
    <w:p>
      <w:pPr>
        <w:pStyle w:val="Heading2"/>
        <w:bidi/>
        <w:spacing w:after="180" w:before="280"/>
      </w:pPr>
      <w:r>
        <w:rPr>
          <w:rFonts w:ascii="David" w:cs="David" w:eastAsia="David" w:hAnsi="David"/>
          <w:b/>
          <w:bCs/>
          <w:noProof/>
          <w:color w:val="000000"/>
          <w:sz w:val="28"/>
          <w:szCs w:val="28"/>
          <w:rtl/>
        </w:rPr>
        <w:t xml:space="preserve">א.2 מקרקעין מוסדרים ושאינם מוסדרים</w:t>
      </w:r>
    </w:p>
    <w:p>
      <w:pPr>
        <w:bidi/>
        <w:spacing w:after="0" w:line="360"/>
        <w:jc w:val="both"/>
      </w:pPr>
      <w:r>
        <w:rPr>
          <w:rFonts w:ascii="David" w:cs="David" w:eastAsia="David" w:hAnsi="David"/>
          <w:noProof/>
          <w:sz w:val="24"/>
          <w:szCs w:val="24"/>
          <w:rtl/>
        </w:rPr>
        <w:t xml:space="preserve">שיטת הרישום דואלית. לצד פנקסי הזכויות של המקרקעין המוסדרים, פרי הליכי הסדר שמקורם בפקודה המנדטורית משנת 1928,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noProof/>
          <w:sz w:val="24"/>
          <w:szCs w:val="24"/>
          <w:rtl/>
        </w:rPr>
        <w:t xml:space="preserve"> ההבדל מבני: פנקס הזכויות מאורגן לפי הנכס, ולכל חלקה דף המרכז את זכויותיה, ואילו פנקס השטרות מאורגן לפי העסקאות ומחייב התחקות ידנית אחר שרשרת שטרות. סעיף 81 לפקודת ההסדר מוסיף כי הרישום בעקבות ההסדר מבטל כל זכות הסותרת אותו, ובכך הפך את אי ההשתתפות בהליכים לאובדן זכויות.</w:t>
      </w:r>
      <w:r>
        <w:rPr>
          <w:rStyle w:val="FootnoteReference"/>
        </w:rPr>
        <w:footnoteReference w:id="11"/>
      </w:r>
      <w:r>
        <w:rPr>
          <w:rFonts w:ascii="David" w:cs="David" w:eastAsia="David" w:hAnsi="David"/>
          <w:noProof/>
          <w:sz w:val="24"/>
          <w:szCs w:val="24"/>
          <w:rtl/>
        </w:rPr>
        <w:t xml:space="preserve"> לדואליות נפקות ישירה: במקרקעין מוסדרים ניצב הטוען לזכות בלתי רשומה מול "ראיה חותכת" ומול שלילת ההתיישנות שבסעיף 159(ב); ובמקרקעין המצויים בהליכי הסדר מתרכזות התביעות בידי פקיד ההסדר, ואף הערת אזהרה אינה ניתנת לרישום עד תומם.</w:t>
      </w:r>
      <w:r>
        <w:rPr>
          <w:rStyle w:val="FootnoteReference"/>
        </w:rPr>
        <w:footnoteReference w:id="12"/>
      </w:r>
      <w:r>
        <w:rPr>
          <w:rFonts w:ascii="David" w:cs="David" w:eastAsia="David" w:hAnsi="David"/>
          <w:noProof/>
          <w:sz w:val="24"/>
          <w:szCs w:val="24"/>
          <w:rtl/>
        </w:rPr>
        <w:t xml:space="preserve"> לכך חשיבות להבנת התופעה: ביישובים שבהם ההסדר לא הושלם, אי הרישום איננו בחירה של המשפחה אלא מגבלה של הדין, שאינו מעמיד לרשותה כלי רישום כלל.</w:t>
      </w:r>
    </w:p>
    <w:p>
      <w:pPr>
        <w:pStyle w:val="Heading2"/>
        <w:bidi/>
        <w:spacing w:after="180" w:before="280"/>
      </w:pPr>
      <w:r>
        <w:rPr>
          <w:rFonts w:ascii="David" w:cs="David" w:eastAsia="David" w:hAnsi="David"/>
          <w:b/>
          <w:bCs/>
          <w:noProof/>
          <w:color w:val="000000"/>
          <w:sz w:val="28"/>
          <w:szCs w:val="28"/>
          <w:rtl/>
        </w:rPr>
        <w:t xml:space="preserve">א.3 ביקורת: "מסך המרשם" והנחת השוק המסחרי</w:t>
      </w:r>
    </w:p>
    <w:p>
      <w:pPr>
        <w:bidi/>
        <w:spacing w:after="0" w:line="360"/>
        <w:jc w:val="both"/>
      </w:pPr>
      <w:r>
        <w:rPr>
          <w:rFonts w:ascii="David" w:cs="David" w:eastAsia="David" w:hAnsi="David"/>
          <w:noProof/>
          <w:sz w:val="24"/>
          <w:szCs w:val="24"/>
          <w:rtl/>
        </w:rPr>
        <w:t xml:space="preserve">המבנה שתואר, רישום קונסטיטוטיבי, כתב מהותי, ראיה חותכת ותקנת שוק, קוהרנטי להפליא, אך קוהרנטיותו נשענת על הנחה סמויה: שוק נדל"ן מודרני ואנונימי, שבו צדדים זרים מתקשרים באמצעות עורכי דין, בודקים נסח ומשלימים רישום בתוך חודשים. אלא שהחוק החיל את המבנה, באחידות עיוורת, גם על מציאות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המסתיר את מערך הזכויות החי יותר משהוא משקף אותו.</w:t>
      </w:r>
      <w:r>
        <w:rPr>
          <w:rStyle w:val="FootnoteReference"/>
        </w:rPr>
        <w:footnoteReference w:id="13"/>
      </w:r>
    </w:p>
    <w:p>
      <w:pPr>
        <w:bidi/>
        <w:spacing w:after="0" w:line="360"/>
        <w:ind w:firstLine="420"/>
        <w:jc w:val="both"/>
      </w:pPr>
      <w:r>
        <w:rPr>
          <w:rFonts w:ascii="David" w:cs="David" w:eastAsia="David" w:hAnsi="David"/>
          <w:noProof/>
          <w:sz w:val="24"/>
          <w:szCs w:val="24"/>
          <w:rtl/>
        </w:rPr>
        <w:t xml:space="preserve">שלוש תוצאות נובעות מכך: חלוקתית, שכן הגנות החוק מוענקות למי שפועל בדפוסי השוק המסחרי ונשללות ממי שפועל בדפוסים קהילתיים, וחוק הנחזה ניטרלי מקצה את סיכוני האכיפה לקבוצות מובחנות; מוסדית, שכן משאין הדין הפורמלי נותן מענה נאלצת הפסיקה לפתח דינים מקבילים, גמישים אך בלתי צפויים, כפי שיפורט בפרק ג; ותודעתית, שכן מי שאינו יכול להרשות לעצמו את מחיר הכניסה למרשם חדל לראות בו כתובת. ודוק: הביקורת אינה מכוונת נגד רעיון המרשם, אלא נגד ההנחה שדי בקביעת החובה כדי שהרישום יתרחש.</w:t>
      </w:r>
    </w:p>
    <w:p>
      <w:pPr>
        <w:pStyle w:val="Heading1"/>
        <w:bidi/>
        <w:spacing w:after="240" w:before="360"/>
      </w:pPr>
      <w:r>
        <w:rPr>
          <w:rFonts w:ascii="David" w:cs="David" w:eastAsia="David" w:hAnsi="David"/>
          <w:b/>
          <w:bCs/>
          <w:noProof/>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noProof/>
          <w:color w:val="000000"/>
          <w:sz w:val="28"/>
          <w:szCs w:val="28"/>
          <w:rtl/>
        </w:rPr>
        <w:t xml:space="preserve">ב.1 השורשים ההיסטוריים: מן המוּשאע אל הטאבו</w:t>
      </w:r>
    </w:p>
    <w:p>
      <w:pPr>
        <w:bidi/>
        <w:spacing w:after="0" w:line="360"/>
        <w:jc w:val="both"/>
      </w:pPr>
      <w:r>
        <w:rPr>
          <w:rFonts w:ascii="David" w:cs="David" w:eastAsia="David" w:hAnsi="David"/>
          <w:noProof/>
          <w:sz w:val="24"/>
          <w:szCs w:val="24"/>
          <w:rtl/>
        </w:rPr>
        <w:t xml:space="preserve">תופעת אי הרישום אינה "עצלות רישומית" אלא תוצר היסטורי ומבני. חוק הקרקעות העות׳מאני משנת 1858 סיווג את הקרקעות לקטגוריות (מוּלְכּ, מירי, וַקְף, מַתְרוּכֶּה ומַוַואת) וחייב רישום בספרי הטאבו בעבירת קרקע מסוג מירי,</w:t>
      </w:r>
      <w:r>
        <w:rPr>
          <w:rStyle w:val="FootnoteReference"/>
        </w:rPr>
        <w:footnoteReference w:id="14"/>
      </w:r>
      <w:r>
        <w:rPr>
          <w:rFonts w:ascii="David" w:cs="David" w:eastAsia="David" w:hAnsi="David"/>
          <w:noProof/>
          <w:sz w:val="24"/>
          <w:szCs w:val="24"/>
          <w:rtl/>
        </w:rPr>
        <w:t xml:space="preserve"> אלא שבפועל נמנעו רבים מרישום בשל מס הרישום, החשש מגיוס ומחשיפה לשלטונות, והנוהג לרשום על שם נציג המשפחה או החַמוּלָה; ודפוס ה"מוּשאע", בעלות משותפת בלתי מחולקת המעובדת ברוטציה או בחלוקה פנימית מוסכמת, הנציח אף הוא את הפער בין ההחזקה לרישום.</w:t>
      </w:r>
      <w:r>
        <w:rPr>
          <w:rStyle w:val="FootnoteReference"/>
        </w:rPr>
        <w:footnoteReference w:id="15"/>
      </w:r>
      <w:r>
        <w:rPr>
          <w:rFonts w:ascii="David" w:cs="David" w:eastAsia="David" w:hAnsi="David"/>
          <w:noProof/>
          <w:sz w:val="24"/>
          <w:szCs w:val="24"/>
          <w:rtl/>
        </w:rPr>
        <w:t xml:space="preserve"> הליכי ההסדר, המנדטוריים והישראליים, פעלו ביישובים ערביים באופן חלקי בלבד, ובאחרים הושלמו תוך רישום קרקעות על שם המדינה ורשות הפיתוח.</w:t>
      </w:r>
      <w:r>
        <w:rPr>
          <w:rStyle w:val="FootnoteReference"/>
        </w:rPr>
        <w:footnoteReference w:id="16"/>
      </w:r>
      <w:r>
        <w:rPr>
          <w:rFonts w:ascii="David" w:cs="David" w:eastAsia="David" w:hAnsi="David"/>
          <w:noProof/>
          <w:sz w:val="24"/>
          <w:szCs w:val="24"/>
          <w:rtl/>
        </w:rPr>
        <w:t xml:space="preserve"> התולדה ניכרת עד היום, ובכל גלגוליה משותף אחד: המרשם חדל לתאר את המציאות זמן רב לפני שפרץ הסכסוך.</w:t>
      </w:r>
    </w:p>
    <w:p>
      <w:pPr>
        <w:pStyle w:val="Heading2"/>
        <w:bidi/>
        <w:spacing w:after="180" w:before="280"/>
      </w:pPr>
      <w:r>
        <w:rPr>
          <w:rFonts w:ascii="David" w:cs="David" w:eastAsia="David" w:hAnsi="David"/>
          <w:b/>
          <w:bCs/>
          <w:noProof/>
          <w:color w:val="000000"/>
          <w:sz w:val="28"/>
          <w:szCs w:val="28"/>
          <w:rtl/>
        </w:rPr>
        <w:t xml:space="preserve">ב.2 דפוסי ההעברה הבלתי פורמליים: ייפוי הכוח, המתנה שבעל פה והחלוקה הפנימית</w:t>
      </w:r>
    </w:p>
    <w:p>
      <w:pPr>
        <w:bidi/>
        <w:spacing w:after="0" w:line="360"/>
        <w:jc w:val="both"/>
      </w:pPr>
      <w:r>
        <w:rPr>
          <w:rFonts w:ascii="David" w:cs="David" w:eastAsia="David" w:hAnsi="David"/>
          <w:noProof/>
          <w:sz w:val="24"/>
          <w:szCs w:val="24"/>
          <w:rtl/>
        </w:rPr>
        <w:t xml:space="preserve">על המצע ההיסטורי נשתלו שלושה גורמים מודרניים. הראשון, דיני המס: הרישום מותנה, כמפורט בפרק ה, בדיווח ובתשלום, ובמשפחות שבהן העסקאות לא דווחו עלות ההסדרה מרתיעה עד היום. השני, התרבות המשפטית הפנים משפחתית: העברות בין אב לבניו או בין אחים נתפסות כעניין שאינו טעון פורמליזציה, ולכל היותר נערך ייפוי כוח נוטריוני בלתי חוזר. והשלישי, מגבלות תכנוניות המקשות על פיצול חלקות ורישום חלוקות בעין.</w:t>
      </w:r>
      <w:r>
        <w:rPr>
          <w:rStyle w:val="FootnoteReference"/>
        </w:rPr>
        <w:footnoteReference w:id="17"/>
      </w:r>
      <w:r>
        <w:rPr>
          <w:rFonts w:ascii="David" w:cs="David" w:eastAsia="David" w:hAnsi="David"/>
          <w:noProof/>
          <w:sz w:val="24"/>
          <w:szCs w:val="24"/>
          <w:rtl/>
        </w:rPr>
        <w:t xml:space="preserve"> התוצאה: שכבות של עסקאות, מכר, מתנה, ירושה וחלוקה, שכולן "תלויות באוויר" האובליגטורי ואינן נראות במרשם.</w:t>
      </w:r>
      <w:r>
        <w:rPr>
          <w:rStyle w:val="FootnoteReference"/>
        </w:rPr>
        <w:footnoteReference w:id="18"/>
      </w:r>
    </w:p>
    <w:p>
      <w:pPr>
        <w:bidi/>
        <w:spacing w:after="0" w:line="360"/>
        <w:ind w:firstLine="420"/>
        <w:jc w:val="both"/>
      </w:pPr>
      <w:r>
        <w:rPr>
          <w:rFonts w:ascii="David" w:cs="David" w:eastAsia="David" w:hAnsi="David"/>
          <w:noProof/>
          <w:sz w:val="24"/>
          <w:szCs w:val="24"/>
          <w:rtl/>
        </w:rPr>
        <w:t xml:space="preserve">ההקשר הדמוגרפי מבהיר את סדרי הגודל: בסוף 2022 מנתה האוכלוסייה הערבית כ-2.04 מיליון נפש, כ-21.1% מכלל האוכלוסייה, וכשלושה רבעים מהם מתגוררים ביישובים הומוגניים.</w:t>
      </w:r>
      <w:r>
        <w:rPr>
          <w:rStyle w:val="FootnoteReference"/>
        </w:rPr>
        <w:footnoteReference w:id="19"/>
      </w:r>
      <w:r>
        <w:rPr>
          <w:rFonts w:ascii="David" w:cs="David" w:eastAsia="David" w:hAnsi="David"/>
          <w:noProof/>
          <w:sz w:val="24"/>
          <w:szCs w:val="24"/>
          <w:rtl/>
        </w:rPr>
        <w:t xml:space="preserve"> הקניין המשפחתי איננו נכס כלכלי גרידא אלא מנגנון לשימור זהות וטריטוריה, והמבנה המרחבי של השכונה החמולתית משקף את האילן המשפחתי.</w:t>
      </w:r>
      <w:r>
        <w:rPr>
          <w:rStyle w:val="FootnoteReference"/>
        </w:rPr>
        <w:footnoteReference w:id="20"/>
      </w:r>
      <w:r>
        <w:rPr>
          <w:rFonts w:ascii="David" w:cs="David" w:eastAsia="David" w:hAnsi="David"/>
          <w:noProof/>
          <w:sz w:val="24"/>
          <w:szCs w:val="24"/>
          <w:rtl/>
        </w:rPr>
        <w:t xml:space="preserve"> מחקר שנערך בארבעה יישובים ערביים ודרוזיים מצא כי שוק הקרקעות המקומי מתפקד כתת שוק נבדל, המעוצב במידה מכרעת על ידי עסקאות פנים משפחתיות בלתי פורמליות וזכויות בלתי מוסדרות.</w:t>
      </w:r>
      <w:r>
        <w:rPr>
          <w:rStyle w:val="FootnoteReference"/>
        </w:rPr>
        <w:footnoteReference w:id="21"/>
      </w:r>
    </w:p>
    <w:p>
      <w:pPr>
        <w:pStyle w:val="Heading2"/>
        <w:bidi/>
        <w:spacing w:after="180" w:before="280"/>
      </w:pPr>
      <w:r>
        <w:rPr>
          <w:rFonts w:ascii="David" w:cs="David" w:eastAsia="David" w:hAnsi="David"/>
          <w:b/>
          <w:bCs/>
          <w:noProof/>
          <w:color w:val="000000"/>
          <w:sz w:val="28"/>
          <w:szCs w:val="28"/>
          <w:rtl/>
        </w:rPr>
        <w:t xml:space="preserve">ב.3 אנטומיה של הסכסוך הטיפוסי</w:t>
      </w:r>
    </w:p>
    <w:p>
      <w:pPr>
        <w:bidi/>
        <w:spacing w:after="0" w:line="360"/>
        <w:jc w:val="both"/>
      </w:pPr>
      <w:r>
        <w:rPr>
          <w:rFonts w:ascii="David" w:cs="David" w:eastAsia="David" w:hAnsi="David"/>
          <w:noProof/>
          <w:sz w:val="24"/>
          <w:szCs w:val="24"/>
          <w:rtl/>
        </w:rPr>
        <w:t xml:space="preserve">הסכסוך הטיפוסי מבשיל בשלושה שלבים. ב"שלב ההרמוניה" מתבצעת ההעברה הבלתי פורמלית: האב מחלק בעל פה את חלקותיו בין בניו, או מוכר לאחיו חלקה כנגד ייפוי כוח; הכל יודעים, איש אינו רושם. ב"שלב ההשקעה" בונה המקבל את ביתו, מוציא היתר בהסכמת המשפחה ומשלם ארנונה; ההסתמכות מעמיקה, והתיעוד היחיד הוא מנהלי ונסיבתי. ב"שלב הקרע" נפטר המקנה, ובני הדור השני או השלישי, שלא היו צד להסכמות, מגלים כי המרשם או צו הירושה מקנים להם על הנייר את שחולק זה מכבר בפועל; והתביעה מוגשת עשרות שנים לאחר האירועים, כשעדי המפתח אינם עוד בין החיים.</w:t>
      </w:r>
      <w:r>
        <w:rPr>
          <w:rStyle w:val="FootnoteReference"/>
        </w:rPr>
        <w:footnoteReference w:id="22"/>
      </w:r>
    </w:p>
    <w:p>
      <w:pPr>
        <w:bidi/>
        <w:spacing w:after="0" w:line="360"/>
        <w:ind w:firstLine="420"/>
        <w:jc w:val="both"/>
      </w:pPr>
      <w:r>
        <w:rPr>
          <w:rFonts w:ascii="David" w:cs="David" w:eastAsia="David" w:hAnsi="David"/>
          <w:noProof/>
          <w:sz w:val="24"/>
          <w:szCs w:val="24"/>
          <w:rtl/>
        </w:rPr>
        <w:t xml:space="preserve">לשלב הקרע דפוס דיוני אופייני: התביעה מנוסחת תכופות כתביעת סילוק יד, המציגה את המחזיק כפולש אף שברקע ניצבת הרשאה משפחתית רבת שנים, והנתבע משיב בטענת בעלות מכוח העסקה ההיסטורית.</w:t>
      </w:r>
      <w:r>
        <w:rPr>
          <w:rStyle w:val="FootnoteReference"/>
        </w:rPr>
        <w:footnoteReference w:id="23"/>
      </w:r>
      <w:r>
        <w:rPr>
          <w:rFonts w:ascii="David" w:cs="David" w:eastAsia="David" w:hAnsi="David"/>
          <w:noProof/>
          <w:sz w:val="24"/>
          <w:szCs w:val="24"/>
          <w:rtl/>
        </w:rPr>
        <w:t xml:space="preserve"> שלושה מאפיינים מבחינים סכסוך זה מסכסוך מסחרי: היעדר תיעוד הוא הנורמה ולא החריג, ולכן אין להסיק ממנו על אמינות הטענות; הצדדים כבולים זה לזה גם לאחר ההכרעה, ולכן להכרעה בינארית מחיר חברתי מתמשך; וברקע מרחפת תמיד שאלת המס. על רקע אלה ייבחן להלן ארגז הכלים שפיתחו בתי המשפט.</w:t>
      </w:r>
    </w:p>
    <w:p>
      <w:pPr>
        <w:pStyle w:val="Heading1"/>
        <w:bidi/>
        <w:spacing w:after="240" w:before="360"/>
      </w:pPr>
      <w:r>
        <w:rPr>
          <w:rFonts w:ascii="David" w:cs="David" w:eastAsia="David" w:hAnsi="David"/>
          <w:b/>
          <w:bCs/>
          <w:noProof/>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noProof/>
          <w:color w:val="000000"/>
          <w:sz w:val="28"/>
          <w:szCs w:val="28"/>
          <w:rtl/>
        </w:rPr>
        <w:t xml:space="preserve">ג.1 עסקה שלא נגמרה ברישום: מהתחייבות אובליגטורית לזכות מעין קניינית</w:t>
      </w:r>
    </w:p>
    <w:p>
      <w:pPr>
        <w:bidi/>
        <w:spacing w:after="0" w:line="360"/>
        <w:jc w:val="both"/>
      </w:pPr>
      <w:r>
        <w:rPr>
          <w:rFonts w:ascii="David" w:cs="David" w:eastAsia="David" w:hAnsi="David"/>
          <w:noProof/>
          <w:sz w:val="24"/>
          <w:szCs w:val="24"/>
          <w:rtl/>
        </w:rPr>
        <w:t xml:space="preserve">נקודת המוצא נקבעה בסעיף 7(ב): עסקה שלא נגמרה ברישום רואים אותה כהתחייבות לעשות עסקה, ולכאורה אין לרוכש אלא זכות חוזית. ואולם בעניין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העניק בית המשפט העליון לזכות זו ממד קנייני מהותי: משנכרת חוזה מכר מחייב קמה לקונה "זכות שביושר תוצרת הארץ", ולפיכך עיקול שהטיל נושה של המוכר אינו גובר עליה אף בהיעדר הערת אזהרה.</w:t>
      </w:r>
      <w:r>
        <w:rPr>
          <w:rStyle w:val="FootnoteReference"/>
        </w:rPr>
        <w:footnoteReference w:id="24"/>
      </w:r>
      <w:r>
        <w:rPr>
          <w:rFonts w:ascii="David" w:cs="David" w:eastAsia="David" w:hAnsi="David"/>
          <w:noProof/>
          <w:sz w:val="24"/>
          <w:szCs w:val="24"/>
          <w:rtl/>
        </w:rPr>
        <w:t xml:space="preserve"> ההלכה יושמה במישרין על מקבל מתנה בתוך המשפחה: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הועדפה זכותם של שבעת ילדים, מכוח התחייבות אביהם בייפוי כוח משנת 1986 להעביר להם מקרקעין במתנה, על פני עיקולי נושי האב.</w:t>
      </w:r>
      <w:r>
        <w:rPr>
          <w:rStyle w:val="FootnoteReference"/>
        </w:rPr>
        <w:footnoteReference w:id="25"/>
      </w:r>
      <w:r>
        <w:rPr>
          <w:rFonts w:ascii="David" w:cs="David" w:eastAsia="David" w:hAnsi="David"/>
          <w:noProof/>
          <w:sz w:val="24"/>
          <w:szCs w:val="24"/>
          <w:rtl/>
        </w:rPr>
        <w:t xml:space="preserve"> חשיבותה מכרעת: בן המשפחה שקנה או ש"חולק לו" מגרש לפני עשרות שנים חדל להיות בעל טענה חוזית בלבד, וזכותו מוגנת מפני נושי המקנה ואינה נשחקת בחלוף הזמן כל עוד לא נכפרה; ובה בעת אין זו בעלות, והיא נסוגה מפני רוכש מאוחר בתמורה ובתום לב שהשלים את הרישום.</w:t>
      </w:r>
      <w:r>
        <w:rPr>
          <w:rStyle w:val="FootnoteReference"/>
        </w:rPr>
        <w:footnoteReference w:id="26"/>
      </w:r>
    </w:p>
    <w:p>
      <w:pPr>
        <w:pStyle w:val="Heading2"/>
        <w:bidi/>
        <w:spacing w:after="180" w:before="280"/>
      </w:pPr>
      <w:r>
        <w:rPr>
          <w:rFonts w:ascii="David" w:cs="David" w:eastAsia="David" w:hAnsi="David"/>
          <w:b/>
          <w:bCs/>
          <w:noProof/>
          <w:color w:val="000000"/>
          <w:sz w:val="28"/>
          <w:szCs w:val="28"/>
          <w:rtl/>
        </w:rPr>
        <w:t xml:space="preserve">ג.2 ייפוי הכוח הבלתי חוזר כמסמך העסקה</w:t>
      </w:r>
    </w:p>
    <w:p>
      <w:pPr>
        <w:bidi/>
        <w:spacing w:after="0" w:line="360"/>
        <w:jc w:val="both"/>
      </w:pPr>
      <w:r>
        <w:rPr>
          <w:rFonts w:ascii="David" w:cs="David" w:eastAsia="David" w:hAnsi="David"/>
          <w:noProof/>
          <w:sz w:val="24"/>
          <w:szCs w:val="24"/>
          <w:rtl/>
        </w:rPr>
        <w:t xml:space="preserve">המסמך היחיד הקיים על פי רוב אינו חוזה ערוך כדין אלא ייפוי כוח נוטריוני בלתי חוזר, שוויסמן תיאר כ"תחליף לבעלות", והשאלה אם הוא ממלא את דרישת הכתב הוכרעה בחיוב עקרוני: בעניין </w:t>
      </w:r>
      <w:r>
        <w:rPr>
          <w:rFonts w:ascii="David" w:cs="David" w:eastAsia="David" w:hAnsi="David"/>
          <w:b/>
          <w:bCs/>
          <w:noProof/>
          <w:sz w:val="24"/>
          <w:szCs w:val="24"/>
          <w:rtl/>
        </w:rPr>
        <w:t xml:space="preserve">נאטור</w:t>
      </w:r>
      <w:r>
        <w:rPr>
          <w:rFonts w:ascii="David" w:cs="David" w:eastAsia="David" w:hAnsi="David"/>
          <w:noProof/>
          <w:sz w:val="24"/>
          <w:szCs w:val="24"/>
          <w:rtl/>
        </w:rPr>
        <w:t xml:space="preserve"> נקבע כי ייפוי כוח מקיים את הדרישה כשעולים ממנו הפרטים המהותיים ומשתקפת בו גמירות דעת, ובעניין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הובחן בין הפן ההרשאתי לפן החוזי, שכן המסמך עשוי לשמש הן ראיה לעסקת היסוד הן מסמך המגלם אותה.</w:t>
      </w:r>
      <w:r>
        <w:rPr>
          <w:rStyle w:val="FootnoteReference"/>
        </w:rPr>
        <w:footnoteReference w:id="27"/>
      </w:r>
      <w:r>
        <w:rPr>
          <w:rFonts w:ascii="David" w:cs="David" w:eastAsia="David" w:hAnsi="David"/>
          <w:noProof/>
          <w:sz w:val="24"/>
          <w:szCs w:val="24"/>
          <w:rtl/>
        </w:rPr>
        <w:t xml:space="preserve"> הלכות אלה יושמו על ייפויי כוח ותיקים מן המגזר הערבי: בעניין </w:t>
      </w:r>
      <w:r>
        <w:rPr>
          <w:rFonts w:ascii="David" w:cs="David" w:eastAsia="David" w:hAnsi="David"/>
          <w:b/>
          <w:bCs/>
          <w:noProof/>
          <w:sz w:val="24"/>
          <w:szCs w:val="24"/>
          <w:rtl/>
        </w:rPr>
        <w:t xml:space="preserve">אבו אסמעיל</w:t>
      </w:r>
      <w:r>
        <w:rPr>
          <w:rFonts w:ascii="David" w:cs="David" w:eastAsia="David" w:hAnsi="David"/>
          <w:noProof/>
          <w:sz w:val="24"/>
          <w:szCs w:val="24"/>
          <w:rtl/>
        </w:rPr>
        <w:t xml:space="preserve"> אישר בית המשפט העליון כי ייפוי כוח המפרט צדדים, מקרקעין, חלק נמכר ותמורה עשוי לכלול הן את עסקת היסוד הן את ההרשאה לביצועה,</w:t>
      </w:r>
      <w:r>
        <w:rPr>
          <w:rStyle w:val="FootnoteReference"/>
        </w:rPr>
        <w:footnoteReference w:id="28"/>
      </w:r>
      <w:r>
        <w:rPr>
          <w:rFonts w:ascii="David" w:cs="David" w:eastAsia="David" w:hAnsi="David"/>
          <w:noProof/>
          <w:sz w:val="24"/>
          <w:szCs w:val="24"/>
          <w:rtl/>
        </w:rPr>
        <w:t xml:space="preserve"> ובית משפט השלום בנצרת קבע כי ייפוי כוח משנת 1970 משמש גם התחייבות בכתב כמשמעה בסעיף 8.</w:t>
      </w:r>
      <w:r>
        <w:rPr>
          <w:rStyle w:val="FootnoteReference"/>
        </w:rPr>
        <w:footnoteReference w:id="29"/>
      </w:r>
      <w:r>
        <w:rPr>
          <w:rFonts w:ascii="David" w:cs="David" w:eastAsia="David" w:hAnsi="David"/>
          <w:noProof/>
          <w:sz w:val="24"/>
          <w:szCs w:val="24"/>
          <w:rtl/>
        </w:rPr>
        <w:t xml:space="preserve"> ההיגיון ברור: בחברה שבה ייפוי הכוח היה "שטר המכר" המעשי, שלילת נפקותו הייתה מפקיעה דור שלם של עסקאות.</w:t>
      </w:r>
    </w:p>
    <w:p>
      <w:pPr>
        <w:bidi/>
        <w:spacing w:after="0" w:line="360"/>
        <w:ind w:firstLine="420"/>
        <w:jc w:val="both"/>
      </w:pPr>
      <w:r>
        <w:rPr>
          <w:rFonts w:ascii="David" w:cs="David" w:eastAsia="David" w:hAnsi="David"/>
          <w:noProof/>
          <w:sz w:val="24"/>
          <w:szCs w:val="24"/>
          <w:rtl/>
        </w:rPr>
        <w:t xml:space="preserve">עם זאת אין ייפוי הכוח חזות הכל. ראשית, ככלי הרשאה הוא כפוף לדיני השליחות: רק ייפוי כוח שניתן "להבטחת זכותו של אדם אחר" אינו פוקע בביטול השולח או במותו.</w:t>
      </w:r>
      <w:r>
        <w:rPr>
          <w:rStyle w:val="FootnoteReference"/>
        </w:rPr>
        <w:footnoteReference w:id="30"/>
      </w:r>
      <w:r>
        <w:rPr>
          <w:rFonts w:ascii="David" w:cs="David" w:eastAsia="David" w:hAnsi="David"/>
          <w:noProof/>
          <w:sz w:val="24"/>
          <w:szCs w:val="24"/>
          <w:rtl/>
        </w:rPr>
        <w:t xml:space="preserve"> שנית, יש לבחון אם המסמך משקף עסקה של ממש: בעניין </w:t>
      </w:r>
      <w:r>
        <w:rPr>
          <w:rFonts w:ascii="David" w:cs="David" w:eastAsia="David" w:hAnsi="David"/>
          <w:b/>
          <w:bCs/>
          <w:noProof/>
          <w:sz w:val="24"/>
          <w:szCs w:val="24"/>
          <w:rtl/>
        </w:rPr>
        <w:t xml:space="preserve">צימבלר</w:t>
      </w:r>
      <w:r>
        <w:rPr>
          <w:rFonts w:ascii="David" w:cs="David" w:eastAsia="David" w:hAnsi="David"/>
          <w:noProof/>
          <w:sz w:val="24"/>
          <w:szCs w:val="24"/>
          <w:rtl/>
        </w:rPr>
        <w:t xml:space="preserve"> הוכרה זכות שביושר בעסקה משנת 1963 משהוכח כי שולמה תמורה, נמסרה החזקה והרוכשת נהגה מנהג בעלים עשרות שנים, ונקבע כי תביעתה אינה מתיישנת כל עוד לא כפר המוכר בזכותה.</w:t>
      </w:r>
      <w:r>
        <w:rPr>
          <w:rStyle w:val="FootnoteReference"/>
        </w:rPr>
        <w:footnoteReference w:id="31"/>
      </w:r>
      <w:r>
        <w:rPr>
          <w:rFonts w:ascii="David" w:cs="David" w:eastAsia="David" w:hAnsi="David"/>
          <w:noProof/>
          <w:sz w:val="24"/>
          <w:szCs w:val="24"/>
          <w:rtl/>
        </w:rPr>
        <w:t xml:space="preserve"> שלישית, ייפוי הכוח אינו מקנה את הגנות הרישום: מי שלא נרשם אינו נהנה מתקנת השוק, וזכותו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noProof/>
          <w:color w:val="000000"/>
          <w:sz w:val="28"/>
          <w:szCs w:val="28"/>
          <w:rtl/>
        </w:rPr>
        <w:t xml:space="preserve">ג.3 עקרון תום הלב ו"זעקת ההגינות": ריכוך הצורה בסכסוך המשפחתי</w:t>
      </w:r>
    </w:p>
    <w:p>
      <w:pPr>
        <w:bidi/>
        <w:spacing w:after="0" w:line="360"/>
        <w:jc w:val="both"/>
      </w:pPr>
      <w:r>
        <w:rPr>
          <w:rFonts w:ascii="David" w:cs="David" w:eastAsia="David" w:hAnsi="David"/>
          <w:noProof/>
          <w:sz w:val="24"/>
          <w:szCs w:val="24"/>
          <w:rtl/>
        </w:rPr>
        <w:t xml:space="preserve">מה דינם של מקרים שבהם אין אפילו ייפוי כוח, אלא הסכמה בעל פה שקוימה בפועל? כאן פועלת הלכת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שבה נאכף הסכם קומבינציה שנכרת בעל פה וקוים במלואו: לשיטת הנשיא ברק עקרון תום הלב עשוי, במקרים מיוחדים שבהם עולה "זעקת ההגינות", לגבור על דרישת הכתב, ולשיטת השופט זמיר ביצועו המלא של ההסכם ממלא את תכליות הדרישה.</w:t>
      </w:r>
      <w:r>
        <w:rPr>
          <w:rStyle w:val="FootnoteReference"/>
        </w:rPr>
        <w:footnoteReference w:id="33"/>
      </w:r>
      <w:r>
        <w:rPr>
          <w:rFonts w:ascii="David" w:cs="David" w:eastAsia="David" w:hAnsi="David"/>
          <w:noProof/>
          <w:sz w:val="24"/>
          <w:szCs w:val="24"/>
          <w:rtl/>
        </w:rPr>
        <w:t xml:space="preserve"> זהו כלי מרכזי בסכסוכים משפחתיים, שבהם יחסי האמון מסבירים את היעדר המסמכים וההסתמכות רבת השנים היא שיוצרת את הזעקה. ההלכה היא שיאו של מהלך פרשני ארוך: מדרישת רשימת יסודות במסמך, בעקבות </w:t>
      </w:r>
      <w:r>
        <w:rPr>
          <w:rFonts w:ascii="David" w:cs="David" w:eastAsia="David" w:hAnsi="David"/>
          <w:b/>
          <w:bCs/>
          <w:noProof/>
          <w:sz w:val="24"/>
          <w:szCs w:val="24"/>
          <w:rtl/>
        </w:rPr>
        <w:t xml:space="preserve">גרוסמן</w:t>
      </w:r>
      <w:r>
        <w:rPr>
          <w:rFonts w:ascii="David" w:cs="David" w:eastAsia="David" w:hAnsi="David"/>
          <w:noProof/>
          <w:sz w:val="24"/>
          <w:szCs w:val="24"/>
          <w:rtl/>
        </w:rPr>
        <w:t xml:space="preserve"> ו</w:t>
      </w:r>
      <w:r>
        <w:rPr>
          <w:rFonts w:ascii="David" w:cs="David" w:eastAsia="David" w:hAnsi="David"/>
          <w:b/>
          <w:bCs/>
          <w:noProof/>
          <w:sz w:val="24"/>
          <w:szCs w:val="24"/>
          <w:rtl/>
        </w:rPr>
        <w:t xml:space="preserve">קפולסקי</w:t>
      </w:r>
      <w:r>
        <w:rPr>
          <w:rFonts w:ascii="David" w:cs="David" w:eastAsia="David" w:hAnsi="David"/>
          <w:noProof/>
          <w:sz w:val="24"/>
          <w:szCs w:val="24"/>
          <w:rtl/>
        </w:rPr>
        <w:t xml:space="preserve">, ועד שדי כיום במסמך דל פרטים המעיד על גמירות דעת. פרידמן וכהן תולים את המפנה במציאות המוכרת מפרק ב: "היעדר רישום הוא תופעה נפוצה", וחלק גדול מן העסקאות נעשה בין מי שאינם מוכר או קונה מקצועיים.</w:t>
      </w:r>
      <w:r>
        <w:rPr>
          <w:rStyle w:val="FootnoteReference"/>
        </w:rPr>
        <w:footnoteReference w:id="34"/>
      </w:r>
      <w:r>
        <w:rPr>
          <w:rFonts w:ascii="David" w:cs="David" w:eastAsia="David" w:hAnsi="David"/>
          <w:noProof/>
          <w:sz w:val="24"/>
          <w:szCs w:val="24"/>
          <w:rtl/>
        </w:rPr>
        <w:t xml:space="preserve"> יישום מובהק בסכסוך פנים משפחתי מן החברה הערבית נעשה בעניין </w:t>
      </w:r>
      <w:r>
        <w:rPr>
          <w:rFonts w:ascii="David" w:cs="David" w:eastAsia="David" w:hAnsi="David"/>
          <w:b/>
          <w:bCs/>
          <w:noProof/>
          <w:sz w:val="24"/>
          <w:szCs w:val="24"/>
          <w:rtl/>
        </w:rPr>
        <w:t xml:space="preserve">חג׳אזי</w:t>
      </w:r>
      <w:r>
        <w:rPr>
          <w:rFonts w:ascii="David" w:cs="David" w:eastAsia="David" w:hAnsi="David"/>
          <w:noProof/>
          <w:sz w:val="24"/>
          <w:szCs w:val="24"/>
          <w:rtl/>
        </w:rPr>
        <w:t xml:space="preserve">, שבו נפסק כי ניצול טעות רישום בחילופי חלקות בין בני דודים, בשילוב ביצועה המלא של החלוקה, ממלא את מבחני זעקת ההגינות.</w:t>
      </w:r>
      <w:r>
        <w:rPr>
          <w:rStyle w:val="FootnoteReference"/>
        </w:rPr>
        <w:footnoteReference w:id="35"/>
      </w:r>
    </w:p>
    <w:p>
      <w:pPr>
        <w:bidi/>
        <w:spacing w:after="0" w:line="360"/>
        <w:ind w:firstLine="420"/>
        <w:jc w:val="both"/>
      </w:pPr>
      <w:r>
        <w:rPr>
          <w:rFonts w:ascii="David" w:cs="David" w:eastAsia="David" w:hAnsi="David"/>
          <w:noProof/>
          <w:sz w:val="24"/>
          <w:szCs w:val="24"/>
          <w:rtl/>
        </w:rPr>
        <w:t xml:space="preserve">חשיבות מעשית ראשונה במעלה נודעת למשטר הבין זמני: על עסקאות שנכרתו לפני תחילת חוק המקרקעין (1.1.1970) חלות דרישות הצורה של הדין הקודם, ובראשן סעיף 80 לחוק הפרוצדורה האזרחית העות׳מאני, שפורש כדרישה ראייתית ולא מהותית, כך שניתן להוכיח את העסקה בעדות בעל פה מקום שהצד שכנגד לא התנגד.</w:t>
      </w:r>
      <w:r>
        <w:rPr>
          <w:rStyle w:val="FootnoteReference"/>
        </w:rPr>
        <w:footnoteReference w:id="36"/>
      </w:r>
      <w:r>
        <w:rPr>
          <w:rFonts w:ascii="David" w:cs="David" w:eastAsia="David" w:hAnsi="David"/>
          <w:noProof/>
          <w:sz w:val="24"/>
          <w:szCs w:val="24"/>
          <w:rtl/>
        </w:rPr>
        <w:t xml:space="preserve"> יישום מובהק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עסקת מכר משנת 1968, שהסכמהּ אבד ומעולם לא נרשמה, הוכחה על יסוד עדותו של מי שהיה ילד במעמד העסקה, הודאות שישה עשר נתבעים והחזקה בת עשרות שנים ללא מחאה; ונקבע כי אף אילו חלה דרישת הכתב המהותית, זעקת ההגינות הייתה מרפאת את החסר.</w:t>
      </w:r>
      <w:r>
        <w:rPr>
          <w:rStyle w:val="FootnoteReference"/>
        </w:rPr>
        <w:footnoteReference w:id="37"/>
      </w:r>
    </w:p>
    <w:p>
      <w:pPr>
        <w:pStyle w:val="Heading2"/>
        <w:bidi/>
        <w:spacing w:after="180" w:before="280"/>
      </w:pPr>
      <w:r>
        <w:rPr>
          <w:rFonts w:ascii="David" w:cs="David" w:eastAsia="David" w:hAnsi="David"/>
          <w:b/>
          <w:bCs/>
          <w:noProof/>
          <w:color w:val="000000"/>
          <w:sz w:val="28"/>
          <w:szCs w:val="28"/>
          <w:rtl/>
        </w:rPr>
        <w:t xml:space="preserve">ג.4 התחייבות לתת מתנה, ייפוי כוח בלתי חוזר וזכות החזרה</w:t>
      </w:r>
    </w:p>
    <w:p>
      <w:pPr>
        <w:bidi/>
        <w:spacing w:after="0" w:line="360"/>
        <w:jc w:val="both"/>
      </w:pPr>
      <w:r>
        <w:rPr>
          <w:rFonts w:ascii="David" w:cs="David" w:eastAsia="David" w:hAnsi="David"/>
          <w:noProof/>
          <w:sz w:val="24"/>
          <w:szCs w:val="24"/>
          <w:rtl/>
        </w:rPr>
        <w:t xml:space="preserve">חלק ניכר מן ההעברות אינן מכר אלא מתנה, וחוק המתנה מבחין בין מתנה שהוקנתה לאלתר לבין התחייבות לתת מתנה, הטעונה מסמך בכתב. במקרקעין ההבחנה חדה במיוחד: הקניה "לאלתר" אינה אפשרית בלא רישום, ומכאן שכל מתנת מקרקעין שלא נרשמה היא, מעצם הדין, התחייבות לתת מתנה, על משטר החזרה הנלווה לה.</w:t>
      </w:r>
      <w:r>
        <w:rPr>
          <w:rStyle w:val="FootnoteReference"/>
        </w:rPr>
        <w:footnoteReference w:id="38"/>
      </w:r>
      <w:r>
        <w:rPr>
          <w:rFonts w:ascii="David" w:cs="David" w:eastAsia="David" w:hAnsi="David"/>
          <w:noProof/>
          <w:sz w:val="24"/>
          <w:szCs w:val="24"/>
          <w:rtl/>
        </w:rPr>
        <w:t xml:space="preserve"> כאן נודעת לייפוי הכוח נפקות כפולה: הוא עשוי לגלם את ההתחייבות עצמה, ולשמש, לפי לשונו ונסיבותיו, ויתור בכתב על זכות החזרה שלפי סעיף 5(ב).</w:t>
      </w:r>
      <w:r>
        <w:rPr>
          <w:rStyle w:val="FootnoteReference"/>
        </w:rPr>
        <w:footnoteReference w:id="39"/>
      </w:r>
      <w:r>
        <w:rPr>
          <w:rFonts w:ascii="David" w:cs="David" w:eastAsia="David" w:hAnsi="David"/>
          <w:noProof/>
          <w:sz w:val="24"/>
          <w:szCs w:val="24"/>
          <w:rtl/>
        </w:rPr>
        <w:t xml:space="preserve"> צירופם מקנה למקבל מעמד איתן: נפסק כי ייפוי כוח מוקדם לטובת שלושה אחים גובר על עסקת מתנה מאוחרת שנרשמה לטובת אחד מהם, עד כדי ביטול הרישום המאוחר,</w:t>
      </w:r>
      <w:r>
        <w:rPr>
          <w:rStyle w:val="FootnoteReference"/>
        </w:rPr>
        <w:footnoteReference w:id="40"/>
      </w:r>
      <w:r>
        <w:rPr>
          <w:rFonts w:ascii="David" w:cs="David" w:eastAsia="David" w:hAnsi="David"/>
          <w:noProof/>
          <w:sz w:val="24"/>
          <w:szCs w:val="24"/>
          <w:rtl/>
        </w:rPr>
        <w:t xml:space="preserve"> היפוך מרשים של נקודת המוצא הרישומית. ומנגד ניצב הגבול הבין זמני לחומרה: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נדונה מתנת אב לבניו משנת 1952, שחלה עליה פקודת העברת הקרקעות, 1920, המתנה את תוקף ההעברה ברישום. נפסק כי בהיעדר רישום המתנה "בטלה ומבוטלת", ומסירת החזקה, בניית בתים ושתיקת האחיות עשורים אינן מרפאות את הבטלות; אף דיני היושר לא היו מושיעים, שכן הגנו על רוכש בתמורה ולא על מתנדב.</w:t>
      </w:r>
      <w:r>
        <w:rPr>
          <w:rStyle w:val="FootnoteReference"/>
        </w:rPr>
        <w:footnoteReference w:id="41"/>
      </w:r>
    </w:p>
    <w:p>
      <w:pPr>
        <w:pStyle w:val="Heading2"/>
        <w:bidi/>
        <w:spacing w:after="180" w:before="280"/>
      </w:pPr>
      <w:r>
        <w:rPr>
          <w:rFonts w:ascii="David" w:cs="David" w:eastAsia="David" w:hAnsi="David"/>
          <w:b/>
          <w:bCs/>
          <w:noProof/>
          <w:color w:val="000000"/>
          <w:sz w:val="28"/>
          <w:szCs w:val="28"/>
          <w:rtl/>
        </w:rPr>
        <w:t xml:space="preserve">ג.5 רישיון במקרקעין: ההגנה על מי שאין בידו דבר</w:t>
      </w:r>
    </w:p>
    <w:p>
      <w:pPr>
        <w:bidi/>
        <w:spacing w:after="0" w:line="360"/>
        <w:jc w:val="both"/>
      </w:pPr>
      <w:r>
        <w:rPr>
          <w:rFonts w:ascii="David" w:cs="David" w:eastAsia="David" w:hAnsi="David"/>
          <w:noProof/>
          <w:sz w:val="24"/>
          <w:szCs w:val="24"/>
          <w:rtl/>
        </w:rPr>
        <w:t xml:space="preserve">בתחתית המדרג ניצב הרישיון, יציר הפסיקה שנועד למי שאינו יכול להצביע אף על התחייבות, והוא מבחין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noProof/>
          <w:sz w:val="24"/>
          <w:szCs w:val="24"/>
          <w:rtl/>
        </w:rPr>
        <w:t xml:space="preserve"> הרשות אינה טעונה הסכם מפורש: רישיון מכללא נלמד משתיקת הבעלים, ושני יסודותיו, שהייה ממושכת וידיעת הבעלים בלא שעשו דבר, הם תיאור מדויק של "שלב ההרמוניה" שתואר בפרק ב. מי שהורשה לבנות את ביתו על מקרקעי הזולת והשקיע בהם עשוי להיות בעל רישיון בלתי הדיר, או למצער זכאי שביטולו יותנה בפיצוי.</w:t>
      </w:r>
      <w:r>
        <w:rPr>
          <w:rStyle w:val="FootnoteReference"/>
        </w:rPr>
        <w:footnoteReference w:id="43"/>
      </w:r>
    </w:p>
    <w:p>
      <w:pPr>
        <w:bidi/>
        <w:spacing w:after="0" w:line="360"/>
        <w:ind w:firstLine="420"/>
        <w:jc w:val="both"/>
      </w:pPr>
      <w:r>
        <w:rPr>
          <w:rFonts w:ascii="David" w:cs="David" w:eastAsia="David" w:hAnsi="David"/>
          <w:noProof/>
          <w:sz w:val="24"/>
          <w:szCs w:val="24"/>
          <w:rtl/>
        </w:rPr>
        <w:t xml:space="preserve">ואולם הרישיון הוא זכות אישית: הוא אינו עובר בירושה ואינו ניתן להעברה, ורשות חינם פוקעת ככלל עם מות בעל הרישיון. בסכסוך הבין דורי מגן אפוא הרישיון על הדור שקיבל את ההרשאה, אך אינו תשתית לתביעת בעלות של הדור השלישי, וכך נדחתה בעניין </w:t>
      </w:r>
      <w:r>
        <w:rPr>
          <w:rFonts w:ascii="David" w:cs="David" w:eastAsia="David" w:hAnsi="David"/>
          <w:b/>
          <w:bCs/>
          <w:noProof/>
          <w:sz w:val="24"/>
          <w:szCs w:val="24"/>
          <w:rtl/>
        </w:rPr>
        <w:t xml:space="preserve">יהודאי</w:t>
      </w:r>
      <w:r>
        <w:rPr>
          <w:rFonts w:ascii="David" w:cs="David" w:eastAsia="David" w:hAnsi="David"/>
          <w:noProof/>
          <w:sz w:val="24"/>
          <w:szCs w:val="24"/>
          <w:rtl/>
        </w:rPr>
        <w:t xml:space="preserve"> טענת משפחה ששילמה כשליש משווי הדירה וישבה בה עשרות שנים.</w:t>
      </w:r>
      <w:r>
        <w:rPr>
          <w:rStyle w:val="FootnoteReference"/>
        </w:rPr>
        <w:footnoteReference w:id="44"/>
      </w:r>
      <w:r>
        <w:rPr>
          <w:rFonts w:ascii="David" w:cs="David" w:eastAsia="David" w:hAnsi="David"/>
          <w:noProof/>
          <w:sz w:val="24"/>
          <w:szCs w:val="24"/>
          <w:rtl/>
        </w:rPr>
        <w:t xml:space="preserve"> עם זאת, במקרים החריגים שבהם מוכרת אי הדירות חורג הרישיון ממעמדו האישי: בעניין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נפסק כי זכות בר רשות בלתי הדירה גוברת על מעקל מכוחו של השתק קנייני, וחלה כלפי צד שלישי שאליו עברו הזכויות, למעט רוכש בתמורה ובתום לב.</w:t>
      </w:r>
      <w:r>
        <w:rPr>
          <w:rStyle w:val="FootnoteReference"/>
        </w:rPr>
        <w:footnoteReference w:id="45"/>
      </w:r>
    </w:p>
    <w:p>
      <w:pPr>
        <w:pStyle w:val="Heading2"/>
        <w:bidi/>
        <w:spacing w:after="180" w:before="280"/>
      </w:pPr>
      <w:r>
        <w:rPr>
          <w:rFonts w:ascii="David" w:cs="David" w:eastAsia="David" w:hAnsi="David"/>
          <w:b/>
          <w:bCs/>
          <w:noProof/>
          <w:color w:val="000000"/>
          <w:sz w:val="28"/>
          <w:szCs w:val="28"/>
          <w:rtl/>
        </w:rPr>
        <w:t xml:space="preserve">ג.6 התיישנות, חזקה רבת שנים וטענת הבעלות הנוגדת</w:t>
      </w:r>
    </w:p>
    <w:p>
      <w:pPr>
        <w:bidi/>
        <w:spacing w:after="0" w:line="360"/>
        <w:jc w:val="both"/>
      </w:pPr>
      <w:r>
        <w:rPr>
          <w:rFonts w:ascii="David" w:cs="David" w:eastAsia="David" w:hAnsi="David"/>
          <w:noProof/>
          <w:sz w:val="24"/>
          <w:szCs w:val="24"/>
          <w:rtl/>
        </w:rPr>
        <w:t xml:space="preserve">כלי אחרון, ותיק ובעייתי, הוא טענת ההתיישנות מכוח חזקה נוגדת: במקרקעין לא מוסדרים עשויה חזקה בת חמש עשרה שנים להקים מחסום מפני תביעת הבעלים, ואילו במקרקעין מוסדרים נשללה ההתיישנות כליל.</w:t>
      </w:r>
      <w:r>
        <w:rPr>
          <w:rStyle w:val="FootnoteReference"/>
        </w:rPr>
        <w:footnoteReference w:id="46"/>
      </w:r>
      <w:r>
        <w:rPr>
          <w:rFonts w:ascii="David" w:cs="David" w:eastAsia="David" w:hAnsi="David"/>
          <w:noProof/>
          <w:sz w:val="24"/>
          <w:szCs w:val="24"/>
          <w:rtl/>
        </w:rPr>
        <w:t xml:space="preserve"> נדרשת חזקה גלויה ורצופה, בלא הסכמת הבעלים, המשדרת כלפי חוץ כפירה בזכותם; ובסכסוך המשפחתי נופלת הטענה בשני היסודות האחרונים, שכן עצם פתיחתה של ההחזקה בהסכמת האב או האחים מסווגת אותה כ"חזקה מרשות", וחזקתו של שותף רשום נחשבת ככלל כחזקה מטעם כלל השותפים. זאת ועוד, ההתיישנות הישראלית דיונית: היא חוסמת תביעה אך אינה מקנה זכות ואינה מטהרת את שרשרת הזכויות. התוצאה: ההגנה על הבעלים הרשום כמעט מוחלטת, ומלוא כובד המשקל מוסט אל הוכחת העסקה ההיסטורית, וכאן נפרדות דרכיהם של הדין הישראלי והמצרי, כפי שיפורט בפרק ו.2.3.</w:t>
      </w:r>
    </w:p>
    <w:p>
      <w:pPr>
        <w:pStyle w:val="Heading2"/>
        <w:bidi/>
        <w:spacing w:after="180" w:before="280"/>
      </w:pPr>
      <w:r>
        <w:rPr>
          <w:rFonts w:ascii="David" w:cs="David" w:eastAsia="David" w:hAnsi="David"/>
          <w:b/>
          <w:bCs/>
          <w:noProof/>
          <w:color w:val="000000"/>
          <w:sz w:val="28"/>
          <w:szCs w:val="28"/>
          <w:rtl/>
        </w:rPr>
        <w:t xml:space="preserve">ג.7 הפסיקה הלכה למעשה: בין הכרה בעסקה מוכחת לדחיית טענת המנהג</w:t>
      </w:r>
    </w:p>
    <w:p>
      <w:pPr>
        <w:bidi/>
        <w:spacing w:after="0" w:line="360"/>
        <w:jc w:val="both"/>
      </w:pPr>
      <w:r>
        <w:rPr>
          <w:rFonts w:ascii="David" w:cs="David" w:eastAsia="David" w:hAnsi="David"/>
          <w:noProof/>
          <w:sz w:val="24"/>
          <w:szCs w:val="24"/>
          <w:rtl/>
        </w:rPr>
        <w:t xml:space="preserve">בפסיקה העדכנית מסתמנים שני קטבים. בקוטב האחד, נכונות להכיר בזכויות מקום שהעסקה הוכחה, כבעניין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וכבעניין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שבו התקבלה תביעה הצהרתית של בני משפחה תוך הדגשה כי בהיעדר רישום יש לבחון את החלוקה ההסכמית ואת הראיות שבין הצדדים, בלא להטיל על הטוען נטל שאין הדין מטיל עליו.</w:t>
      </w:r>
      <w:r>
        <w:rPr>
          <w:rStyle w:val="FootnoteReference"/>
        </w:rPr>
        <w:footnoteReference w:id="47"/>
      </w:r>
      <w:r>
        <w:rPr>
          <w:rFonts w:ascii="David" w:cs="David" w:eastAsia="David" w:hAnsi="David"/>
          <w:noProof/>
          <w:sz w:val="24"/>
          <w:szCs w:val="24"/>
          <w:rtl/>
        </w:rPr>
        <w:t xml:space="preserve"> את מהות האתגר היטיב בית המשפט לנסח באותה פרשה:</w:t>
      </w:r>
    </w:p>
    <w:p>
      <w:pPr>
        <w:bidi/>
        <w:spacing w:after="160" w:before="120" w:line="300"/>
        <w:ind w:start="720" w:end="720"/>
        <w:jc w:val="both"/>
      </w:pPr>
      <w:r>
        <w:rPr>
          <w:rFonts w:ascii="David" w:cs="David" w:eastAsia="David" w:hAnsi="David"/>
          <w:noProof/>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הרישום במרשם המקרקעין מהווה לעולם את נקודת המוצא, ולרוב גם את נקודת הסיום, של הדיון... לא כך כשמדובר במקרקעין בלתי רשומים".</w:t>
      </w:r>
      <w:r>
        <w:rPr>
          <w:rStyle w:val="FootnoteReference"/>
        </w:rPr>
        <w:footnoteReference w:id="48"/>
      </w:r>
    </w:p>
    <w:p>
      <w:pPr>
        <w:bidi/>
        <w:spacing w:after="0" w:line="360"/>
        <w:ind w:firstLine="420"/>
        <w:jc w:val="both"/>
      </w:pPr>
      <w:r>
        <w:rPr>
          <w:rFonts w:ascii="David" w:cs="David" w:eastAsia="David" w:hAnsi="David"/>
          <w:noProof/>
          <w:sz w:val="24"/>
          <w:szCs w:val="24"/>
          <w:rtl/>
        </w:rPr>
        <w:t xml:space="preserve">בקוטב הנגדי, סירוב עקבי להפוך מנהג והחזקה כשלעצמם לבעלות: בית המשפט לענייני משפחה בנצרת דחה טענה להקניית בעלות מכוח "מנהג במגזר הערבי", בקבעו כי הסכמות בעל פה ומנהג אינם גוברים על הדין הישראלי, ובאותה רוח נפסק כי כלה שהתגוררה שנים בדירת חמהּ מכוח רשות שימוש אינה רוכשת בעלות.</w:t>
      </w:r>
      <w:r>
        <w:rPr>
          <w:rStyle w:val="FootnoteReference"/>
        </w:rPr>
        <w:footnoteReference w:id="49"/>
      </w:r>
      <w:r>
        <w:rPr>
          <w:rFonts w:ascii="David" w:cs="David" w:eastAsia="David" w:hAnsi="David"/>
          <w:noProof/>
          <w:sz w:val="24"/>
          <w:szCs w:val="24"/>
          <w:rtl/>
        </w:rPr>
        <w:t xml:space="preserve"> שני הקטבים משלימים: קו הגבול עובר לא בין "רשום" ל"בלתי רשום", אלא בין טענה עובדתית מוגדרת בדבר עסקה שנכרתה לבין טענה נורמטיבית עמומה שלפיה "כך נהוג אצלנו". ובצדם משורטטים גבולות נוספים: תביעה קניינית לא תוכרע בהיעדר בעל הזכות הרשום, ואילו במקרקעין מוסדרים נכונים בתי המשפט לבחון טענת נאמנות או הסכמה פנימית אף בהיעדר מסמך.</w:t>
      </w:r>
      <w:r>
        <w:rPr>
          <w:rStyle w:val="FootnoteReference"/>
        </w:rPr>
        <w:footnoteReference w:id="50"/>
      </w:r>
      <w:r>
        <w:rPr>
          <w:rFonts w:ascii="David" w:cs="David" w:eastAsia="David" w:hAnsi="David"/>
          <w:noProof/>
          <w:sz w:val="24"/>
          <w:szCs w:val="24"/>
          <w:rtl/>
        </w:rPr>
        <w:t xml:space="preserve"> וההבחנה בין זכות קניינית לחוזית נושאת נפקות משלה: בעניין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נקבע כי מקום שהמקנה עצמו מחזיק רק כבר רשות ובזכות אובליגטורית לדרוש חכירה ממינהל מקרקעי ישראל, הסכם לשיתוף בזכויות אלה, אף בעל פה, איננו "עסקה במקרקעין" הטעונה מסמך בכתב.</w:t>
      </w:r>
      <w:r>
        <w:rPr>
          <w:rStyle w:val="FootnoteReference"/>
        </w:rPr>
        <w:footnoteReference w:id="51"/>
      </w:r>
      <w:r>
        <w:rPr>
          <w:rFonts w:ascii="David" w:cs="David" w:eastAsia="David" w:hAnsi="David"/>
          <w:noProof/>
          <w:sz w:val="24"/>
          <w:szCs w:val="24"/>
          <w:rtl/>
        </w:rPr>
        <w:t xml:space="preserve"> העולה מן המכלול: הפסיקה אינה מכשירה "בעלות מכוח מנהג", אך מכשירה עסקה מוכחת, ותהא בלתי רשומה ובלתי מדווחת, ובכך מציבה את מרכז הכובד בזירה הראייתית, שלה יוקדש פרק ד.</w:t>
      </w:r>
    </w:p>
    <w:p>
      <w:pPr>
        <w:pStyle w:val="Heading2"/>
        <w:bidi/>
        <w:spacing w:after="180" w:before="280"/>
      </w:pPr>
      <w:r>
        <w:rPr>
          <w:rFonts w:ascii="David" w:cs="David" w:eastAsia="David" w:hAnsi="David"/>
          <w:b/>
          <w:bCs/>
          <w:noProof/>
          <w:color w:val="000000"/>
          <w:sz w:val="28"/>
          <w:szCs w:val="28"/>
          <w:rtl/>
        </w:rPr>
        <w:t xml:space="preserve">ג.8 ביקורת: פתרון יציב או "פלסטר משפטי"?</w:t>
      </w:r>
    </w:p>
    <w:p>
      <w:pPr>
        <w:bidi/>
        <w:spacing w:after="0" w:line="360"/>
        <w:jc w:val="both"/>
      </w:pPr>
      <w:r>
        <w:rPr>
          <w:rFonts w:ascii="David" w:cs="David" w:eastAsia="David" w:hAnsi="David"/>
          <w:noProof/>
          <w:sz w:val="24"/>
          <w:szCs w:val="24"/>
          <w:rtl/>
        </w:rPr>
        <w:t xml:space="preserve">העיון בארגז הכלים מלמד עד כמה מרשימה יצירתיות הפסיקה, ועד כמה שברירית התוצאה: "זעקת ההגינות" מותנית ב"מקרים מיוחדים" חסרי הגדרה; אי הדירותו של רישיון תלויה בשקילה בדיעבד של השקעה וציפייה; סיווגו של ייפוי כוח כמסמך עסקה תלוי בניסוחו של נוטריון משנות השבעים; והזכות שביושר נסוגה מפני נרשם תם לב. התוצאה היא משטר שבו גורל הזכויות אינו נגזר מכללים הניתנים לידיעה מראש אלא מהערכה שיפוטית בדיעבד, הרגישה לזהות השופט ולרושם העדים.</w:t>
      </w:r>
      <w:r>
        <w:rPr>
          <w:rStyle w:val="FootnoteReference"/>
        </w:rPr>
        <w:footnoteReference w:id="52"/>
      </w:r>
      <w:r>
        <w:rPr>
          <w:rFonts w:ascii="David" w:cs="David" w:eastAsia="David" w:hAnsi="David"/>
          <w:noProof/>
          <w:sz w:val="24"/>
          <w:szCs w:val="24"/>
          <w:rtl/>
        </w:rPr>
        <w:t xml:space="preserve"> לכך שלוש השלכות: אי הוודאות מזינה התדיינות יקרה ותלוית מומחים, שבה מי שידו משגת נמצא בעמדת פתיחה טובה יותר בלא קשר לצדקת טענתו; ההישענות על ממצאי מהימנות מצמצמת את מרחב ההתערבות הערעורית ומחלישה את גיבושה של הלכה מנחה; והחשוב מכול, הכלים כולם פועלים במישור הבין אישי ואינם מייצרים רישום, שכן גם התובע שזכה מקבל פסק דין הצהרתי בלבד, ובינו לבין הטאבו ניצבות עדיין חבויות המס שיידונו בפרק ה. זהו אפוא "פלסטר משפטי": חיוני לעצירת הדימום במקרה הקונקרטי, חסר אונים מול המחלה.</w:t>
      </w:r>
    </w:p>
    <w:p>
      <w:pPr>
        <w:pStyle w:val="Heading1"/>
        <w:bidi/>
        <w:spacing w:after="240" w:before="360"/>
      </w:pPr>
      <w:r>
        <w:rPr>
          <w:rFonts w:ascii="David" w:cs="David" w:eastAsia="David" w:hAnsi="David"/>
          <w:b/>
          <w:bCs/>
          <w:noProof/>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noProof/>
          <w:color w:val="000000"/>
          <w:sz w:val="28"/>
          <w:szCs w:val="28"/>
          <w:rtl/>
        </w:rPr>
        <w:t xml:space="preserve">ד.1 מדוע היתר בנייה אינו שטר בעלות</w:t>
      </w:r>
    </w:p>
    <w:p>
      <w:pPr>
        <w:bidi/>
        <w:spacing w:after="0" w:line="360"/>
        <w:jc w:val="both"/>
      </w:pPr>
      <w:r>
        <w:rPr>
          <w:rFonts w:ascii="David" w:cs="David" w:eastAsia="David" w:hAnsi="David"/>
          <w:noProof/>
          <w:sz w:val="24"/>
          <w:szCs w:val="24"/>
          <w:rtl/>
        </w:rPr>
        <w:t xml:space="preserve">בסכסוכים פנים משפחתיים נשמעת תדיר הטענה: "אני הוצאתי את היתר הבנייה, סימן שהקרקע שלי". הטענה מוקשית מיסודה: מוסדות התכנון אינם ערכאה קניינית, והוועדה המקומית בוחנת התאמה תכנונית בלבד.</w:t>
      </w:r>
      <w:r>
        <w:rPr>
          <w:rStyle w:val="FootnoteReference"/>
        </w:rPr>
        <w:footnoteReference w:id="53"/>
      </w:r>
      <w:r>
        <w:rPr>
          <w:rFonts w:ascii="David" w:cs="David" w:eastAsia="David" w:hAnsi="David"/>
          <w:noProof/>
          <w:sz w:val="24"/>
          <w:szCs w:val="24"/>
          <w:rtl/>
        </w:rPr>
        <w:t xml:space="preserve"> ההיתר משקף אפוא לכל היותר שמבקשו הציג לרשות תשתית לכאורית של זיקה לנכס; ומנגד, ביישובים הערביים, שבהם מצוקת התכנון הולידה בנייה חורגת נרחבת, נבנו בתים רבים בלא היתר כלל, כך שהיעדרו אינו מלמד על היעדר זכות כשם שקיומו אינו מלמד על קיומה.</w:t>
      </w:r>
      <w:r>
        <w:rPr>
          <w:rStyle w:val="FootnoteReference"/>
        </w:rPr>
        <w:footnoteReference w:id="54"/>
      </w:r>
    </w:p>
    <w:p>
      <w:pPr>
        <w:bidi/>
        <w:spacing w:after="0" w:line="360"/>
        <w:ind w:firstLine="420"/>
        <w:jc w:val="both"/>
      </w:pPr>
      <w:r>
        <w:rPr>
          <w:rFonts w:ascii="David" w:cs="David" w:eastAsia="David" w:hAnsi="David"/>
          <w:noProof/>
          <w:sz w:val="24"/>
          <w:szCs w:val="24"/>
          <w:rtl/>
        </w:rPr>
        <w:t xml:space="preserve">דווקא בכך טמון ערכו הראייתי העקיף: אם בשנת 1985 בנה האח את ביתו, הגיש בקשה להיתר ופרסם אותה כדין, ואיש מן האחים לא מחה, תומכת שתיקת המשפחה בזמן אמת בגרסה כי החלוקה המשפחתית הוסכמה. ההיתר אינו מקור הזכות אלא תיעוד בן הזמן של הסכמה חברתית שאבדה מאז, ולכן נשקלים היתרים, היטלים ואישורי רשויות כחלק ממכלול התומך בקיומה של הרשאה או זכות, אך לא כראיה עצמאית מכרעת.</w:t>
      </w:r>
      <w:r>
        <w:rPr>
          <w:rStyle w:val="FootnoteReference"/>
        </w:rPr>
        <w:footnoteReference w:id="55"/>
      </w:r>
      <w:r>
        <w:rPr>
          <w:rFonts w:ascii="David" w:cs="David" w:eastAsia="David" w:hAnsi="David"/>
          <w:noProof/>
          <w:sz w:val="24"/>
          <w:szCs w:val="24"/>
          <w:rtl/>
        </w:rPr>
        <w:t xml:space="preserve"> למטבע צד שני: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נזקפה לחובת יורשי המוכר העובדה שקיבלו במשך שנים הודעות מוועדת התכנון על בקשות הרוכש להיתרים ולא הגיבו, ונקבע כי בכך העידו על עצמם שאינם רואים עצמם בעלי זכויות.</w:t>
      </w:r>
      <w:r>
        <w:rPr>
          <w:rStyle w:val="FootnoteReference"/>
        </w:rPr>
        <w:footnoteReference w:id="56"/>
      </w:r>
    </w:p>
    <w:p>
      <w:pPr>
        <w:pStyle w:val="Heading2"/>
        <w:bidi/>
        <w:spacing w:after="180" w:before="280"/>
      </w:pPr>
      <w:r>
        <w:rPr>
          <w:rFonts w:ascii="David" w:cs="David" w:eastAsia="David" w:hAnsi="David"/>
          <w:b/>
          <w:bCs/>
          <w:noProof/>
          <w:color w:val="000000"/>
          <w:sz w:val="28"/>
          <w:szCs w:val="28"/>
          <w:rtl/>
        </w:rPr>
        <w:t xml:space="preserve">ד.2 ארנונה: ראיה להחזקה, לא לבעלות</w:t>
      </w:r>
    </w:p>
    <w:p>
      <w:pPr>
        <w:bidi/>
        <w:spacing w:after="0" w:line="360"/>
        <w:jc w:val="both"/>
      </w:pPr>
      <w:r>
        <w:rPr>
          <w:rFonts w:ascii="David" w:cs="David" w:eastAsia="David" w:hAnsi="David"/>
          <w:noProof/>
          <w:sz w:val="24"/>
          <w:szCs w:val="24"/>
          <w:rtl/>
        </w:rPr>
        <w:t xml:space="preserve">חשבונות הארנונה סובלים ממגבלה מובנית עוד יותר: הארנונה מוטלת על "המחזיק", ולא על הבעלים דווקא, ורישומי מחלקת הגבייה נסמכים על הודעות הצדדים עצמם בלא בדיקה קניינית.</w:t>
      </w:r>
      <w:r>
        <w:rPr>
          <w:rStyle w:val="FootnoteReference"/>
        </w:rPr>
        <w:footnoteReference w:id="57"/>
      </w:r>
      <w:r>
        <w:rPr>
          <w:rFonts w:ascii="David" w:cs="David" w:eastAsia="David" w:hAnsi="David"/>
          <w:noProof/>
          <w:sz w:val="24"/>
          <w:szCs w:val="24"/>
          <w:rtl/>
        </w:rPr>
        <w:t xml:space="preserve"> רישומו של אדם כמשלם מלמד אפוא על החזקה ותו לא. ואולם בהצטברות נסיבות נודע לתשלומים משקל, ושלושה סימנים מבחינים בין תשלום מלמד לשאינו מלמד: זהות המשלם לאורך זמן, כשהחיוב נושא את שם בן המשפחה ולא את שם העיזבון; היעדר תמורה נגדית; והקשר, כשהתשלום מצטרף לבנייה ולמגורים בפועל.</w:t>
      </w:r>
      <w:r>
        <w:rPr>
          <w:rStyle w:val="FootnoteReference"/>
        </w:rPr>
        <w:footnoteReference w:id="58"/>
      </w:r>
      <w:r>
        <w:rPr>
          <w:rFonts w:ascii="David" w:cs="David" w:eastAsia="David" w:hAnsi="David"/>
          <w:noProof/>
          <w:sz w:val="24"/>
          <w:szCs w:val="24"/>
          <w:rtl/>
        </w:rPr>
        <w:t xml:space="preserve"> ובכל מקרה, רישומי הארנונה נערכים לצורך גבייה ולא לתיעוד זכויות, ואף כשהם תומכים בגרסת המחזיק אין הם אלא נדבך אחד במכלול.</w:t>
      </w:r>
    </w:p>
    <w:p>
      <w:pPr>
        <w:pStyle w:val="Heading2"/>
        <w:bidi/>
        <w:spacing w:after="180" w:before="280"/>
      </w:pPr>
      <w:r>
        <w:rPr>
          <w:rFonts w:ascii="David" w:cs="David" w:eastAsia="David" w:hAnsi="David"/>
          <w:b/>
          <w:bCs/>
          <w:noProof/>
          <w:color w:val="000000"/>
          <w:sz w:val="28"/>
          <w:szCs w:val="28"/>
          <w:rtl/>
        </w:rPr>
        <w:t xml:space="preserve">ד.3 מסמכים היסטוריים ישנים: ייפויי כוח, שטרות מסורתיים ורישומים עות׳מאניים</w:t>
      </w:r>
    </w:p>
    <w:p>
      <w:pPr>
        <w:bidi/>
        <w:spacing w:after="0" w:line="360"/>
        <w:jc w:val="both"/>
      </w:pPr>
      <w:r>
        <w:rPr>
          <w:rFonts w:ascii="David" w:cs="David" w:eastAsia="David" w:hAnsi="David"/>
          <w:noProof/>
          <w:sz w:val="24"/>
          <w:szCs w:val="24"/>
          <w:rtl/>
        </w:rPr>
        <w:t xml:space="preserve">קטגוריה שלישית היא המסמכים ההיסטוריים: ייפוי הכוח הנוטריוני משנות החמישים עד השמונים, שטרות מכר מסורתיים, קבלות בכתב יד ורישומי טאבו עות׳מאניים ומנדטוריים. כוחם כפול: הם ראיה בת הזמן, שנוצרה בטרם קם אינטרס דיוני, והם עשויים לעלות כדי "מסמך בכתב" הממלא את דרישת סעיף 8; ובעסקאות שקדמו לחוק המקרקעין די בפחות מכך, שכן דרישת הכתב של הדין הקודם ראייתית בלבד.</w:t>
      </w:r>
      <w:r>
        <w:rPr>
          <w:rStyle w:val="FootnoteReference"/>
        </w:rPr>
        <w:footnoteReference w:id="59"/>
      </w:r>
      <w:r>
        <w:rPr>
          <w:rFonts w:ascii="David" w:cs="David" w:eastAsia="David" w:hAnsi="David"/>
          <w:noProof/>
          <w:sz w:val="24"/>
          <w:szCs w:val="24"/>
          <w:rtl/>
        </w:rPr>
        <w:t xml:space="preserve"> ואולם גילם הוא גם חולשתם: יש לאמת חתימות של נפטרים, להתמודד עם טענות זיוף ולגשר על הפער בין תיאור החלקה לפי גבולות טבעיים לבין הזיהוי הקדסטרלי. הדין מספק כלים: מסמך ישן שנשמר במשמורת טבעית נהנה מנטייה לקבל את אמיתותו, תוכנו של מסמך שאבד ניתן להוכחה בראיות משניות, ומעל לכול פועלת הראיה שבהתנהגות.</w:t>
      </w:r>
      <w:r>
        <w:rPr>
          <w:rStyle w:val="FootnoteReference"/>
        </w:rPr>
        <w:footnoteReference w:id="60"/>
      </w:r>
      <w:r>
        <w:rPr>
          <w:rFonts w:ascii="David" w:cs="David" w:eastAsia="David" w:hAnsi="David"/>
          <w:noProof/>
          <w:sz w:val="24"/>
          <w:szCs w:val="24"/>
          <w:rtl/>
        </w:rPr>
        <w:t xml:space="preserve"> רישומי הטאבו ההיסטוריים הם רישומי רשות ולכן משקלם גבוה, אך כמתואר בפרק ב שמות הרשומים בהם משקפים תכופות את נציג המשפחה ולא את המחזיק בפועל.</w:t>
      </w:r>
    </w:p>
    <w:p>
      <w:pPr>
        <w:pStyle w:val="Heading2"/>
        <w:bidi/>
        <w:spacing w:after="180" w:before="280"/>
      </w:pPr>
      <w:r>
        <w:rPr>
          <w:rFonts w:ascii="David" w:cs="David" w:eastAsia="David" w:hAnsi="David"/>
          <w:b/>
          <w:bCs/>
          <w:noProof/>
          <w:color w:val="000000"/>
          <w:sz w:val="28"/>
          <w:szCs w:val="28"/>
          <w:rtl/>
        </w:rPr>
        <w:t xml:space="preserve">ד.4 מדרג ראייתי מוצע</w:t>
      </w:r>
    </w:p>
    <w:p>
      <w:pPr>
        <w:bidi/>
        <w:spacing w:after="0" w:line="360"/>
        <w:jc w:val="both"/>
      </w:pPr>
      <w:r>
        <w:rPr>
          <w:rFonts w:ascii="David" w:cs="David" w:eastAsia="David" w:hAnsi="David"/>
          <w:noProof/>
          <w:sz w:val="24"/>
          <w:szCs w:val="24"/>
          <w:rtl/>
        </w:rPr>
        <w:t xml:space="preserve">מן הפסיקה ניתן לחלץ מדרג בלתי פורמלי. במדרגה העליונה, מסמך בן זמן המגלם את העסקה: ייפוי כוח מפורט, שטר מסורתי או קבלות, ובלבד שאמיתותם הוכחה; בשנייה, ביצוע גלוי ורצוף: מסירת חזקה, בנייה, עיבוד ומגורים רבי שנים בידיעת הכל; בשלישית, התיעוד המנהלי הנסיבתי: היתרים, ארנונה והיטלים; וברביעית, עדויות בעל פה של בני משפחה, הנבחנות בזהירות יתרה ובכפוף לדרישת הסיוע בתביעות נגד עיזבון.</w:t>
      </w:r>
      <w:r>
        <w:rPr>
          <w:rStyle w:val="FootnoteReference"/>
        </w:rPr>
        <w:footnoteReference w:id="61"/>
      </w:r>
      <w:r>
        <w:rPr>
          <w:rFonts w:ascii="David" w:cs="David" w:eastAsia="David" w:hAnsi="David"/>
          <w:noProof/>
          <w:sz w:val="24"/>
          <w:szCs w:val="24"/>
          <w:rtl/>
        </w:rPr>
        <w:t xml:space="preserve"> אין זה מדרג נוקשה: כוחו של כל מקבץ במצטבר, והעיקרון המנחה הוא קוהרנטיות, כלומר מידת התאמתן של הראיות לסיפור עובדתי אחד. כאשר ייפוי הכוח משנת 1970, הבית שנבנה בשנת 1975, ההיתר, הארנונה ושתיקת האחים במשך יובל מתיישבים זה עם זה, יכריע בית המשפט לטובת המחזיק אף שהמרשם שותק; וכשהם סותרים, יגבר המרשם. תפקידו של המדרג אינו להכביד אלא להבחין בין ראיה שנוצרה בזמן אמת ובלא אינטרס לבין ראיה שנוצרה בצל ההתדיינות, ברוח הדגשת בית המשפט העליון 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כי אין להטיל על הטוען נטל שאין הדין מטיל עליו.</w:t>
      </w:r>
      <w:r>
        <w:rPr>
          <w:rStyle w:val="FootnoteReference"/>
        </w:rPr>
        <w:footnoteReference w:id="62"/>
      </w:r>
    </w:p>
    <w:p>
      <w:pPr>
        <w:pStyle w:val="Heading2"/>
        <w:bidi/>
        <w:spacing w:after="180" w:before="280"/>
      </w:pPr>
      <w:r>
        <w:rPr>
          <w:rFonts w:ascii="David" w:cs="David" w:eastAsia="David" w:hAnsi="David"/>
          <w:b/>
          <w:bCs/>
          <w:noProof/>
          <w:color w:val="000000"/>
          <w:sz w:val="28"/>
          <w:szCs w:val="28"/>
          <w:rtl/>
        </w:rPr>
        <w:t xml:space="preserve">ד.5 ביקורת: כשהוועדה המקומית "משחקת" ערכאה קניינית</w:t>
      </w:r>
    </w:p>
    <w:p>
      <w:pPr>
        <w:bidi/>
        <w:spacing w:after="0" w:line="360"/>
        <w:jc w:val="both"/>
      </w:pPr>
      <w:r>
        <w:rPr>
          <w:rFonts w:ascii="David" w:cs="David" w:eastAsia="David" w:hAnsi="David"/>
          <w:noProof/>
          <w:sz w:val="24"/>
          <w:szCs w:val="24"/>
          <w:rtl/>
        </w:rPr>
        <w:t xml:space="preserve">המדרג חושף תופעה מוסדית: בהיעדר מרשם מתפקד נדחקים מוסדות מנהליים ותכנוניים, בעל כורחם, לתפקיד קנייני. הוועדה המקומית מגלה שאישורה התכנוני משמש כעבור שלושים שנה ראיה מרכזית במשפט בעלות, ומחלקת הגבייה מוצאת את רישומיה מוצגים כתחליף נסח טאבו. זהו היפוך תפקידים כפול: רשויות שלא הוסמכו להכריע בזכויות מייצרות את התשתית שעליה מוכרעות זכויות, ואילו הרשם, שהוסמך לכך, יושב מול פנקס שקפא ותפקידו מינהלי וטכני בלבד;</w:t>
      </w:r>
      <w:r>
        <w:rPr>
          <w:rStyle w:val="FootnoteReference"/>
        </w:rPr>
        <w:footnoteReference w:id="63"/>
      </w:r>
      <w:r>
        <w:rPr>
          <w:rFonts w:ascii="David" w:cs="David" w:eastAsia="David" w:hAnsi="David"/>
          <w:noProof/>
          <w:sz w:val="24"/>
          <w:szCs w:val="24"/>
          <w:rtl/>
        </w:rPr>
        <w:t xml:space="preserve"> המחיר כפול: ראייתית, התשתית שעליה נבנית ההכרעה נוצרה בהליכים שלא נועדו לכך; וחלוקתית, שכן התיעוד קיים היכן שהרשות פעלה ותיעדה, ודווקא ביישובים שבהם ההיערכות המנהלית הייתה חסרה קטן הסיכוי שיימצא בו מענה. המסקנה אינה לפסול את התיעוד המנהלי, אלא להכיר בכך שההישענות עליו היא פתרון חירום, ולחתור להסרת החסמים הנדונים בפרק הבא.</w:t>
      </w:r>
    </w:p>
    <w:p>
      <w:pPr>
        <w:pStyle w:val="Heading1"/>
        <w:bidi/>
        <w:spacing w:after="240" w:before="360"/>
      </w:pPr>
      <w:r>
        <w:rPr>
          <w:rFonts w:ascii="David" w:cs="David" w:eastAsia="David" w:hAnsi="David"/>
          <w:b/>
          <w:bCs/>
          <w:noProof/>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noProof/>
          <w:color w:val="000000"/>
          <w:sz w:val="28"/>
          <w:szCs w:val="28"/>
          <w:rtl/>
        </w:rPr>
        <w:t xml:space="preserve">ה.1 המנגנון הסטטוטורי: אין רישום בלא הסדרת המס</w:t>
      </w:r>
    </w:p>
    <w:p>
      <w:pPr>
        <w:bidi/>
        <w:spacing w:after="0" w:line="360"/>
        <w:jc w:val="both"/>
      </w:pPr>
      <w:r>
        <w:rPr>
          <w:rFonts w:ascii="David" w:cs="David" w:eastAsia="David" w:hAnsi="David"/>
          <w:noProof/>
          <w:sz w:val="24"/>
          <w:szCs w:val="24"/>
          <w:rtl/>
        </w:rPr>
        <w:t xml:space="preserve">שער הכניסה למרשם עובר דרך רשות המסים: חוק מיסוי מקרקעין אינו מסתפק בהטלת מס אלא כורך את תוקפה של העסקה ואת רישומה בהסדרת החבות. סעיף 16(א)(1) מתנה את תוקף המכירה בתשלום המס או במילוי חלופות הביטחון, וסעיף 16(א)(2) מורה כי המכירה לא תירשם אלא אם אישר המנהל שהיא פטורה, שהמס שולם או שניתנה ערובה.</w:t>
      </w:r>
      <w:r>
        <w:rPr>
          <w:rStyle w:val="FootnoteReference"/>
        </w:rPr>
        <w:footnoteReference w:id="64"/>
      </w:r>
      <w:r>
        <w:rPr>
          <w:rFonts w:ascii="David" w:cs="David" w:eastAsia="David" w:hAnsi="David"/>
          <w:noProof/>
          <w:sz w:val="24"/>
          <w:szCs w:val="24"/>
          <w:rtl/>
        </w:rPr>
        <w:t xml:space="preserve"> גורמן ואהרונוביץ׳ מכנים אותו "כלי הגבייה העיקרי של מנהל מיסוי מקרקעין", שבגדרו משמש המרשם "זרוע גבייה" של רשות המסים.</w:t>
      </w:r>
      <w:r>
        <w:rPr>
          <w:rStyle w:val="FootnoteReference"/>
        </w:rPr>
        <w:footnoteReference w:id="65"/>
      </w:r>
      <w:r>
        <w:rPr>
          <w:rFonts w:ascii="David" w:cs="David" w:eastAsia="David" w:hAnsi="David"/>
          <w:noProof/>
          <w:sz w:val="24"/>
          <w:szCs w:val="24"/>
          <w:rtl/>
        </w:rPr>
        <w:t xml:space="preserve"> ומכוונת אל הפרקטיקה הנחקרת הוראת סעיף 16(ב), השוללת תוקף ממכירה שהיא ייפוי כוח לטובת הקונה אלא אם הופקד אצל המנהל במועד. שרשרת השוערים בין העסקה למרשם מונה אפוא שלושה גורמים לפחות, מנהל מיסוי מקרקעין, הרשות המקומית ולעניין קרקעות המדינה גם רשות מקרקעי ישראל, וכל אחד מהם רשאי לעכב את הרישום.</w:t>
      </w:r>
      <w:r>
        <w:rPr>
          <w:rStyle w:val="FootnoteReference"/>
        </w:rPr>
        <w:footnoteReference w:id="66"/>
      </w:r>
    </w:p>
    <w:p>
      <w:pPr>
        <w:bidi/>
        <w:spacing w:after="0" w:line="360"/>
        <w:ind w:firstLine="420"/>
        <w:jc w:val="both"/>
      </w:pPr>
      <w:r>
        <w:rPr>
          <w:rFonts w:ascii="David" w:cs="David" w:eastAsia="David" w:hAnsi="David"/>
          <w:noProof/>
          <w:sz w:val="24"/>
          <w:szCs w:val="24"/>
          <w:rtl/>
        </w:rPr>
        <w:t xml:space="preserve">שיטת המס רחבה מדיני הקניין: "מכירה" נבחנת לפי תוכנה הכלכלי, והיא לוכדת גם זכויות אובליגטוריות וזכויות שביושר שלא נרשמו מעולם, ואף "הרשאה" במקרקעי ישראל הוכרה כ"זכות במקרקעין" לצורכי מס.</w:t>
      </w:r>
      <w:r>
        <w:rPr>
          <w:rStyle w:val="FootnoteReference"/>
        </w:rPr>
        <w:footnoteReference w:id="67"/>
      </w:r>
      <w:r>
        <w:rPr>
          <w:rFonts w:ascii="David" w:cs="David" w:eastAsia="David" w:hAnsi="David"/>
          <w:noProof/>
          <w:sz w:val="24"/>
          <w:szCs w:val="24"/>
          <w:rtl/>
        </w:rPr>
        <w:t xml:space="preserve"> תמונה מקבילה עולה מדיני פיצויי הפגיעה התכנונית: הזכאות לפי סעיף 197 לחוק התכנון והבנייה פורשה כרחבה, ככוללת בעלים שביושר שזכותו לא נרשמה מעולם.</w:t>
      </w:r>
      <w:r>
        <w:rPr>
          <w:rStyle w:val="FootnoteReference"/>
        </w:rPr>
        <w:footnoteReference w:id="68"/>
      </w:r>
      <w:r>
        <w:rPr>
          <w:rFonts w:ascii="David" w:cs="David" w:eastAsia="David" w:hAnsi="David"/>
          <w:noProof/>
          <w:sz w:val="24"/>
          <w:szCs w:val="24"/>
          <w:rtl/>
        </w:rPr>
        <w:t xml:space="preserve"> התוצאה המבנית מרתקת: הדין הכלכלי, המס הגובה מזה והפיצוי המשולם מזה, "רואה" את המחזיק הבלתי רשום, ורק מרשם הזכויות מתעלם ממנו; והפער אינו סימטרי, שכן המחזיק נושא בחבויות המס של בעלים בלא ליהנות מהגנותיו הקנייניות.</w:t>
      </w:r>
    </w:p>
    <w:p>
      <w:pPr>
        <w:pStyle w:val="Heading2"/>
        <w:bidi/>
        <w:spacing w:after="180" w:before="280"/>
      </w:pPr>
      <w:r>
        <w:rPr>
          <w:rFonts w:ascii="David" w:cs="David" w:eastAsia="David" w:hAnsi="David"/>
          <w:b/>
          <w:bCs/>
          <w:noProof/>
          <w:color w:val="000000"/>
          <w:sz w:val="28"/>
          <w:szCs w:val="28"/>
          <w:rtl/>
        </w:rPr>
        <w:t xml:space="preserve">ה.2 העסקה ההיסטורית שלא דווחה: אנטומיה של חוב</w:t>
      </w:r>
    </w:p>
    <w:p>
      <w:pPr>
        <w:bidi/>
        <w:spacing w:after="0" w:line="360"/>
        <w:jc w:val="both"/>
      </w:pPr>
      <w:r>
        <w:rPr>
          <w:rFonts w:ascii="David" w:cs="David" w:eastAsia="David" w:hAnsi="David"/>
          <w:noProof/>
          <w:sz w:val="24"/>
          <w:szCs w:val="24"/>
          <w:rtl/>
        </w:rPr>
        <w:t xml:space="preserve">טלו עסקה טיפוסית: בשנת 1978 מכר, או העניק, אב לבנו מגרש בכפר כנגד ייפוי כוח בלתי חוזר; איש לא הצהיר, והבן בנה את ביתו וחי בו. בחלוף ארבעים וחמש שנים, כשהנכדים מבקשים להסדיר את הרישום, מתעוררות שלוש שכבות חבות: מס השבח בגין המכירה המקורית, מס הרכישה, והפרשי הצמדה, ריבית וקנסות בגין אי ההצהרה, המצטברים ממועד העסקה.</w:t>
      </w:r>
      <w:r>
        <w:rPr>
          <w:rStyle w:val="FootnoteReference"/>
        </w:rPr>
        <w:footnoteReference w:id="69"/>
      </w:r>
      <w:r>
        <w:rPr>
          <w:rFonts w:ascii="David" w:cs="David" w:eastAsia="David" w:hAnsi="David"/>
          <w:noProof/>
          <w:sz w:val="24"/>
          <w:szCs w:val="24"/>
          <w:rtl/>
        </w:rPr>
        <w:t xml:space="preserve"> לעיתים עצם שחזור העסקה קשה: הצדדים המקוריים נפטרו, שווי השוק דאז אינו מתועד, והשאלה אם הייתה זו מכר או מתנה פטורה שנויה במחלוקת; השומה נערכת אז לפי מיטב השפיטה, והליכי ההשגה מוסיפים עלות וזמן. ובשרשרת העברות כל חוליה היא "מכירה" נפרדת המקימה אירוע מס, ולכן מי שמבקש להסדיר את רישומו נדרש להסדיר תחילה את מכירת הסב לאב ואת חלוקת האב בין בניו. הצטברות זו הופכת את החסם מקושי נקודתי למחסום מערכתי.</w:t>
      </w:r>
    </w:p>
    <w:p>
      <w:pPr>
        <w:bidi/>
        <w:spacing w:after="0" w:line="360"/>
        <w:ind w:firstLine="420"/>
        <w:jc w:val="both"/>
      </w:pPr>
      <w:r>
        <w:rPr>
          <w:rFonts w:ascii="David" w:cs="David" w:eastAsia="David" w:hAnsi="David"/>
          <w:noProof/>
          <w:sz w:val="24"/>
          <w:szCs w:val="24"/>
          <w:rtl/>
        </w:rPr>
        <w:t xml:space="preserve">חשוב לדייק במעמדה של "התניית הרישום": אי הדיווח אינו מאיין את העסקה בין הצדדים, שכן הפסיקה והספרות ריככו את סעיף 16 ופירשוהו כך שהעדר דיווח משעה את תוקף המכירה אך אינו שולל אותו לצמיתות, וההצהרה ניתנת להגשה באיחור.</w:t>
      </w:r>
      <w:r>
        <w:rPr>
          <w:rStyle w:val="FootnoteReference"/>
        </w:rPr>
        <w:footnoteReference w:id="70"/>
      </w:r>
      <w:r>
        <w:rPr>
          <w:rFonts w:ascii="David" w:cs="David" w:eastAsia="David" w:hAnsi="David"/>
          <w:noProof/>
          <w:sz w:val="24"/>
          <w:szCs w:val="24"/>
          <w:rtl/>
        </w:rPr>
        <w:t xml:space="preserve"> המשמעות בסכסוך המשפחתי כפולה: נתבע אינו יכול להיבנות מטענה שהעסקה "בטלה" משום שלא דווחה, אך התובע שזכה בהצהרה יגלה כי בין פסק הדין לרישום חוצץ עדיין מסך המס. ההקלות שמכיר בהן הדין בהעברות בין קרובים מכוונות לעסקאות המדווחות במועדן, ואינן מסירות את מחסום הקנסות והריבית שנצברו בעסקה שלא דווחה עשורים.</w:t>
      </w:r>
    </w:p>
    <w:p>
      <w:pPr>
        <w:pStyle w:val="Heading2"/>
        <w:bidi/>
        <w:spacing w:after="180" w:before="280"/>
      </w:pPr>
      <w:r>
        <w:rPr>
          <w:rFonts w:ascii="David" w:cs="David" w:eastAsia="David" w:hAnsi="David"/>
          <w:b/>
          <w:bCs/>
          <w:noProof/>
          <w:color w:val="000000"/>
          <w:sz w:val="28"/>
          <w:szCs w:val="28"/>
          <w:rtl/>
        </w:rPr>
        <w:t xml:space="preserve">ה.3 ביקורת: כלי למניעת העלמה שהפך חסם</w:t>
      </w:r>
    </w:p>
    <w:p>
      <w:pPr>
        <w:bidi/>
        <w:spacing w:after="0" w:line="360"/>
        <w:jc w:val="both"/>
      </w:pPr>
      <w:r>
        <w:rPr>
          <w:rFonts w:ascii="David" w:cs="David" w:eastAsia="David" w:hAnsi="David"/>
          <w:noProof/>
          <w:sz w:val="24"/>
          <w:szCs w:val="24"/>
          <w:rtl/>
        </w:rPr>
        <w:t xml:space="preserve">המנגנון נולד כתכליתו: כלי לחימה בהעלמות מס בשוק מסחרי, שבו הצדדים זרים והתמריץ היחיד לדיווח הוא המחסום הרישומי. שם הוא יעיל, שכן הקונה החפץ ברישום מיידי כופה את הדיווח. ביישומו על ההעברה הפנים משפחתית מתהפכת הלוגיקה: הצדדים אינם חפצים ברישום מיידי, שכן ההעברה "הושלמה" מבחינתם במסירת החזקה ובייפוי הכוח, ולכן המחסום אינו כופה דיווח אלא נותר ניצב, שנה אחר שנה, כשהחוב ההיסטורי צובר הצמדה, ריבית וקנסות. כלי שנועד למנוע העלמה בשוק פעיל הפך, באוכלוסייה שדפוסיה שונים, למנציח אי רישום, וזוהי שוב התוצאה החלוקתית שתוארה בפרק א.</w:t>
      </w:r>
      <w:r>
        <w:rPr>
          <w:rStyle w:val="FootnoteReference"/>
        </w:rPr>
        <w:footnoteReference w:id="71"/>
      </w:r>
    </w:p>
    <w:p>
      <w:pPr>
        <w:bidi/>
        <w:spacing w:after="0" w:line="360"/>
        <w:ind w:firstLine="420"/>
        <w:jc w:val="both"/>
      </w:pPr>
      <w:r>
        <w:rPr>
          <w:rFonts w:ascii="David" w:cs="David" w:eastAsia="David" w:hAnsi="David"/>
          <w:noProof/>
          <w:sz w:val="24"/>
          <w:szCs w:val="24"/>
          <w:rtl/>
        </w:rPr>
        <w:t xml:space="preserve">התוצאה היא "נעילה" (</w:t>
      </w:r>
      <w:r>
        <w:rPr>
          <w:rFonts w:ascii="Times New Roman" w:cs="Times New Roman" w:eastAsia="Times New Roman" w:hAnsi="Times New Roman"/>
          <w:noProof/>
          <w:sz w:val="24"/>
          <w:szCs w:val="24"/>
        </w:rPr>
        <w:t xml:space="preserve">lock-in</w:t>
      </w:r>
      <w:r>
        <w:rPr>
          <w:rFonts w:ascii="David" w:cs="David" w:eastAsia="David" w:hAnsi="David"/>
          <w:noProof/>
          <w:sz w:val="24"/>
          <w:szCs w:val="24"/>
          <w:rtl/>
        </w:rPr>
        <w:t xml:space="preserve">) רב דורית: ככל שחולף הזמן עלות ההסדרה גדלה, שכן השרשרת מתארכת ומספר בעלי העניין מתרבה עם כל דור. דווקא הזקוקים ביותר לוודאות קניינית נדחקים אפוא אל מחוץ למרשם, והונם נותר "הון מת": נכסים שאינם ניתנים למשכון, לביטוח ולמימוש.</w:t>
      </w:r>
      <w:r>
        <w:rPr>
          <w:rStyle w:val="FootnoteReference"/>
        </w:rPr>
        <w:footnoteReference w:id="72"/>
      </w:r>
      <w:r>
        <w:rPr>
          <w:rFonts w:ascii="David" w:cs="David" w:eastAsia="David" w:hAnsi="David"/>
          <w:noProof/>
          <w:sz w:val="24"/>
          <w:szCs w:val="24"/>
          <w:rtl/>
        </w:rPr>
        <w:t xml:space="preserve"> ולמעגל נוסף יש לתת את הדעת: המלכוד עצמו מוליד סכסוכים, שכן כל עוד ההסדרה יקרה מנשוא נותר המרשם על שם המוריש, וכל דור יורשים חדש יורש עם הקרקע גם את אי הבהירות. "התניית הרישום" איננה אפוא רק שאלה פיסקלית אלא גורם ישיר בייצור ההתדיינות הנדונה בעבודה זו. ובמישור הראייתי, טענת יורש כי "אילו הייתה עסקה, הייתה מדווחת" זוכה למשקל מוגבל, שכן אי הדיווח היה נורמה חברתית רחבה.</w:t>
      </w:r>
      <w:r>
        <w:rPr>
          <w:rStyle w:val="FootnoteReference"/>
        </w:rPr>
        <w:footnoteReference w:id="73"/>
      </w:r>
    </w:p>
    <w:p>
      <w:pPr>
        <w:pStyle w:val="Heading1"/>
        <w:bidi/>
        <w:spacing w:after="240" w:before="360"/>
      </w:pPr>
      <w:r>
        <w:rPr>
          <w:rFonts w:ascii="David" w:cs="David" w:eastAsia="David" w:hAnsi="David"/>
          <w:b/>
          <w:bCs/>
          <w:noProof/>
          <w:color w:val="000000"/>
          <w:sz w:val="32"/>
          <w:szCs w:val="32"/>
          <w:rtl/>
        </w:rPr>
        <w:t xml:space="preserve">פרק ו: משפט משווה (המשפט המקובל, המשפט המצרי והמשפט השרעי)</w:t>
      </w:r>
    </w:p>
    <w:p>
      <w:pPr>
        <w:bidi/>
        <w:spacing w:after="0" w:line="360"/>
        <w:jc w:val="both"/>
      </w:pPr>
      <w:r>
        <w:rPr>
          <w:rFonts w:ascii="David" w:cs="David" w:eastAsia="David" w:hAnsi="David"/>
          <w:noProof/>
          <w:sz w:val="24"/>
          <w:szCs w:val="24"/>
          <w:rtl/>
        </w:rPr>
        <w:t xml:space="preserve">שלוש השיטות שנבחרו מייצגות שלושה פתרונות ארכיטיפיים לבעיית הזכות הבלתי רשומה: המשפט המקובל פיצל את הבעלות לשני רבדים והפקיד את השני בידי דיני היושר; המשפט המצרי הפריד הפרדה חדה בין החיוב לקניין, אך העמיד לצדה התיישנות רוכשת; והמשפט השרעי, שקדם למרשם, העמיד את התפיסה הפיזית במרכז ההקניה.</w:t>
      </w:r>
      <w:r>
        <w:rPr>
          <w:rStyle w:val="FootnoteReference"/>
        </w:rPr>
        <w:footnoteReference w:id="74"/>
      </w:r>
    </w:p>
    <w:p>
      <w:pPr>
        <w:pStyle w:val="Heading2"/>
        <w:bidi/>
        <w:spacing w:after="180" w:before="280"/>
      </w:pPr>
      <w:r>
        <w:rPr>
          <w:rFonts w:ascii="David" w:cs="David" w:eastAsia="David" w:hAnsi="David"/>
          <w:b/>
          <w:bCs/>
          <w:noProof/>
          <w:color w:val="000000"/>
          <w:sz w:val="28"/>
          <w:szCs w:val="28"/>
          <w:rtl/>
        </w:rPr>
        <w:t xml:space="preserve">ו.1 המשפט המקובל (Common Law)</w:t>
      </w:r>
    </w:p>
    <w:p>
      <w:pPr>
        <w:pStyle w:val="Heading3"/>
        <w:bidi/>
        <w:spacing w:after="140" w:before="220"/>
      </w:pPr>
      <w:r>
        <w:rPr>
          <w:rFonts w:ascii="David" w:cs="David" w:eastAsia="David" w:hAnsi="David"/>
          <w:b/>
          <w:bCs/>
          <w:noProof/>
          <w:color w:val="000000"/>
          <w:sz w:val="26"/>
          <w:szCs w:val="26"/>
          <w:rtl/>
        </w:rPr>
        <w:t xml:space="preserve">ו.1.1 הבעלות שביושר: החוזה כמקור קניין</w:t>
      </w:r>
    </w:p>
    <w:p>
      <w:pPr>
        <w:bidi/>
        <w:spacing w:after="0" w:line="360"/>
        <w:jc w:val="both"/>
      </w:pPr>
      <w:r>
        <w:rPr>
          <w:rFonts w:ascii="David" w:cs="David" w:eastAsia="David" w:hAnsi="David"/>
          <w:noProof/>
          <w:sz w:val="24"/>
          <w:szCs w:val="24"/>
          <w:rtl/>
        </w:rPr>
        <w:t xml:space="preserve">אבן הפינה הונחה במאה התשע עשרה: משנכרת חוזה מכר הניתן לאכיפה בעין, הופך המוכר לנאמן של הקונה והקונה לבעלים שביושר, עוד בטרם הועברה הבעלות המשפטית. כך בעניין </w:t>
      </w:r>
      <w:r>
        <w:rPr>
          <w:rFonts w:ascii="Times New Roman" w:cs="Times New Roman" w:eastAsia="Times New Roman" w:hAnsi="Times New Roman"/>
          <w:i/>
          <w:iCs/>
          <w:noProof/>
          <w:sz w:val="24"/>
          <w:szCs w:val="24"/>
        </w:rPr>
        <w:t xml:space="preserve">Lysaght v Edwards</w:t>
      </w:r>
      <w:r>
        <w:rPr>
          <w:rFonts w:ascii="David" w:cs="David" w:eastAsia="David" w:hAnsi="David"/>
          <w:noProof/>
          <w:sz w:val="24"/>
          <w:szCs w:val="24"/>
          <w:rtl/>
        </w:rPr>
        <w:t xml:space="preserve">, שבו נקבע כי מות המוכר בין הכריתה להשלמה אינו מעלה ואינו מוריד, וכך בעניין </w:t>
      </w:r>
      <w:r>
        <w:rPr>
          <w:rFonts w:ascii="Times New Roman" w:cs="Times New Roman" w:eastAsia="Times New Roman" w:hAnsi="Times New Roman"/>
          <w:i/>
          <w:iCs/>
          <w:noProof/>
          <w:sz w:val="24"/>
          <w:szCs w:val="24"/>
        </w:rPr>
        <w:t xml:space="preserve">Walsh v Lonsdale</w:t>
      </w:r>
      <w:r>
        <w:rPr>
          <w:rFonts w:ascii="David" w:cs="David" w:eastAsia="David" w:hAnsi="David"/>
          <w:noProof/>
          <w:sz w:val="24"/>
          <w:szCs w:val="24"/>
          <w:rtl/>
        </w:rPr>
        <w:t xml:space="preserve">, שבו הוטבע הכלל "היושר רואה כעשוי את שראוי היה להיעשות" ונאכף הסכם לחכירה שלא נחתם בשטר.</w:t>
      </w:r>
      <w:r>
        <w:rPr>
          <w:rStyle w:val="FootnoteReference"/>
        </w:rPr>
        <w:footnoteReference w:id="75"/>
      </w:r>
      <w:r>
        <w:rPr>
          <w:rFonts w:ascii="David" w:cs="David" w:eastAsia="David" w:hAnsi="David"/>
          <w:noProof/>
          <w:sz w:val="24"/>
          <w:szCs w:val="24"/>
          <w:rtl/>
        </w:rPr>
        <w:t xml:space="preserve"> העומק הרעיוני: החוזה עצמו, ולא הרישום, מכונן את הזיקה הקניינית; וזהו המקור הישיר של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שכן "הזכות שביושר תוצרת הארץ" היא נכדתה של הבעלות שביושר האנגלית, לאחר שסעיף 161 ביקש לנתק את השיטה ממקורות היושר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noProof/>
          <w:color w:val="000000"/>
          <w:sz w:val="26"/>
          <w:szCs w:val="26"/>
          <w:rtl/>
        </w:rPr>
        <w:t xml:space="preserve">ו.1.2 המרשם, "פער הרישום" והזכויות הגוברות</w:t>
      </w:r>
    </w:p>
    <w:p>
      <w:pPr>
        <w:bidi/>
        <w:spacing w:after="0" w:line="360"/>
        <w:jc w:val="both"/>
      </w:pPr>
      <w:r>
        <w:rPr>
          <w:rFonts w:ascii="David" w:cs="David" w:eastAsia="David" w:hAnsi="David"/>
          <w:noProof/>
          <w:sz w:val="24"/>
          <w:szCs w:val="24"/>
          <w:rtl/>
        </w:rPr>
        <w:t xml:space="preserve">המשפט האנגלי המודרני אימץ מרשם ריכוזי, וחוק רישום המקרקעין משנת 2002 קובע, בדומה לסעיף 7 הישראלי, כי דיספוזיציה טעונת רישום "אינה פועלת במשפט" עד שמולאו דרישות הרישום. אלא שהדין האנגלי העניק לקטגוריה שלמה של זכויות בלתי רשומות כוח לגבור אף על רוכש רשום: "הזכויות הגוברות" (</w:t>
      </w:r>
      <w:r>
        <w:rPr>
          <w:rFonts w:ascii="Times New Roman" w:cs="Times New Roman" w:eastAsia="Times New Roman" w:hAnsi="Times New Roman"/>
          <w:noProof/>
          <w:sz w:val="24"/>
          <w:szCs w:val="24"/>
        </w:rPr>
        <w:t xml:space="preserve">overriding interests</w:t>
      </w:r>
      <w:r>
        <w:rPr>
          <w:rFonts w:ascii="David" w:cs="David" w:eastAsia="David" w:hAnsi="David"/>
          <w:noProof/>
          <w:sz w:val="24"/>
          <w:szCs w:val="24"/>
          <w:rtl/>
        </w:rPr>
        <w:t xml:space="preserve">), ובראשן זכותו של המצוי בתפיסה ממשית. בפרשת </w:t>
      </w:r>
      <w:r>
        <w:rPr>
          <w:rFonts w:ascii="Times New Roman" w:cs="Times New Roman" w:eastAsia="Times New Roman" w:hAnsi="Times New Roman"/>
          <w:i/>
          <w:iCs/>
          <w:noProof/>
          <w:sz w:val="24"/>
          <w:szCs w:val="24"/>
        </w:rPr>
        <w:t xml:space="preserve">Boland</w:t>
      </w:r>
      <w:r>
        <w:rPr>
          <w:rFonts w:ascii="David" w:cs="David" w:eastAsia="David" w:hAnsi="David"/>
          <w:noProof/>
          <w:sz w:val="24"/>
          <w:szCs w:val="24"/>
          <w:rtl/>
        </w:rPr>
        <w:t xml:space="preserve"> הוחלה ההגנה על אישה שתרמה לרכישת בית שנרשם על שם בעלה: זכותה שביושר, בצירוף מגוריה, גברה על הבנק הממשכן.</w:t>
      </w:r>
      <w:r>
        <w:rPr>
          <w:rStyle w:val="FootnoteReference"/>
        </w:rPr>
        <w:footnoteReference w:id="77"/>
      </w:r>
      <w:r>
        <w:rPr>
          <w:rFonts w:ascii="David" w:cs="David" w:eastAsia="David" w:hAnsi="David"/>
          <w:noProof/>
          <w:sz w:val="24"/>
          <w:szCs w:val="24"/>
          <w:rtl/>
        </w:rPr>
        <w:t xml:space="preserve"> ההקבלה מתבקשת: בן המשפחה המתגורר עשרות שנים בבית שבנה על חלקת המשפחה הוא "המחזיק בתפיסה ממשית" שהדין האנגלי בחר להגן עליו, הגנה שהדין הישראלי מעניק רק בעקיפין. ובמישור המבני, השיטה האנגלית נושאת את הפגם שהזכויות הגוברות פוגמות בו בזכות עקרון הפיצוי, המזכה בשיפוי מקופה ציבורית את מי שניזוק מטעות במרשם, ואילו הדין הישראלי אימץ את עקרונות המראה והווילון בגרסה מחמירה בלא מנגנון שיפוי.</w:t>
      </w:r>
      <w:r>
        <w:rPr>
          <w:rStyle w:val="FootnoteReference"/>
        </w:rPr>
        <w:footnoteReference w:id="78"/>
      </w:r>
    </w:p>
    <w:p>
      <w:pPr>
        <w:pStyle w:val="Heading3"/>
        <w:bidi/>
        <w:spacing w:after="140" w:before="220"/>
      </w:pPr>
      <w:r>
        <w:rPr>
          <w:rFonts w:ascii="David" w:cs="David" w:eastAsia="David" w:hAnsi="David"/>
          <w:b/>
          <w:bCs/>
          <w:noProof/>
          <w:color w:val="000000"/>
          <w:sz w:val="26"/>
          <w:szCs w:val="26"/>
          <w:rtl/>
        </w:rPr>
        <w:t xml:space="preserve">ו.1.3 רכישה בלתי פורמלית בתוך המשפחה: נאמנות משתמעת והשתק קנייני</w:t>
      </w:r>
    </w:p>
    <w:p>
      <w:pPr>
        <w:bidi/>
        <w:spacing w:after="0" w:line="360"/>
        <w:jc w:val="both"/>
      </w:pPr>
      <w:r>
        <w:rPr>
          <w:rFonts w:ascii="David" w:cs="David" w:eastAsia="David" w:hAnsi="David"/>
          <w:noProof/>
          <w:sz w:val="24"/>
          <w:szCs w:val="24"/>
          <w:rtl/>
        </w:rPr>
        <w:t xml:space="preserve">את מקומם של ייפוי הכוח והעסקה בעל פה ממלאים באנגליה שני מוסדות יושר. הראשון, הנאמנות המשתמעת מכוונה משותפת (</w:t>
      </w:r>
      <w:r>
        <w:rPr>
          <w:rFonts w:ascii="Times New Roman" w:cs="Times New Roman" w:eastAsia="Times New Roman" w:hAnsi="Times New Roman"/>
          <w:noProof/>
          <w:sz w:val="24"/>
          <w:szCs w:val="24"/>
        </w:rPr>
        <w:t xml:space="preserve">common intention constructive trust</w:t>
      </w:r>
      <w:r>
        <w:rPr>
          <w:rFonts w:ascii="David" w:cs="David" w:eastAsia="David" w:hAnsi="David"/>
          <w:noProof/>
          <w:sz w:val="24"/>
          <w:szCs w:val="24"/>
          <w:rtl/>
        </w:rPr>
        <w:t xml:space="preserve">): מקום שבני משפחה רכשו והחזיקו נכס במשותף, נלמדות זכויותיהם ממכלול התנהלותם ולא מן הרישום.</w:t>
      </w:r>
      <w:r>
        <w:rPr>
          <w:rStyle w:val="FootnoteReference"/>
        </w:rPr>
        <w:footnoteReference w:id="79"/>
      </w:r>
      <w:r>
        <w:rPr>
          <w:rFonts w:ascii="David" w:cs="David" w:eastAsia="David" w:hAnsi="David"/>
          <w:noProof/>
          <w:sz w:val="24"/>
          <w:szCs w:val="24"/>
          <w:rtl/>
        </w:rPr>
        <w:t xml:space="preserve"> השני, ההשתק הקנייני (</w:t>
      </w:r>
      <w:r>
        <w:rPr>
          <w:rFonts w:ascii="Times New Roman" w:cs="Times New Roman" w:eastAsia="Times New Roman" w:hAnsi="Times New Roman"/>
          <w:noProof/>
          <w:sz w:val="24"/>
          <w:szCs w:val="24"/>
        </w:rPr>
        <w:t xml:space="preserve">proprietary estoppel</w:t>
      </w:r>
      <w:r>
        <w:rPr>
          <w:rFonts w:ascii="David" w:cs="David" w:eastAsia="David" w:hAnsi="David"/>
          <w:noProof/>
          <w:sz w:val="24"/>
          <w:szCs w:val="24"/>
          <w:rtl/>
        </w:rPr>
        <w:t xml:space="preserve">), שפותח בסכסוכי ירושה חקלאיים: מי שעבד שנים במשק המשפחתי על יסוד הבטחות, אף מרומזות, שיירש אותו, והסתמך עליהן לרעתו, זכאי לסעד קנייני. כך בעניין </w:t>
      </w:r>
      <w:r>
        <w:rPr>
          <w:rFonts w:ascii="Times New Roman" w:cs="Times New Roman" w:eastAsia="Times New Roman" w:hAnsi="Times New Roman"/>
          <w:i/>
          <w:iCs/>
          <w:noProof/>
          <w:sz w:val="24"/>
          <w:szCs w:val="24"/>
        </w:rPr>
        <w:t xml:space="preserve">Thorner v Major</w:t>
      </w:r>
      <w:r>
        <w:rPr>
          <w:rFonts w:ascii="David" w:cs="David" w:eastAsia="David" w:hAnsi="David"/>
          <w:noProof/>
          <w:sz w:val="24"/>
          <w:szCs w:val="24"/>
          <w:rtl/>
        </w:rPr>
        <w:t xml:space="preserve">, שבו הוכרה זכותו של בן משפחה שעבד שלושים שנה בלא שכר על יסוד רמיזות עקיפות, ובעניין </w:t>
      </w:r>
      <w:r>
        <w:rPr>
          <w:rFonts w:ascii="Times New Roman" w:cs="Times New Roman" w:eastAsia="Times New Roman" w:hAnsi="Times New Roman"/>
          <w:i/>
          <w:iCs/>
          <w:noProof/>
          <w:sz w:val="24"/>
          <w:szCs w:val="24"/>
        </w:rPr>
        <w:t xml:space="preserve">Guest v Guest</w:t>
      </w:r>
      <w:r>
        <w:rPr>
          <w:rFonts w:ascii="David" w:cs="David" w:eastAsia="David" w:hAnsi="David"/>
          <w:noProof/>
          <w:sz w:val="24"/>
          <w:szCs w:val="24"/>
          <w:rtl/>
        </w:rPr>
        <w:t xml:space="preserve">, שבו נקבע כי נקודת המוצא לסעד היא הגשמת הציפייה שהובטחה ולא פיצוי על ההסתמכות בלבד.</w:t>
      </w:r>
      <w:r>
        <w:rPr>
          <w:rStyle w:val="FootnoteReference"/>
        </w:rPr>
        <w:footnoteReference w:id="80"/>
      </w:r>
      <w:r>
        <w:rPr>
          <w:rFonts w:ascii="David" w:cs="David" w:eastAsia="David" w:hAnsi="David"/>
          <w:noProof/>
          <w:sz w:val="24"/>
          <w:szCs w:val="24"/>
          <w:rtl/>
        </w:rPr>
        <w:t xml:space="preserve"> ההבדל בין השניים אינו סמנטי: הנאמנות המשתמעת מצהירה על זכות שביושר הקיימת ממילא, ואילו ההשתק הוא מוסד תרופתי הנשען על ארבעה יסודות: הבטחה, הסתמכות, שינוי מצב לרעה ואי מצפוניות בהתכחשות. הדמיון לעובדות המקרים הישראליים ניכר: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ו"זעקת ההגינות" הן,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noProof/>
          <w:color w:val="000000"/>
          <w:sz w:val="26"/>
          <w:szCs w:val="26"/>
          <w:rtl/>
        </w:rPr>
        <w:t xml:space="preserve">ו.1.4 מתנות, צורה וייפוי כוח בלתי חוזר</w:t>
      </w:r>
    </w:p>
    <w:p>
      <w:pPr>
        <w:bidi/>
        <w:spacing w:after="0" w:line="360"/>
        <w:jc w:val="both"/>
      </w:pPr>
      <w:r>
        <w:rPr>
          <w:rFonts w:ascii="David" w:cs="David" w:eastAsia="David" w:hAnsi="David"/>
          <w:noProof/>
          <w:sz w:val="24"/>
          <w:szCs w:val="24"/>
          <w:rtl/>
        </w:rPr>
        <w:t xml:space="preserve">בדיני המתנה מחזיק המשפט המקובל בכלל נוקשה: "היושר לא ישלים מתנה פגומה", והקניית מקרקעין במתנה טעונה שטר ורישום. עיקרון זה נקלט אל הפסיקה הישראלית: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נשללה תחולת דיני היושר ממקבלי מתנה שלא נרשמה, בנימוק שהיושר הגן על רוכש בתמורה ולא על מתנדב; ואולם גם כאן פיתחו דיני היושר חריצים, ובהם הלכת </w:t>
      </w:r>
      <w:r>
        <w:rPr>
          <w:rFonts w:ascii="Times New Roman" w:cs="Times New Roman" w:eastAsia="Times New Roman" w:hAnsi="Times New Roman"/>
          <w:i/>
          <w:iCs/>
          <w:noProof/>
          <w:sz w:val="24"/>
          <w:szCs w:val="24"/>
        </w:rPr>
        <w:t xml:space="preserve">Re Rose</w:t>
      </w:r>
      <w:r>
        <w:rPr>
          <w:rFonts w:ascii="David" w:cs="David" w:eastAsia="David" w:hAnsi="David"/>
          <w:noProof/>
          <w:sz w:val="24"/>
          <w:szCs w:val="24"/>
          <w:rtl/>
        </w:rPr>
        <w:t xml:space="preserve">, שלפיה משעשה הנותן כל שבידו המתנה שלמה ביושר אף בטרם הרישום.</w:t>
      </w:r>
      <w:r>
        <w:rPr>
          <w:rStyle w:val="FootnoteReference"/>
        </w:rPr>
        <w:footnoteReference w:id="81"/>
      </w:r>
      <w:r>
        <w:rPr>
          <w:rFonts w:ascii="David" w:cs="David" w:eastAsia="David" w:hAnsi="David"/>
          <w:noProof/>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עצמו או חיוב כלפיו, ואילו חוק השליחות הישראלי הרחיב את ההגנה גם לאינטרס של צד שלישי, הרחבה שחשיבותה רבה דווקא בעסקאות המשפחתיות.</w:t>
      </w:r>
      <w:r>
        <w:rPr>
          <w:rStyle w:val="FootnoteReference"/>
        </w:rPr>
        <w:footnoteReference w:id="82"/>
      </w:r>
      <w:r>
        <w:rPr>
          <w:rFonts w:ascii="David" w:cs="David" w:eastAsia="David" w:hAnsi="David"/>
          <w:noProof/>
          <w:sz w:val="24"/>
          <w:szCs w:val="24"/>
          <w:rtl/>
        </w:rPr>
        <w:t xml:space="preserve"> באנגליה לא צמחה, אפוא, פרקטיקה של "מכר בייפוי כוח": הזכות שביושר ייתרה את הצורך במכשיר עוקף, והמרשם הזול לא הרתיע מרישום; ואנגליה אף כמעט ביטלה את ההתיישנות הרוכשת במקרקעין רשומים, צעד שהעצים את חשיבות מוסדות היושר.</w:t>
      </w:r>
      <w:r>
        <w:rPr>
          <w:rStyle w:val="FootnoteReference"/>
        </w:rPr>
        <w:footnoteReference w:id="83"/>
      </w:r>
    </w:p>
    <w:p>
      <w:pPr>
        <w:pStyle w:val="Heading2"/>
        <w:bidi/>
        <w:spacing w:after="180" w:before="280"/>
      </w:pPr>
      <w:r>
        <w:rPr>
          <w:rFonts w:ascii="David" w:cs="David" w:eastAsia="David" w:hAnsi="David"/>
          <w:b/>
          <w:bCs/>
          <w:noProof/>
          <w:color w:val="000000"/>
          <w:sz w:val="28"/>
          <w:szCs w:val="28"/>
          <w:rtl/>
        </w:rPr>
        <w:t xml:space="preserve">ו.2 המשפט המצרי</w:t>
      </w:r>
    </w:p>
    <w:p>
      <w:pPr>
        <w:pStyle w:val="Heading3"/>
        <w:bidi/>
        <w:spacing w:after="140" w:before="220"/>
      </w:pPr>
      <w:r>
        <w:rPr>
          <w:rFonts w:ascii="David" w:cs="David" w:eastAsia="David" w:hAnsi="David"/>
          <w:b/>
          <w:bCs/>
          <w:noProof/>
          <w:color w:val="000000"/>
          <w:sz w:val="26"/>
          <w:szCs w:val="26"/>
          <w:rtl/>
        </w:rPr>
        <w:t xml:space="preserve">ו.2.1 העיקרון: אין קניין בלא רישום, והמציאות: אין רישום</w:t>
      </w:r>
    </w:p>
    <w:p>
      <w:pPr>
        <w:bidi/>
        <w:spacing w:after="0" w:line="360"/>
        <w:jc w:val="both"/>
      </w:pPr>
      <w:r>
        <w:rPr>
          <w:rFonts w:ascii="David" w:cs="David" w:eastAsia="David" w:hAnsi="David"/>
          <w:noProof/>
          <w:sz w:val="24"/>
          <w:szCs w:val="24"/>
          <w:rtl/>
        </w:rPr>
        <w:t xml:space="preserve">הקוד האזרחי המצרי משנת 1948, פרי עטו של עבד אל-רזאק אל-סנהורי, הגדיר את המכר כחוזה אובליגטורי, וקבע בסעיף 934 כי הבעלות במקרקעין אינה עוברת, לא בין הצדדים ולא כלפי צדדים שלישיים, אלא לפי חוק הפומביות המקרקעית; וחוק הרישום משלים בסעיף 9 כי בהיעדר רישום אין לעסקה אלא תוקף של חיובים אישיים.</w:t>
      </w:r>
      <w:r>
        <w:rPr>
          <w:rStyle w:val="FootnoteReference"/>
        </w:rPr>
        <w:footnoteReference w:id="84"/>
      </w:r>
      <w:r>
        <w:rPr>
          <w:rFonts w:ascii="David" w:cs="David" w:eastAsia="David" w:hAnsi="David"/>
          <w:noProof/>
          <w:sz w:val="24"/>
          <w:szCs w:val="24"/>
          <w:rtl/>
        </w:rPr>
        <w:t xml:space="preserve"> עד כאן, תאומו של סעיף 7 הישראלי; אלא שהפער בין הדין למציאות הוא תהום: לפי הצהרת שר המשפטים המצרי בשנת 2022, למעלה מ-90% מן הנכסים אינם רשומים, ושיעור הרישום נותר נמוך מ-10% גם לאחר הרפורמות.</w:t>
      </w:r>
      <w:r>
        <w:rPr>
          <w:rStyle w:val="FootnoteReference"/>
        </w:rPr>
        <w:footnoteReference w:id="85"/>
      </w:r>
      <w:r>
        <w:rPr>
          <w:rFonts w:ascii="David" w:cs="David" w:eastAsia="David" w:hAnsi="David"/>
          <w:noProof/>
          <w:sz w:val="24"/>
          <w:szCs w:val="24"/>
          <w:rtl/>
        </w:rPr>
        <w:t xml:space="preserve"> הגורמים מוכרים מפרק ה: אגרות רישום הנגזרות משווי הנכס, הליכים ממושכים, דרישות תיעוד שאין בידי המחזיקים למלא, וחשש מחשיפה לרשויות המס; ובמרשם הפרסונלי אף אין "דף חלקה" שאפשר לעיין בו.</w:t>
      </w:r>
      <w:r>
        <w:rPr>
          <w:rStyle w:val="FootnoteReference"/>
        </w:rPr>
        <w:footnoteReference w:id="86"/>
      </w:r>
    </w:p>
    <w:p>
      <w:pPr>
        <w:pStyle w:val="Heading3"/>
        <w:bidi/>
        <w:spacing w:after="140" w:before="220"/>
      </w:pPr>
      <w:r>
        <w:rPr>
          <w:rFonts w:ascii="David" w:cs="David" w:eastAsia="David" w:hAnsi="David"/>
          <w:b/>
          <w:bCs/>
          <w:noProof/>
          <w:color w:val="000000"/>
          <w:sz w:val="26"/>
          <w:szCs w:val="26"/>
          <w:rtl/>
        </w:rPr>
        <w:t xml:space="preserve">ו.2.2 הפרקטיקה: מכר בייפוי כוח בלתי הדיר ותביעות האימות</w:t>
      </w:r>
    </w:p>
    <w:p>
      <w:pPr>
        <w:bidi/>
        <w:spacing w:after="0" w:line="360"/>
        <w:jc w:val="both"/>
      </w:pPr>
      <w:r>
        <w:rPr>
          <w:rFonts w:ascii="David" w:cs="David" w:eastAsia="David" w:hAnsi="David"/>
          <w:noProof/>
          <w:sz w:val="24"/>
          <w:szCs w:val="24"/>
          <w:rtl/>
        </w:rPr>
        <w:t xml:space="preserve">בחלל שבין הדין למציאות צמחה במצרים אותה פרקטיקה עצמה, והיא שם שיטת ההעברה הדומיננטית: המוכר אינו רושם דבר אלא מעניק לקונה "תַוְכִּיל", ייפוי כוח בלתי הדיר המסמיך אותו לעשות בנכס כבשלו. הבסיס מצוי בסעיף 715 לקוד, שלפיו שליחות שניתנה לטובת השלוח או לטובת צד שלישי אינה ניתנת לביטול בלא הסכמת הנהנה, ממש כסעיף 14(ב) הישראלי; ונקודות התורפה זהות לאלו שנחשפו בפרק ג: פקיעה במות המרשה וחשיפה למכירה כפולה.</w:t>
      </w:r>
      <w:r>
        <w:rPr>
          <w:rStyle w:val="FootnoteReference"/>
        </w:rPr>
        <w:footnoteReference w:id="87"/>
      </w:r>
      <w:r>
        <w:rPr>
          <w:rFonts w:ascii="David" w:cs="David" w:eastAsia="David" w:hAnsi="David"/>
          <w:noProof/>
          <w:sz w:val="24"/>
          <w:szCs w:val="24"/>
          <w:rtl/>
        </w:rPr>
        <w:t xml:space="preserve"> לכך פיתח הדין המצרי שתי תביעות: "תביעת אימות החתימה" (דעוא צחת אל-תוקיע), שבה מאשר בית המשפט את אמיתות החתימה בלבד; ו"תביעת התוקף והנפקות" (דעוא צחה ונפאד׳), שבה מוצהר על תוקפו של חוזה המכר ורישום כתב התביעה משריין לקונה עדיפות. התוצאה: בתי המשפט הופכים לתחליף למרשם, כשם שהוועדה המקומית ומחלקת הגבייה הופכות לתחליף כזה בישראל, כמתואר בפרק ד.5.</w:t>
      </w:r>
      <w:r>
        <w:rPr>
          <w:rStyle w:val="FootnoteReference"/>
        </w:rPr>
        <w:footnoteReference w:id="88"/>
      </w:r>
    </w:p>
    <w:p>
      <w:pPr>
        <w:pStyle w:val="Heading3"/>
        <w:bidi/>
        <w:spacing w:after="140" w:before="220"/>
      </w:pPr>
      <w:r>
        <w:rPr>
          <w:rFonts w:ascii="David" w:cs="David" w:eastAsia="David" w:hAnsi="David"/>
          <w:b/>
          <w:bCs/>
          <w:noProof/>
          <w:color w:val="000000"/>
          <w:sz w:val="26"/>
          <w:szCs w:val="26"/>
          <w:rtl/>
        </w:rPr>
        <w:t xml:space="preserve">ו.2.3 ההתיישנות הרוכשת (אלתקאדם אלמכסב): החיים חזקים מן הנייר</w:t>
      </w:r>
    </w:p>
    <w:p>
      <w:pPr>
        <w:bidi/>
        <w:spacing w:after="0" w:line="360"/>
        <w:jc w:val="both"/>
      </w:pPr>
      <w:r>
        <w:rPr>
          <w:rFonts w:ascii="David" w:cs="David" w:eastAsia="David" w:hAnsi="David"/>
          <w:noProof/>
          <w:sz w:val="24"/>
          <w:szCs w:val="24"/>
          <w:rtl/>
        </w:rPr>
        <w:t xml:space="preserve">כאן טמון ההבדל המבני החשוב ביותר. סעיף 968 לקוד קובע התיישנות רוכשת ארוכה: מי שהחזיק במקרקעין חזקה רצופה חמש עשרה שנים רוכש בהם בעלות, בלא צורך בשטר ובלא דרישת תום לב; וסעיף 969 מוסיף התיישנות מקוצרת בת חמש שנים מקום שההחזקה נסמכת על "עילה כשרה".</w:t>
      </w:r>
      <w:r>
        <w:rPr>
          <w:rStyle w:val="FootnoteReference"/>
        </w:rPr>
        <w:footnoteReference w:id="89"/>
      </w:r>
      <w:r>
        <w:rPr>
          <w:rFonts w:ascii="David" w:cs="David" w:eastAsia="David" w:hAnsi="David"/>
          <w:noProof/>
          <w:sz w:val="24"/>
          <w:szCs w:val="24"/>
          <w:rtl/>
        </w:rPr>
        <w:t xml:space="preserve"> אין זו הפקרת הבעלות: הדין מתנה את ההתיישנות בחזקה רצופה, שקטה, גלויה ובלתי דו משמעית, ומי שהחזיק מכוח הסכמת הבעלים אינו רוכש בעלות אלא אם שינה בגלוי את אופי החזקתו. ההבדל מן הדין הישראלי אינו בקפדנות הדרישות אלא בתוצאה: בישראל זוכה העומד בהן לכל היותר במחסום דיוני, ואילו במצרים הוא רוכש בעלות הניתנת לרישום ולהעברה.</w:t>
      </w:r>
      <w:r>
        <w:rPr>
          <w:rStyle w:val="FootnoteReference"/>
        </w:rPr>
        <w:footnoteReference w:id="90"/>
      </w:r>
      <w:r>
        <w:rPr>
          <w:rFonts w:ascii="David" w:cs="David" w:eastAsia="David" w:hAnsi="David"/>
          <w:noProof/>
          <w:sz w:val="24"/>
          <w:szCs w:val="24"/>
          <w:rtl/>
        </w:rPr>
        <w:t xml:space="preserve"> המשמעות מרחיקת לכת: האח שהחזיק חמש עשרה שנים ללא עוררין הוא בעל החלקה, והתיישנותו "מנקה" את שרשרת העסקאות ההיסטורית על פגמיה ומסמכיה האבודים; זהו מנגנון המאפשר למערכת להשלים עם עסקאות שתיעודן אבד בלא לשחזרן אחת לאחת, והעדרו הוא שמכביד על הדין הישראלי.</w:t>
      </w:r>
    </w:p>
    <w:p>
      <w:pPr>
        <w:pStyle w:val="Heading3"/>
        <w:bidi/>
        <w:spacing w:after="140" w:before="220"/>
      </w:pPr>
      <w:r>
        <w:rPr>
          <w:rFonts w:ascii="David" w:cs="David" w:eastAsia="David" w:hAnsi="David"/>
          <w:b/>
          <w:bCs/>
          <w:noProof/>
          <w:color w:val="000000"/>
          <w:sz w:val="26"/>
          <w:szCs w:val="26"/>
          <w:rtl/>
        </w:rPr>
        <w:t xml:space="preserve">ו.2.4 הרפורמה של 2020–2022 ומקומה של השריעה</w:t>
      </w:r>
    </w:p>
    <w:p>
      <w:pPr>
        <w:bidi/>
        <w:spacing w:after="0" w:line="360"/>
        <w:jc w:val="both"/>
      </w:pPr>
      <w:r>
        <w:rPr>
          <w:rFonts w:ascii="David" w:cs="David" w:eastAsia="David" w:hAnsi="David"/>
          <w:noProof/>
          <w:sz w:val="24"/>
          <w:szCs w:val="24"/>
          <w:rtl/>
        </w:rPr>
        <w:t xml:space="preserve">בשנת 2020 ניסתה מצרים לכפות רישום בכוח: תיקון לחוק 114/1946 התנה חיבור נכסים לחשמל, למים ולגז בהוכחת רישום; פרץ זעם ציבורי, והיישום נדחה בשנתיים. בשנת 2022 בא היפוך הגישה: חוק מס׳ 9 לשנת 2022 קיצר את הליך הרישום לתקרה של 37 ימים, החליף את האגרות היחסיות באגרות קבועות ומתונות, והחשוב מכול, ניתק את הרישום מתשלום מס העסקה.</w:t>
      </w:r>
      <w:r>
        <w:rPr>
          <w:rStyle w:val="FootnoteReference"/>
        </w:rPr>
        <w:footnoteReference w:id="91"/>
      </w:r>
      <w:r>
        <w:rPr>
          <w:rFonts w:ascii="David" w:cs="David" w:eastAsia="David" w:hAnsi="David"/>
          <w:noProof/>
          <w:sz w:val="24"/>
          <w:szCs w:val="24"/>
          <w:rtl/>
        </w:rPr>
        <w:t xml:space="preserve"> שלושה לקחי מדיניות עולים מכך, וכולם נוגעים לשאלת המחקר השנייה: כפיית רישום בשלילת שירותים חיוניים כשלה, משום שהטילה את מלוא הנטל על האזרח בלי להסיר חסם; המעבר לאגרה קבועה ניתק את עלות הרישום מעלות הנכס והפך אותה לצפויה; והפרדת הרישום מן המס היא ויתור מודע על מנוף גבייה, מתוך הכרה שמרשם מתפקד הוא נכס ציבורי שערכו עולה על הכנסה שממילא אינה נגבית.</w:t>
      </w:r>
    </w:p>
    <w:p>
      <w:pPr>
        <w:bidi/>
        <w:spacing w:after="0" w:line="360"/>
        <w:ind w:firstLine="420"/>
        <w:jc w:val="both"/>
      </w:pPr>
      <w:r>
        <w:rPr>
          <w:rFonts w:ascii="David" w:cs="David" w:eastAsia="David" w:hAnsi="David"/>
          <w:noProof/>
          <w:sz w:val="24"/>
          <w:szCs w:val="24"/>
          <w:rtl/>
        </w:rPr>
        <w:t xml:space="preserve">אשר לכינוי "המשפט המצרי (השרעי)", הוא מדויק רק בחלקו: אף שהחוקה קובעת כי עקרונות השריעה הם המקור הראשי לחקיקה, דיני הקניין והחיובים קונטיננטליים ביסודם, והשריעה שולטת שליטה מלאה בתחום אחד הקריטי לענייננו, הירושה, שחוקהּ המצרי הוא קודיפיקציה של דיני הפַרַאאִץ׳.</w:t>
      </w:r>
      <w:r>
        <w:rPr>
          <w:rStyle w:val="FootnoteReference"/>
        </w:rPr>
        <w:footnoteReference w:id="92"/>
      </w:r>
      <w:r>
        <w:rPr>
          <w:rFonts w:ascii="David" w:cs="David" w:eastAsia="David" w:hAnsi="David"/>
          <w:noProof/>
          <w:sz w:val="24"/>
          <w:szCs w:val="24"/>
          <w:rtl/>
        </w:rPr>
        <w:t xml:space="preserve"> צירוף זה, ירושה שרעית קוגנטית מעל מרשם ריק, מוליד במצרים את הסכסוך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noProof/>
          <w:color w:val="000000"/>
          <w:sz w:val="28"/>
          <w:szCs w:val="28"/>
          <w:rtl/>
        </w:rPr>
        <w:t xml:space="preserve">ו.3 המשפט השרעי האסלאמי</w:t>
      </w:r>
    </w:p>
    <w:p>
      <w:pPr>
        <w:pStyle w:val="Heading3"/>
        <w:bidi/>
        <w:spacing w:after="140" w:before="220"/>
      </w:pPr>
      <w:r>
        <w:rPr>
          <w:rFonts w:ascii="David" w:cs="David" w:eastAsia="David" w:hAnsi="David"/>
          <w:b/>
          <w:bCs/>
          <w:noProof/>
          <w:color w:val="000000"/>
          <w:sz w:val="26"/>
          <w:szCs w:val="26"/>
          <w:rtl/>
        </w:rPr>
        <w:t xml:space="preserve">ו.3.1 מקורות ושיטה: מן הפִקְה אל המג׳לה</w:t>
      </w:r>
    </w:p>
    <w:p>
      <w:pPr>
        <w:bidi/>
        <w:spacing w:after="0" w:line="360"/>
        <w:jc w:val="both"/>
      </w:pPr>
      <w:r>
        <w:rPr>
          <w:rFonts w:ascii="David" w:cs="David" w:eastAsia="David" w:hAnsi="David"/>
          <w:noProof/>
          <w:sz w:val="24"/>
          <w:szCs w:val="24"/>
          <w:rtl/>
        </w:rPr>
        <w:t xml:space="preserve">המשפט השרעי הקלאסי אינו מכיר מרשם זכויות: ההקניה נשענת על מעשים גלויים, והפומביות מושגת בקהילה ולא בפנקס. הקודיפיקציה הנודעת של הדין האזרחי השרעי בנוסחו החנפי היא המג׳לה העות׳מאנית (1869–1876), ושלושה מספריה נוגעים לענייננו: ספר המתנות, ספר השליחות וספר מרור הזמן.</w:t>
      </w:r>
      <w:r>
        <w:rPr>
          <w:rStyle w:val="FootnoteReference"/>
        </w:rPr>
        <w:footnoteReference w:id="93"/>
      </w:r>
      <w:r>
        <w:rPr>
          <w:rFonts w:ascii="David" w:cs="David" w:eastAsia="David" w:hAnsi="David"/>
          <w:noProof/>
          <w:sz w:val="24"/>
          <w:szCs w:val="24"/>
          <w:rtl/>
        </w:rPr>
        <w:t xml:space="preserve"> המג׳לה חלה בארץ ישראל תחת המנדט ולאחר קום המדינה, בכפוף לחקיקה הישראלית שגברה עליה, עד שבוטלה סופית בשנת 1984; ולכך שתי משמעויות: על עסקאות שקדמו לחוקים המחליפים חלים ככלל דיני המג׳לה, וגם לאחר הביטול הפורמלי הוסיפו כמה ממושגיה לעצב את התודעה המשפטית של הציבור.</w:t>
      </w:r>
      <w:r>
        <w:rPr>
          <w:rStyle w:val="FootnoteReference"/>
        </w:rPr>
        <w:footnoteReference w:id="94"/>
      </w:r>
    </w:p>
    <w:p>
      <w:pPr>
        <w:pStyle w:val="Heading3"/>
        <w:bidi/>
        <w:spacing w:after="140" w:before="220"/>
      </w:pPr>
      <w:r>
        <w:rPr>
          <w:rFonts w:ascii="David" w:cs="David" w:eastAsia="David" w:hAnsi="David"/>
          <w:b/>
          <w:bCs/>
          <w:noProof/>
          <w:color w:val="000000"/>
          <w:sz w:val="26"/>
          <w:szCs w:val="26"/>
          <w:rtl/>
        </w:rPr>
        <w:t xml:space="preserve">ו.3.2 מתנה (הִבָּה) ודרישת התפיסה (קַבְּץ׳)</w:t>
      </w:r>
    </w:p>
    <w:p>
      <w:pPr>
        <w:bidi/>
        <w:spacing w:after="0" w:line="360"/>
        <w:jc w:val="both"/>
      </w:pPr>
      <w:r>
        <w:rPr>
          <w:rFonts w:ascii="David" w:cs="David" w:eastAsia="David" w:hAnsi="David"/>
          <w:noProof/>
          <w:sz w:val="24"/>
          <w:szCs w:val="24"/>
          <w:rtl/>
        </w:rPr>
        <w:t xml:space="preserve">ספר המתנות מגלם את הדוקטרינה השרעית: המתנה נכרתת בהצעה ובקיבול, אך מושלמת רק בתפיסה. סעיף 837 קובע כי "המתנה נכרתת בהצעה וקיבול, ומושלמת בתפיסה"; סעיף 861, כי המקבל נעשה בעלים עם קבלת החזקה; וסעיף 862, כי הנותן רשאי לחזור בו כל עוד לא נמסרה. החזקה, לא הכתב ולא הרישום, היא אפוא קו פרשת המים הקנייני; ושני כללים משלימים מלמדים כי בתוך המשפחה גוברת יציבות ההענקה שהושלמה על חופש החזרה: מתנה שהושלמה בין קרובים מדרגה אוסרת אינה ניתנת לחזרה כלל, ואילו מתנת שכיב מרע ליורש טעונה הסכמת שאר היורשים.</w:t>
      </w:r>
      <w:r>
        <w:rPr>
          <w:rStyle w:val="FootnoteReference"/>
        </w:rPr>
        <w:footnoteReference w:id="95"/>
      </w:r>
    </w:p>
    <w:p>
      <w:pPr>
        <w:bidi/>
        <w:spacing w:after="0" w:line="360"/>
        <w:ind w:firstLine="420"/>
        <w:jc w:val="both"/>
      </w:pPr>
      <w:r>
        <w:rPr>
          <w:rFonts w:ascii="David" w:cs="David" w:eastAsia="David" w:hAnsi="David"/>
          <w:noProof/>
          <w:sz w:val="24"/>
          <w:szCs w:val="24"/>
          <w:rtl/>
        </w:rPr>
        <w:t xml:space="preserve">כאן מתגלה המפתח ההיסטורי להבנת הפרקטיקה הנחקרת. תחת המג׳לה, אב שמסר לבנו את החזקה בחלקה השלים את המתנה; שום רישום לא נדרש, והחזרה נחסמה הן מחמת הקרבה הן מחמת התפיסה, וייפוי הכוח הבלתי חוזר שנוסף לפרקטיקה שימש שכבת ביטחון מנהלית בלבד. במונחי הדין שהמשפחות הכירו, "חזקה + ייפוי כוח" לא הייתה עסקה חסרה אלא עסקה שלמה; רק חוק המקרקעין, בהפכו את הרישום לקונסטיטוטיבי, הפך למפרע את השלם לחסר, והפער התודעתי הזה הוא המצע העמוק של הסכסוכים.</w:t>
      </w:r>
      <w:r>
        <w:rPr>
          <w:rStyle w:val="FootnoteReference"/>
        </w:rPr>
        <w:footnoteReference w:id="96"/>
      </w:r>
    </w:p>
    <w:p>
      <w:pPr>
        <w:pStyle w:val="Heading3"/>
        <w:bidi/>
        <w:spacing w:after="140" w:before="220"/>
      </w:pPr>
      <w:r>
        <w:rPr>
          <w:rFonts w:ascii="David" w:cs="David" w:eastAsia="David" w:hAnsi="David"/>
          <w:b/>
          <w:bCs/>
          <w:noProof/>
          <w:color w:val="000000"/>
          <w:sz w:val="26"/>
          <w:szCs w:val="26"/>
          <w:rtl/>
        </w:rPr>
        <w:t xml:space="preserve">ו.3.3 חִיאזָה ו"וַצְ׳ע אל-יַד": עליונות ההחזקה בפועל</w:t>
      </w:r>
    </w:p>
    <w:p>
      <w:pPr>
        <w:bidi/>
        <w:spacing w:after="0" w:line="360"/>
        <w:jc w:val="both"/>
      </w:pPr>
      <w:r>
        <w:rPr>
          <w:rFonts w:ascii="David" w:cs="David" w:eastAsia="David" w:hAnsi="David"/>
          <w:noProof/>
          <w:sz w:val="24"/>
          <w:szCs w:val="24"/>
          <w:rtl/>
        </w:rPr>
        <w:t xml:space="preserve">המענה השרעי לשאלת היעדר הרישום גלום במוסד החִיאזָה ובמושג "וַצְ׳ע אל-יַד", ההחזקה הגלויה כמקור לגיטימציה, ושני ביטויים נורמטיביים לו: דיני מרור הזמן שבמג׳לה, שלפיהם תביעה במקרקעי מוּלְכּ שננטשה חמש עשרה שנים "לא תישמע" עוד, בעוד סעיף 1674 מבהיר כי חלוף הזמן חוסם את שמיעת התביעה אך אינו מפקיע את הזכות, מקורה ההיסטורי הישיר של ההתיישנות הדיונית הישראלית;</w:t>
      </w:r>
      <w:r>
        <w:rPr>
          <w:rStyle w:val="FootnoteReference"/>
        </w:rPr>
        <w:footnoteReference w:id="97"/>
      </w:r>
      <w:r>
        <w:rPr>
          <w:rFonts w:ascii="David" w:cs="David" w:eastAsia="David" w:hAnsi="David"/>
          <w:noProof/>
          <w:sz w:val="24"/>
          <w:szCs w:val="24"/>
          <w:rtl/>
        </w:rPr>
        <w:t xml:space="preserve"> וסעיף 78 לחוק הקרקעות העות׳מאני, שהעניק למי שהחזיק ועיבד קרקע מירי עשר שנים ללא עוררין זכות לקבל שטר טאבו. ההחזקה מבשילה לרישום, ולא להפך.</w:t>
      </w:r>
      <w:r>
        <w:rPr>
          <w:rStyle w:val="FootnoteReference"/>
        </w:rPr>
        <w:footnoteReference w:id="98"/>
      </w:r>
      <w:r>
        <w:rPr>
          <w:rFonts w:ascii="David" w:cs="David" w:eastAsia="David" w:hAnsi="David"/>
          <w:noProof/>
          <w:sz w:val="24"/>
          <w:szCs w:val="24"/>
          <w:rtl/>
        </w:rPr>
        <w:t xml:space="preserve"> ראייה עדכנית לכוחה מצויה, שלא במודע,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המשקל המכריע שנתן בית המשפט להחזקה גלויה בת עשרות שנים ולשתיקת בני המשפחה הוא, במונחים שרעיים, הכרה בחיאזה. עם זאת אין להפריז: המודל עובד כל עוד הקהילה קטנה ובעלת זיכרון משותף, והוא מיטיב עם הנוכח בשטח ומקפח את מי שאינו נוכח, ובראשם נשים שעזבו את הכפר עם נישואיהן.</w:t>
      </w:r>
    </w:p>
    <w:p>
      <w:pPr>
        <w:pStyle w:val="Heading3"/>
        <w:bidi/>
        <w:spacing w:after="140" w:before="220"/>
      </w:pPr>
      <w:r>
        <w:rPr>
          <w:rFonts w:ascii="David" w:cs="David" w:eastAsia="David" w:hAnsi="David"/>
          <w:b/>
          <w:bCs/>
          <w:noProof/>
          <w:color w:val="000000"/>
          <w:sz w:val="26"/>
          <w:szCs w:val="26"/>
          <w:rtl/>
        </w:rPr>
        <w:t xml:space="preserve">ו.3.4 שליחות (וַכַּאלָה), ירושה שרעית ודפוסי המשפחה</w:t>
      </w:r>
    </w:p>
    <w:p>
      <w:pPr>
        <w:bidi/>
        <w:spacing w:after="0" w:line="360"/>
        <w:jc w:val="both"/>
      </w:pPr>
      <w:r>
        <w:rPr>
          <w:rFonts w:ascii="David" w:cs="David" w:eastAsia="David" w:hAnsi="David"/>
          <w:noProof/>
          <w:sz w:val="24"/>
          <w:szCs w:val="24"/>
          <w:rtl/>
        </w:rPr>
        <w:t xml:space="preserve">גם מוסד ייפוי הכוח שרעי במקורו: ספר השליחות קובע כי השולח רשאי לסלק את שלוחו, אלא אם נקשרה בשליחות זכותו של אחר; ואין זו השערה גנאלוגית, שכן ברק מציין במפורש כי בעיצוב ההרשאה להבטחת זכותו של אחר הלך המחוקק "בעקבות המג׳לה".</w:t>
      </w:r>
      <w:r>
        <w:rPr>
          <w:rStyle w:val="FootnoteReference"/>
        </w:rPr>
        <w:footnoteReference w:id="99"/>
      </w:r>
      <w:r>
        <w:rPr>
          <w:rFonts w:ascii="David" w:cs="David" w:eastAsia="David" w:hAnsi="David"/>
          <w:noProof/>
          <w:sz w:val="24"/>
          <w:szCs w:val="24"/>
          <w:rtl/>
        </w:rPr>
        <w:t xml:space="preserve"> ואילו דיני הירושה השרעיים מקצים מנות קבועות, ובהן מנה לבנות השווה למחצית מנת הבנים, ועל רקע זה התפתחו דפוסים מתועדים היטב: השהיית חלוקת העיזבון דור ומעלה תוך החזקה משותפת; "תַחַ׳ארוּג׳", הסתלקות יורש כנגד פיצוי; וויתור, ולעיתים כפוי חברתית, של נשים לטובת אחיהן. מכשיר נוסף שעקבותיו ניכרים במרשם עד היום הוא הווַקְף הזֻ׳רִי, ההקדש המשפחתי.</w:t>
      </w:r>
      <w:r>
        <w:rPr>
          <w:rStyle w:val="FootnoteReference"/>
        </w:rPr>
        <w:footnoteReference w:id="100"/>
      </w:r>
      <w:r>
        <w:rPr>
          <w:rFonts w:ascii="David" w:cs="David" w:eastAsia="David" w:hAnsi="David"/>
          <w:noProof/>
          <w:sz w:val="24"/>
          <w:szCs w:val="24"/>
          <w:rtl/>
        </w:rPr>
        <w:t xml:space="preserve"> ובמישור הקרקעי נתקל חוק הקרקעות העות׳מאני בהתחמקות המונית: איכרים רשמו את אדמותיהם על שם נכבדים או נמנעו מרישום כליל.</w:t>
      </w:r>
      <w:r>
        <w:rPr>
          <w:rStyle w:val="FootnoteReference"/>
        </w:rPr>
        <w:footnoteReference w:id="101"/>
      </w:r>
      <w:r>
        <w:rPr>
          <w:rFonts w:ascii="David" w:cs="David" w:eastAsia="David" w:hAnsi="David"/>
          <w:noProof/>
          <w:sz w:val="24"/>
          <w:szCs w:val="24"/>
          <w:rtl/>
        </w:rPr>
        <w:t xml:space="preserve"> צירופם של אלה מסביר מדוע רבים מן הסכסוכים נסבים לא על השאלה "של מי הקרקע" אלא על השאלה "מה סוכם בין הדורות".</w:t>
      </w:r>
    </w:p>
    <w:p>
      <w:pPr>
        <w:pStyle w:val="Heading2"/>
        <w:bidi/>
        <w:spacing w:after="180" w:before="280"/>
      </w:pPr>
      <w:r>
        <w:rPr>
          <w:rFonts w:ascii="David" w:cs="David" w:eastAsia="David" w:hAnsi="David"/>
          <w:b/>
          <w:bCs/>
          <w:noProof/>
          <w:color w:val="000000"/>
          <w:sz w:val="28"/>
          <w:szCs w:val="28"/>
          <w:rtl/>
        </w:rPr>
        <w:t xml:space="preserve">ו.4 ניתוח השוואתי: ארבעה צירים ולקחיהם</w:t>
      </w:r>
    </w:p>
    <w:p>
      <w:pPr>
        <w:bidi/>
        <w:spacing w:after="0" w:line="360"/>
        <w:jc w:val="both"/>
      </w:pPr>
      <w:r>
        <w:rPr>
          <w:rFonts w:ascii="David" w:cs="David" w:eastAsia="David" w:hAnsi="David"/>
          <w:b/>
          <w:bCs/>
          <w:noProof/>
          <w:sz w:val="24"/>
          <w:szCs w:val="24"/>
          <w:rtl/>
        </w:rPr>
        <w:t xml:space="preserve">הציר הראשון: מעמד הרוכש הבלתי רשום. </w:t>
      </w:r>
      <w:r>
        <w:rPr>
          <w:rFonts w:ascii="David" w:cs="David" w:eastAsia="David" w:hAnsi="David"/>
          <w:noProof/>
          <w:sz w:val="24"/>
          <w:szCs w:val="24"/>
          <w:rtl/>
        </w:rPr>
        <w:t xml:space="preserve">שלוש השיטות המודרניות מסכימות על נקודת המוצא, אך נבדלות במה שנותר בידי מי שלא נרשם: באנגליה, בעלות שביושר מלאה, העשויה לגבור על רוכש רשום מכוח תפיסה ממשית; בישראל, זכות שביושר "תוצרת הארץ", הגוברת על נושים אך נסוגה מפני רוכש רשום תם לב; ובמצרים, חיוב אישי בלבד, הנתמך במנגנוני אימות ובהתיישנות רוכשת. המשפט השרעי ניצב מחוץ לציר, שכן בהיעדר מרשם התפיסה עצמה היא ההקניה; והדין הישראלי ממוקם בתווך שבין לונדון לקהיר, כשהפסיקה בסכסוכים המשפחתיים מטה אותו בפועל לונדונה.</w:t>
      </w:r>
    </w:p>
    <w:p>
      <w:pPr>
        <w:bidi/>
        <w:spacing w:after="0" w:line="360"/>
        <w:ind w:firstLine="420"/>
        <w:jc w:val="both"/>
      </w:pPr>
      <w:r>
        <w:rPr>
          <w:rFonts w:ascii="David" w:cs="David" w:eastAsia="David" w:hAnsi="David"/>
          <w:b/>
          <w:bCs/>
          <w:noProof/>
          <w:sz w:val="24"/>
          <w:szCs w:val="24"/>
          <w:rtl/>
        </w:rPr>
        <w:t xml:space="preserve">הציר השני: מכשיר העקיפה. </w:t>
      </w:r>
      <w:r>
        <w:rPr>
          <w:rFonts w:ascii="David" w:cs="David" w:eastAsia="David" w:hAnsi="David"/>
          <w:noProof/>
          <w:sz w:val="24"/>
          <w:szCs w:val="24"/>
          <w:rtl/>
        </w:rPr>
        <w:t xml:space="preserve">באנגליה התחליף שיפוטי (נאמנות משתמעת והשתק קנייני);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ועם אותן נקודות תורפה; והדמיון אינו מקרה, שכן שתי האוכלוסיות יורשות של אותה מסורת עות׳מאנית ושרעית, ושתיהן נתקלו במרשם מודרני שהוצב לפניהן כחובה בלא שהוסרו חסמי הגישה אליו.</w:t>
      </w:r>
    </w:p>
    <w:p>
      <w:pPr>
        <w:bidi/>
        <w:spacing w:after="0" w:line="360"/>
        <w:ind w:firstLine="420"/>
        <w:jc w:val="both"/>
      </w:pPr>
      <w:r>
        <w:rPr>
          <w:rFonts w:ascii="David" w:cs="David" w:eastAsia="David" w:hAnsi="David"/>
          <w:b/>
          <w:bCs/>
          <w:noProof/>
          <w:sz w:val="24"/>
          <w:szCs w:val="24"/>
          <w:rtl/>
        </w:rPr>
        <w:t xml:space="preserve">הציר השלישי: ההעברה הפנים משפחתית וההחזקה רבת השנים. </w:t>
      </w:r>
      <w:r>
        <w:rPr>
          <w:rFonts w:ascii="David" w:cs="David" w:eastAsia="David" w:hAnsi="David"/>
          <w:noProof/>
          <w:sz w:val="24"/>
          <w:szCs w:val="24"/>
          <w:rtl/>
        </w:rPr>
        <w:t xml:space="preserve">השריעה מקשיחה את ההקניה (דרישת תפיסה) ומרככת את החזרה (איסור חזרה בין קרובים), ומעניקה להחזקה ארוכת השנים מעמד מכריע; מצרים מתרגמת רעיון זה ללשון חקיקתית: חמש עשרה שנות חזקה, בעלות; והאנגלים מרככים את הצורה עצמה, וההשתק הקנייני נולד בסכסוכי המשק המשפחתי מתוך הכרה שבתוך המשפחה איש אינו עורך חוזים. הדין הישראלי משלב דרישת כתב קשיחה עם שסתומי יושר, אך בלא כל מסלול שבו החזקה כשלעצמה מבשילה לזכות, ולכן השילוב עובד במחיר אי ודאות ניכר.</w:t>
      </w:r>
    </w:p>
    <w:p>
      <w:pPr>
        <w:bidi/>
        <w:spacing w:after="0" w:line="360"/>
        <w:ind w:firstLine="420"/>
        <w:jc w:val="both"/>
      </w:pPr>
      <w:r>
        <w:rPr>
          <w:rFonts w:ascii="David" w:cs="David" w:eastAsia="David" w:hAnsi="David"/>
          <w:b/>
          <w:bCs/>
          <w:noProof/>
          <w:sz w:val="24"/>
          <w:szCs w:val="24"/>
          <w:rtl/>
        </w:rPr>
        <w:t xml:space="preserve">הציר הרביעי: היחס בין המרשם למס. </w:t>
      </w:r>
      <w:r>
        <w:rPr>
          <w:rFonts w:ascii="David" w:cs="David" w:eastAsia="David" w:hAnsi="David"/>
          <w:noProof/>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קצרה אי רישום של תשעים אחוזים, ומשהבינה זאת ניתקה בשנת 2022 את הרישום מן המס; וישראל עודנה מחזיקה בצימוד מלא, שכן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ארבעת הצירים יחדיו מספקים את המסד לפרק הדיון.</w:t>
      </w:r>
    </w:p>
    <w:p>
      <w:pPr>
        <w:pStyle w:val="Heading1"/>
        <w:bidi/>
        <w:spacing w:after="240" w:before="360"/>
      </w:pPr>
      <w:r>
        <w:rPr>
          <w:rFonts w:ascii="David" w:cs="David" w:eastAsia="David" w:hAnsi="David"/>
          <w:b/>
          <w:bCs/>
          <w:noProof/>
          <w:color w:val="000000"/>
          <w:sz w:val="32"/>
          <w:szCs w:val="32"/>
          <w:rtl/>
        </w:rPr>
        <w:t xml:space="preserve">פרק ז: דיון</w:t>
      </w:r>
    </w:p>
    <w:p>
      <w:pPr>
        <w:bidi/>
        <w:spacing w:after="0" w:line="360"/>
        <w:jc w:val="both"/>
      </w:pPr>
      <w:r>
        <w:rPr>
          <w:rFonts w:ascii="David" w:cs="David" w:eastAsia="David" w:hAnsi="David"/>
          <w:noProof/>
          <w:sz w:val="24"/>
          <w:szCs w:val="24"/>
          <w:rtl/>
        </w:rPr>
        <w:t xml:space="preserve">שלוש שאלות המחקר נבחנו כל אחת בפרקה, אך רק משמניחים את הממצאים זה לצד זה מתגלה כי אלה שלושה פנים של תופעה אחת. הכלים שבהם מכריעים בתי המשפט הם התגובה השיפוטית לחלל שיצר "מסך המרשם" בהיפגשו עם דפוסי הקניין המשפחתיים; המשקל שניתן להיתרי הבנייה ולארנונה הוא תוצר של אותו חלל; ו"התניית הרישום" במס היא המנוע המבני המשמר אותו. נוצר מעגל 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אין זה כשל אכיפה אלא כשל תכנוני של הדין עצמו, שהניח מציאות חברתית אחת והוחל על אחרת; וההשוואה לימדה שהמעגל אינו ייחודי לישראל, שכן מצרים נקלעה אליו בממדים לאומיים, אנגליה נמנעה ממנו בזכות מרשם זול ודיני יושר מפותחים, והמשפט השרעי כלל לא נזקק לו. ייחודו הישראלי הוא בכך שהוא פוגע באוכלוסייה מובחנת בעוד הדין הכללי מתפקד היטב עבור השוק המסחרי, כשל חלוקתי במונחי פרק א.</w:t>
      </w:r>
    </w:p>
    <w:p>
      <w:pPr>
        <w:bidi/>
        <w:spacing w:after="0" w:line="360"/>
        <w:ind w:firstLine="420"/>
        <w:jc w:val="both"/>
      </w:pPr>
      <w:r>
        <w:rPr>
          <w:rFonts w:ascii="David" w:cs="David" w:eastAsia="David" w:hAnsi="David"/>
          <w:noProof/>
          <w:sz w:val="24"/>
          <w:szCs w:val="24"/>
          <w:rtl/>
        </w:rPr>
        <w:t xml:space="preserve">על רקע זה יש להעריך את ההישג הפסיקתי, וההערכה כפולת פנים. במישור המקרה הבודד לפנינו הצלחה מרשימה, שכן הפסיקה מנעה תוצאות בלתי צודקות: מהכרה בזכותה שביושר של רוכשת שהחזיקה בדירתה חמישים שנה,</w:t>
      </w:r>
      <w:r>
        <w:rPr>
          <w:rStyle w:val="FootnoteReference"/>
        </w:rPr>
        <w:footnoteReference w:id="102"/>
      </w:r>
      <w:r>
        <w:rPr>
          <w:rFonts w:ascii="David" w:cs="David" w:eastAsia="David" w:hAnsi="David"/>
          <w:noProof/>
          <w:sz w:val="24"/>
          <w:szCs w:val="24"/>
          <w:rtl/>
        </w:rPr>
        <w:t xml:space="preserve"> דרך אכיפת עסקה משנת 1968 שמסמכיה אבדו,</w:t>
      </w:r>
      <w:r>
        <w:rPr>
          <w:rStyle w:val="FootnoteReference"/>
        </w:rPr>
        <w:footnoteReference w:id="103"/>
      </w:r>
      <w:r>
        <w:rPr>
          <w:rFonts w:ascii="David" w:cs="David" w:eastAsia="David" w:hAnsi="David"/>
          <w:noProof/>
          <w:sz w:val="24"/>
          <w:szCs w:val="24"/>
          <w:rtl/>
        </w:rPr>
        <w:t xml:space="preserve"> ועד ביטול רישום מאוחר שנעשה תוך עקיפת ייפוי כוח משפחתי מוקדם.</w:t>
      </w:r>
      <w:r>
        <w:rPr>
          <w:rStyle w:val="FootnoteReference"/>
        </w:rPr>
        <w:footnoteReference w:id="104"/>
      </w:r>
      <w:r>
        <w:rPr>
          <w:rFonts w:ascii="David" w:cs="David" w:eastAsia="David" w:hAnsi="David"/>
          <w:noProof/>
          <w:sz w:val="24"/>
          <w:szCs w:val="24"/>
          <w:rtl/>
        </w:rPr>
        <w:t xml:space="preserve"> ואולם דווקא ההצלחה הנקודתית מסתירה כישלון מערכתי: כל אחד מן הכלים הוא חריג שנבנה על חריג, ומשטר הנשען על הערכה שיפוטית בדיעבד של הגינות והסתמכות מייצר תוצאות המשתנות מתיק לתיק ומשופט לשופט; אי הוודאות מקשה על פשרה ומוסיפה דלק להתדיינות, והתדיינות פנים משפחתית מותירה קרעים שאינם מתאחים בקהילות שבהן הצדדים ימשיכו לחיות זה לצד זה; והכלים כולם פועלים במישור הבין אישי ואינם מייצרים רישום, כך שהזוכה המושלם, שהוכיח את עסקתו וזכה להצהרה, נותר עומד לפני אותו מחסום מס שהרתיע את אביו ואת סבו לפניו.</w:t>
      </w:r>
    </w:p>
    <w:p>
      <w:pPr>
        <w:bidi/>
        <w:spacing w:after="0" w:line="360"/>
        <w:ind w:firstLine="420"/>
        <w:jc w:val="both"/>
      </w:pPr>
      <w:r>
        <w:rPr>
          <w:rFonts w:ascii="David" w:cs="David" w:eastAsia="David" w:hAnsi="David"/>
          <w:noProof/>
          <w:sz w:val="24"/>
          <w:szCs w:val="24"/>
          <w:rtl/>
        </w:rPr>
        <w:t xml:space="preserve">המבט ההשוואתי מעניק לביקורת גם קנה מידה וגם כיוון. מן הדין האנגלי עולה כי גמישות שיפוטית אינה חייבת להיות חסרת צורה: ההשתק הקנייני, שצמח באותם סכסוכי משק משפחתי עצמם, אינו "זעקה" עמומה אלא עילה סדורה בת יסודות מוגדרים;</w:t>
      </w:r>
      <w:r>
        <w:rPr>
          <w:rStyle w:val="FootnoteReference"/>
        </w:rPr>
        <w:footnoteReference w:id="105"/>
      </w:r>
      <w:r>
        <w:rPr>
          <w:rFonts w:ascii="David" w:cs="David" w:eastAsia="David" w:hAnsi="David"/>
          <w:noProof/>
          <w:sz w:val="24"/>
          <w:szCs w:val="24"/>
          <w:rtl/>
        </w:rPr>
        <w:t xml:space="preserve"> ואילו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עושה את אותה מלאכה בלא המסגרת, ולכן בלא היכולת לבקר את הפעלתה ובלא שהציבור יכול לכלכל צעדיו על פיה; והעובדה שהדוקטרינה הישראלית עצמה כבר קוראת לעצמה "השתק קנייני" מלמדת שהמסגור המוצע אינו שאילה זרה אלא הודאה במקור קיים. מן הדין המצרי עולה הלקח ההפוך: מקום שהמחוקק אינו מתקן את החסם המבני, שום תחכום של תחליפים אינו בולם את קריסת המרשם, ומשהבינה זאת מצרים בחרה ברפורמת 2022 לוותר על מנוף הגבייה כדי להציל את הפנקס. ומן המשפט השרעי עולה תובנה שלישית: שיטה יכולה להשתית יציבות קניינית על עובדה חברתית גלויה ולא על פנקס, ובחברה שבה ההחזקה הידועה לכל היא עדיין מוסד חברתי חי יש בכך כדי להצדיק מתן משקל גדול בהרבה להחזקה ארוכת שנים שאין חולק עליה.</w:t>
      </w:r>
    </w:p>
    <w:p>
      <w:pPr>
        <w:bidi/>
        <w:spacing w:after="0" w:line="360"/>
        <w:ind w:firstLine="420"/>
        <w:jc w:val="both"/>
      </w:pPr>
      <w:r>
        <w:rPr>
          <w:rFonts w:ascii="David" w:cs="David" w:eastAsia="David" w:hAnsi="David"/>
          <w:noProof/>
          <w:sz w:val="24"/>
          <w:szCs w:val="24"/>
          <w:rtl/>
        </w:rPr>
        <w:t xml:space="preserve">משלושת הלקחים נגזרים כיווני התיקון, והם חייבים לפעול בשלושת המישורים בעת ובעונה אחת, שכן המעגל אינו ניתן לשבירה בנקודה אחת.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ואילו התועלת שבהכנסת דור שלם של נכסים למרשם ולבסיס המס העתידי ניכרת.</w:t>
      </w:r>
      <w:r>
        <w:rPr>
          <w:rStyle w:val="FootnoteReference"/>
        </w:rPr>
        <w:footnoteReference w:id="106"/>
      </w:r>
      <w:r>
        <w:rPr>
          <w:rFonts w:ascii="David" w:cs="David" w:eastAsia="David" w:hAnsi="David"/>
          <w:noProof/>
          <w:sz w:val="24"/>
          <w:szCs w:val="24"/>
          <w:rtl/>
        </w:rPr>
        <w:t xml:space="preserve"> במישור המוסדי, יש להשלים את הליכי ההסדר ביישובים שבהם לא הושלמו, הפעם בשיתוף הקהילות ובהכרה בראיות ההחזקה המסורתיות, ולצדם לשקול מסלול "רישום ראשון מוסכם" לחלוקות משפחתיות שאין עליהן מחלוקת.</w:t>
      </w:r>
      <w:r>
        <w:rPr>
          <w:rStyle w:val="FootnoteReference"/>
        </w:rPr>
        <w:footnoteReference w:id="107"/>
      </w:r>
      <w:r>
        <w:rPr>
          <w:rFonts w:ascii="David" w:cs="David" w:eastAsia="David" w:hAnsi="David"/>
          <w:noProof/>
          <w:sz w:val="24"/>
          <w:szCs w:val="24"/>
          <w:rtl/>
        </w:rPr>
        <w:t xml:space="preserve"> ובמישור השיפוטי, ראוי לעגן בגלוי את המדרג הראייתי שהותווה בפרק ד ולהכיר בכך שהיעדר מסמכים ואי דיווח היסטורי הם נורמה תרבותית ולא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סמכות מפורשת להורות, אגב פסק הדין, על השלמת הרישום בכפוף להסדרת המס. שלושת המישורים תלויים זה בזה: בלא ההקלה הפיסקלית יישאר העיגון השיפוטי הצהרתי; בלא המסגור הדוקטרינרי תישאר ההקלה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noProof/>
          <w:color w:val="000000"/>
          <w:sz w:val="32"/>
          <w:szCs w:val="32"/>
          <w:rtl/>
        </w:rPr>
        <w:t xml:space="preserve">סיכום ומסקנות</w:t>
      </w:r>
    </w:p>
    <w:p>
      <w:pPr>
        <w:bidi/>
        <w:spacing w:after="0" w:line="360"/>
        <w:jc w:val="both"/>
      </w:pPr>
      <w:r>
        <w:rPr>
          <w:rFonts w:ascii="David" w:cs="David" w:eastAsia="David" w:hAnsi="David"/>
          <w:b/>
          <w:bCs/>
          <w:noProof/>
          <w:sz w:val="24"/>
          <w:szCs w:val="24"/>
          <w:rtl/>
        </w:rPr>
        <w:t xml:space="preserve">לשאלת המחקר הראשונה</w:t>
      </w:r>
      <w:r>
        <w:rPr>
          <w:rFonts w:ascii="David" w:cs="David" w:eastAsia="David" w:hAnsi="David"/>
          <w:noProof/>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והרישיון במקרקעין מגן על מי שהחזיק בהסכמה בלא עסקה. ואולם, כפי שהראה פרק ז, זהו מענה שיפוטי בדיעבד, שהוא בה בעת הצלחה נקודתית וכישלון מערכתי: הוא מציל את המקרה הקונקרטי ואינו מרפא את הכשל המבני.</w:t>
      </w:r>
    </w:p>
    <w:p>
      <w:pPr>
        <w:bidi/>
        <w:spacing w:after="0" w:line="360"/>
        <w:ind w:firstLine="420"/>
        <w:jc w:val="both"/>
      </w:pPr>
      <w:r>
        <w:rPr>
          <w:rFonts w:ascii="David" w:cs="David" w:eastAsia="David" w:hAnsi="David"/>
          <w:b/>
          <w:bCs/>
          <w:noProof/>
          <w:sz w:val="24"/>
          <w:szCs w:val="24"/>
          <w:rtl/>
        </w:rPr>
        <w:t xml:space="preserve">לשאלת המחקר השנייה</w:t>
      </w:r>
      <w:r>
        <w:rPr>
          <w:rFonts w:ascii="David" w:cs="David" w:eastAsia="David" w:hAnsi="David"/>
          <w:noProof/>
          <w:sz w:val="24"/>
          <w:szCs w:val="24"/>
          <w:rtl/>
        </w:rPr>
        <w:t xml:space="preserve"> (התניית הרישום במס) נמצא כי הצימוד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0" w:line="360"/>
        <w:ind w:firstLine="420"/>
        <w:jc w:val="both"/>
      </w:pPr>
      <w:r>
        <w:rPr>
          <w:rFonts w:ascii="David" w:cs="David" w:eastAsia="David" w:hAnsi="David"/>
          <w:b/>
          <w:bCs/>
          <w:noProof/>
          <w:sz w:val="24"/>
          <w:szCs w:val="24"/>
          <w:rtl/>
        </w:rPr>
        <w:t xml:space="preserve">לשאלת המחקר השלישית</w:t>
      </w:r>
      <w:r>
        <w:rPr>
          <w:rFonts w:ascii="David" w:cs="David" w:eastAsia="David" w:hAnsi="David"/>
          <w:noProof/>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w:t>
      </w:r>
    </w:p>
    <w:p>
      <w:pPr>
        <w:bidi/>
        <w:spacing w:after="0" w:line="360"/>
        <w:ind w:firstLine="420"/>
        <w:jc w:val="both"/>
      </w:pPr>
      <w:r>
        <w:rPr>
          <w:rFonts w:ascii="David" w:cs="David" w:eastAsia="David" w:hAnsi="David"/>
          <w:b/>
          <w:bCs/>
          <w:noProof/>
          <w:sz w:val="24"/>
          <w:szCs w:val="24"/>
          <w:rtl/>
        </w:rPr>
        <w:t xml:space="preserve">במישור ההשוואתי</w:t>
      </w:r>
      <w:r>
        <w:rPr>
          <w:rFonts w:ascii="David" w:cs="David" w:eastAsia="David" w:hAnsi="David"/>
          <w:noProof/>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החיות בשכבות השיטה: תפיסה פיזית, מסמך פרטי ומרשם ממלכתי; והשופט הישראלי המכריע בתיק כזה מיישב, בלא דעת, בין המג׳לה לבין חוק המקרקעין.</w:t>
      </w:r>
    </w:p>
    <w:p>
      <w:pPr>
        <w:bidi/>
        <w:spacing w:after="0" w:line="360"/>
        <w:ind w:firstLine="420"/>
        <w:jc w:val="both"/>
      </w:pPr>
      <w:r>
        <w:rPr>
          <w:rFonts w:ascii="David" w:cs="David" w:eastAsia="David" w:hAnsi="David"/>
          <w:noProof/>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ובהן היקפה האמפירי של התופעה ומעמדן של נשים בהסדרים הפנים משפחתיים הנדונים.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noProof/>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noProof/>
          <w:sz w:val="24"/>
          <w:szCs w:val="24"/>
          <w:rtl/>
        </w:rPr>
        <w:t xml:space="preserve">חוק המקרקעין, התשכ"ט–1969.</w:t>
      </w:r>
    </w:p>
    <w:p>
      <w:pPr>
        <w:bidi/>
        <w:spacing w:after="120" w:line="300"/>
        <w:ind w:start="420" w:hanging="420"/>
        <w:jc w:val="both"/>
      </w:pPr>
      <w:r>
        <w:rPr>
          <w:rFonts w:ascii="David" w:cs="David" w:eastAsia="David" w:hAnsi="David"/>
          <w:noProof/>
          <w:sz w:val="24"/>
          <w:szCs w:val="24"/>
          <w:rtl/>
        </w:rPr>
        <w:t xml:space="preserve">חוק המתנה, התשכ"ח–1968.</w:t>
      </w:r>
    </w:p>
    <w:p>
      <w:pPr>
        <w:bidi/>
        <w:spacing w:after="120" w:line="300"/>
        <w:ind w:start="420" w:hanging="420"/>
        <w:jc w:val="both"/>
      </w:pPr>
      <w:r>
        <w:rPr>
          <w:rFonts w:ascii="David" w:cs="David" w:eastAsia="David" w:hAnsi="David"/>
          <w:noProof/>
          <w:sz w:val="24"/>
          <w:szCs w:val="24"/>
          <w:rtl/>
        </w:rPr>
        <w:t xml:space="preserve">חוק השליחות, התשכ"ה–1965.</w:t>
      </w:r>
    </w:p>
    <w:p>
      <w:pPr>
        <w:bidi/>
        <w:spacing w:after="120" w:line="300"/>
        <w:ind w:start="420" w:hanging="420"/>
        <w:jc w:val="both"/>
      </w:pPr>
      <w:r>
        <w:rPr>
          <w:rFonts w:ascii="David" w:cs="David" w:eastAsia="David" w:hAnsi="David"/>
          <w:noProof/>
          <w:sz w:val="24"/>
          <w:szCs w:val="24"/>
          <w:rtl/>
        </w:rPr>
        <w:t xml:space="preserve">חוק הירושה, התשכ"ה–1965.</w:t>
      </w:r>
    </w:p>
    <w:p>
      <w:pPr>
        <w:bidi/>
        <w:spacing w:after="120" w:line="300"/>
        <w:ind w:start="420" w:hanging="420"/>
        <w:jc w:val="both"/>
      </w:pPr>
      <w:r>
        <w:rPr>
          <w:rFonts w:ascii="David" w:cs="David" w:eastAsia="David" w:hAnsi="David"/>
          <w:noProof/>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noProof/>
          <w:sz w:val="24"/>
          <w:szCs w:val="24"/>
          <w:rtl/>
        </w:rPr>
        <w:t xml:space="preserve">חוק ההתיישנות, התשי"ח–1958.</w:t>
      </w:r>
    </w:p>
    <w:p>
      <w:pPr>
        <w:bidi/>
        <w:spacing w:after="120" w:line="300"/>
        <w:ind w:start="420" w:hanging="420"/>
        <w:jc w:val="both"/>
      </w:pPr>
      <w:r>
        <w:rPr>
          <w:rFonts w:ascii="David" w:cs="David" w:eastAsia="David" w:hAnsi="David"/>
          <w:noProof/>
          <w:sz w:val="24"/>
          <w:szCs w:val="24"/>
          <w:rtl/>
        </w:rPr>
        <w:t xml:space="preserve">חוק לביטול המג׳לה, התשמ"ד–1984.</w:t>
      </w:r>
    </w:p>
    <w:p>
      <w:pPr>
        <w:bidi/>
        <w:spacing w:after="120" w:line="300"/>
        <w:ind w:start="420" w:hanging="420"/>
        <w:jc w:val="both"/>
      </w:pPr>
      <w:r>
        <w:rPr>
          <w:rFonts w:ascii="David" w:cs="David" w:eastAsia="David" w:hAnsi="David"/>
          <w:noProof/>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noProof/>
          <w:sz w:val="24"/>
          <w:szCs w:val="24"/>
          <w:rtl/>
        </w:rPr>
        <w:t xml:space="preserve">פקודת הראיות [נוסח חדש], התשל"א–1971.</w:t>
      </w:r>
    </w:p>
    <w:p>
      <w:pPr>
        <w:bidi/>
        <w:spacing w:after="120" w:line="300"/>
        <w:ind w:start="420" w:hanging="420"/>
        <w:jc w:val="both"/>
      </w:pPr>
      <w:r>
        <w:rPr>
          <w:rFonts w:ascii="David" w:cs="David" w:eastAsia="David" w:hAnsi="David"/>
          <w:noProof/>
          <w:sz w:val="24"/>
          <w:szCs w:val="24"/>
          <w:rtl/>
        </w:rPr>
        <w:t xml:space="preserve">חוק התכנון והבנייה, התשכ"ה–1965.</w:t>
      </w:r>
    </w:p>
    <w:p>
      <w:pPr>
        <w:bidi/>
        <w:spacing w:after="120" w:line="300"/>
        <w:ind w:start="420" w:hanging="420"/>
        <w:jc w:val="both"/>
      </w:pPr>
      <w:r>
        <w:rPr>
          <w:rFonts w:ascii="David" w:cs="David" w:eastAsia="David" w:hAnsi="David"/>
          <w:noProof/>
          <w:sz w:val="24"/>
          <w:szCs w:val="24"/>
          <w:rtl/>
        </w:rPr>
        <w:t xml:space="preserve">פקודת העיריות [נוסח חדש].</w:t>
      </w:r>
    </w:p>
    <w:p>
      <w:pPr>
        <w:bidi/>
        <w:spacing w:after="120" w:line="300"/>
        <w:ind w:start="420" w:hanging="420"/>
        <w:jc w:val="both"/>
      </w:pPr>
      <w:r>
        <w:rPr>
          <w:rFonts w:ascii="David" w:cs="David" w:eastAsia="David" w:hAnsi="David"/>
          <w:noProof/>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noProof/>
          <w:sz w:val="24"/>
          <w:szCs w:val="24"/>
          <w:rtl/>
        </w:rPr>
        <w:t xml:space="preserve">חוק הקרקעות העות׳מאני, 1858.</w:t>
      </w:r>
    </w:p>
    <w:p>
      <w:pPr>
        <w:bidi/>
        <w:spacing w:after="120" w:line="300"/>
        <w:ind w:start="420" w:hanging="420"/>
        <w:jc w:val="both"/>
      </w:pPr>
      <w:r>
        <w:rPr>
          <w:rFonts w:ascii="David" w:cs="David" w:eastAsia="David" w:hAnsi="David"/>
          <w:noProof/>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noProof/>
          <w:sz w:val="24"/>
          <w:szCs w:val="24"/>
          <w:rtl/>
        </w:rPr>
        <w:t xml:space="preserve">ע"פ 114/63 </w:t>
      </w:r>
      <w:r>
        <w:rPr>
          <w:rFonts w:ascii="David" w:cs="David" w:eastAsia="David" w:hAnsi="David"/>
          <w:b/>
          <w:bCs/>
          <w:noProof/>
          <w:sz w:val="24"/>
          <w:szCs w:val="24"/>
          <w:rtl/>
        </w:rPr>
        <w:t xml:space="preserve">קר נ׳ היועץ המשפטי לממשלה</w:t>
      </w:r>
      <w:r>
        <w:rPr>
          <w:rFonts w:ascii="David" w:cs="David" w:eastAsia="David" w:hAnsi="David"/>
          <w:noProof/>
          <w:sz w:val="24"/>
          <w:szCs w:val="24"/>
          <w:rtl/>
        </w:rPr>
        <w:t xml:space="preserve">, פ"ד יח(3) 561 (1964).</w:t>
      </w:r>
    </w:p>
    <w:p>
      <w:pPr>
        <w:bidi/>
        <w:spacing w:after="120" w:line="300"/>
        <w:ind w:start="420" w:hanging="420"/>
        <w:jc w:val="both"/>
      </w:pPr>
      <w:r>
        <w:rPr>
          <w:rFonts w:ascii="David" w:cs="David" w:eastAsia="David" w:hAnsi="David"/>
          <w:noProof/>
          <w:sz w:val="24"/>
          <w:szCs w:val="24"/>
          <w:rtl/>
        </w:rPr>
        <w:t xml:space="preserve">ע"א 516/65 </w:t>
      </w:r>
      <w:r>
        <w:rPr>
          <w:rFonts w:ascii="David" w:cs="David" w:eastAsia="David" w:hAnsi="David"/>
          <w:b/>
          <w:bCs/>
          <w:noProof/>
          <w:sz w:val="24"/>
          <w:szCs w:val="24"/>
          <w:rtl/>
        </w:rPr>
        <w:t xml:space="preserve">ריעס נ׳ פורר</w:t>
      </w:r>
      <w:r>
        <w:rPr>
          <w:rFonts w:ascii="David" w:cs="David" w:eastAsia="David" w:hAnsi="David"/>
          <w:noProof/>
          <w:sz w:val="24"/>
          <w:szCs w:val="24"/>
          <w:rtl/>
        </w:rPr>
        <w:t xml:space="preserve">, פ"ד כ(3) 488 (1966).</w:t>
      </w:r>
    </w:p>
    <w:p>
      <w:pPr>
        <w:bidi/>
        <w:spacing w:after="120" w:line="300"/>
        <w:ind w:start="420" w:hanging="420"/>
        <w:jc w:val="both"/>
      </w:pPr>
      <w:r>
        <w:rPr>
          <w:rFonts w:ascii="David" w:cs="David" w:eastAsia="David" w:hAnsi="David"/>
          <w:noProof/>
          <w:sz w:val="24"/>
          <w:szCs w:val="24"/>
          <w:rtl/>
        </w:rPr>
        <w:t xml:space="preserve">בר"ע 178/70 </w:t>
      </w:r>
      <w:r>
        <w:rPr>
          <w:rFonts w:ascii="David" w:cs="David" w:eastAsia="David" w:hAnsi="David"/>
          <w:b/>
          <w:bCs/>
          <w:noProof/>
          <w:sz w:val="24"/>
          <w:szCs w:val="24"/>
          <w:rtl/>
        </w:rPr>
        <w:t xml:space="preserve">בוקר נ׳ חברה אנגלו-ישראלית לניהול ואחריות בע"מ</w:t>
      </w:r>
      <w:r>
        <w:rPr>
          <w:rFonts w:ascii="David" w:cs="David" w:eastAsia="David" w:hAnsi="David"/>
          <w:noProof/>
          <w:sz w:val="24"/>
          <w:szCs w:val="24"/>
          <w:rtl/>
        </w:rPr>
        <w:t xml:space="preserve">, פ"ד כה(2) 121 (1971).</w:t>
      </w:r>
    </w:p>
    <w:p>
      <w:pPr>
        <w:bidi/>
        <w:spacing w:after="120" w:line="300"/>
        <w:ind w:start="420" w:hanging="420"/>
        <w:jc w:val="both"/>
      </w:pPr>
      <w:r>
        <w:rPr>
          <w:rFonts w:ascii="David" w:cs="David" w:eastAsia="David" w:hAnsi="David"/>
          <w:noProof/>
          <w:sz w:val="24"/>
          <w:szCs w:val="24"/>
          <w:rtl/>
        </w:rPr>
        <w:t xml:space="preserve">ע"א 726/71 </w:t>
      </w:r>
      <w:r>
        <w:rPr>
          <w:rFonts w:ascii="David" w:cs="David" w:eastAsia="David" w:hAnsi="David"/>
          <w:b/>
          <w:bCs/>
          <w:noProof/>
          <w:sz w:val="24"/>
          <w:szCs w:val="24"/>
          <w:rtl/>
        </w:rPr>
        <w:t xml:space="preserve">גרוסמן את ק.ב.ק. בע"מ נ׳ מנהלי עזבון בידרמן</w:t>
      </w:r>
      <w:r>
        <w:rPr>
          <w:rFonts w:ascii="David" w:cs="David" w:eastAsia="David" w:hAnsi="David"/>
          <w:noProof/>
          <w:sz w:val="24"/>
          <w:szCs w:val="24"/>
          <w:rtl/>
        </w:rPr>
        <w:t xml:space="preserve">, פ"ד כו(2) 781 (1972).</w:t>
      </w:r>
    </w:p>
    <w:p>
      <w:pPr>
        <w:bidi/>
        <w:spacing w:after="120" w:line="300"/>
        <w:ind w:start="420" w:hanging="420"/>
        <w:jc w:val="both"/>
      </w:pPr>
      <w:r>
        <w:rPr>
          <w:rFonts w:ascii="David" w:cs="David" w:eastAsia="David" w:hAnsi="David"/>
          <w:noProof/>
          <w:sz w:val="24"/>
          <w:szCs w:val="24"/>
          <w:rtl/>
        </w:rPr>
        <w:t xml:space="preserve">ע"א 649/73 </w:t>
      </w:r>
      <w:r>
        <w:rPr>
          <w:rFonts w:ascii="David" w:cs="David" w:eastAsia="David" w:hAnsi="David"/>
          <w:b/>
          <w:bCs/>
          <w:noProof/>
          <w:sz w:val="24"/>
          <w:szCs w:val="24"/>
          <w:rtl/>
        </w:rPr>
        <w:t xml:space="preserve">קפולסקי נ׳ גני גולן בע"מ</w:t>
      </w:r>
      <w:r>
        <w:rPr>
          <w:rFonts w:ascii="David" w:cs="David" w:eastAsia="David" w:hAnsi="David"/>
          <w:noProof/>
          <w:sz w:val="24"/>
          <w:szCs w:val="24"/>
          <w:rtl/>
        </w:rPr>
        <w:t xml:space="preserve">, פ"ד כח(2) 291 (1974).</w:t>
      </w:r>
    </w:p>
    <w:p>
      <w:pPr>
        <w:bidi/>
        <w:spacing w:after="120" w:line="300"/>
        <w:ind w:start="420" w:hanging="420"/>
        <w:jc w:val="both"/>
      </w:pPr>
      <w:r>
        <w:rPr>
          <w:rFonts w:ascii="David" w:cs="David" w:eastAsia="David" w:hAnsi="David"/>
          <w:noProof/>
          <w:sz w:val="24"/>
          <w:szCs w:val="24"/>
          <w:rtl/>
        </w:rPr>
        <w:t xml:space="preserve">ע"א 515/76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פ"ד לא(2) 127 (1977).</w:t>
      </w:r>
    </w:p>
    <w:p>
      <w:pPr>
        <w:bidi/>
        <w:spacing w:after="120" w:line="300"/>
        <w:ind w:start="420" w:hanging="420"/>
        <w:jc w:val="both"/>
      </w:pPr>
      <w:r>
        <w:rPr>
          <w:rFonts w:ascii="David" w:cs="David" w:eastAsia="David" w:hAnsi="David"/>
          <w:noProof/>
          <w:sz w:val="24"/>
          <w:szCs w:val="24"/>
          <w:rtl/>
        </w:rPr>
        <w:t xml:space="preserve">ע"א 514/76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פ"ד לא(2) 505 (1977).</w:t>
      </w:r>
    </w:p>
    <w:p>
      <w:pPr>
        <w:bidi/>
        <w:spacing w:after="120" w:line="300"/>
        <w:ind w:start="420" w:hanging="420"/>
        <w:jc w:val="both"/>
      </w:pPr>
      <w:r>
        <w:rPr>
          <w:rFonts w:ascii="David" w:cs="David" w:eastAsia="David" w:hAnsi="David"/>
          <w:noProof/>
          <w:sz w:val="24"/>
          <w:szCs w:val="24"/>
          <w:rtl/>
        </w:rPr>
        <w:t xml:space="preserve">ע"א 32/77 </w:t>
      </w:r>
      <w:r>
        <w:rPr>
          <w:rFonts w:ascii="David" w:cs="David" w:eastAsia="David" w:hAnsi="David"/>
          <w:b/>
          <w:bCs/>
          <w:noProof/>
          <w:sz w:val="24"/>
          <w:szCs w:val="24"/>
          <w:rtl/>
        </w:rPr>
        <w:t xml:space="preserve">טבוליצקי נ׳ בית-כנסת ובית-מדרש החסידים</w:t>
      </w:r>
      <w:r>
        <w:rPr>
          <w:rFonts w:ascii="David" w:cs="David" w:eastAsia="David" w:hAnsi="David"/>
          <w:noProof/>
          <w:sz w:val="24"/>
          <w:szCs w:val="24"/>
          <w:rtl/>
        </w:rPr>
        <w:t xml:space="preserve">, פ"ד לא(3) 210 (1977).</w:t>
      </w:r>
    </w:p>
    <w:p>
      <w:pPr>
        <w:bidi/>
        <w:spacing w:after="120" w:line="300"/>
        <w:ind w:start="420" w:hanging="420"/>
        <w:jc w:val="both"/>
      </w:pPr>
      <w:r>
        <w:rPr>
          <w:rFonts w:ascii="David" w:cs="David" w:eastAsia="David" w:hAnsi="David"/>
          <w:noProof/>
          <w:sz w:val="24"/>
          <w:szCs w:val="24"/>
          <w:rtl/>
        </w:rPr>
        <w:t xml:space="preserve">ע"א 463/79 </w:t>
      </w:r>
      <w:r>
        <w:rPr>
          <w:rFonts w:ascii="David" w:cs="David" w:eastAsia="David" w:hAnsi="David"/>
          <w:b/>
          <w:bCs/>
          <w:noProof/>
          <w:sz w:val="24"/>
          <w:szCs w:val="24"/>
          <w:rtl/>
        </w:rPr>
        <w:t xml:space="preserve">ג׳בראן נ׳ ג׳בראן</w:t>
      </w:r>
      <w:r>
        <w:rPr>
          <w:rFonts w:ascii="David" w:cs="David" w:eastAsia="David" w:hAnsi="David"/>
          <w:noProof/>
          <w:sz w:val="24"/>
          <w:szCs w:val="24"/>
          <w:rtl/>
        </w:rPr>
        <w:t xml:space="preserve">, פ"ד לו(4) 403 (1982).</w:t>
      </w:r>
    </w:p>
    <w:p>
      <w:pPr>
        <w:bidi/>
        <w:spacing w:after="120" w:line="300"/>
        <w:ind w:start="420" w:hanging="420"/>
        <w:jc w:val="both"/>
      </w:pPr>
      <w:r>
        <w:rPr>
          <w:rFonts w:ascii="David" w:cs="David" w:eastAsia="David" w:hAnsi="David"/>
          <w:noProof/>
          <w:sz w:val="24"/>
          <w:szCs w:val="24"/>
          <w:rtl/>
        </w:rPr>
        <w:t xml:space="preserve">ע"א 496/82 </w:t>
      </w:r>
      <w:r>
        <w:rPr>
          <w:rFonts w:ascii="David" w:cs="David" w:eastAsia="David" w:hAnsi="David"/>
          <w:b/>
          <w:bCs/>
          <w:noProof/>
          <w:sz w:val="24"/>
          <w:szCs w:val="24"/>
          <w:rtl/>
        </w:rPr>
        <w:t xml:space="preserve">רוזן נ׳ סלונים</w:t>
      </w:r>
      <w:r>
        <w:rPr>
          <w:rFonts w:ascii="David" w:cs="David" w:eastAsia="David" w:hAnsi="David"/>
          <w:noProof/>
          <w:sz w:val="24"/>
          <w:szCs w:val="24"/>
          <w:rtl/>
        </w:rPr>
        <w:t xml:space="preserve">, פ"ד לט(2) 337 (1985).</w:t>
      </w:r>
    </w:p>
    <w:p>
      <w:pPr>
        <w:bidi/>
        <w:spacing w:after="120" w:line="300"/>
        <w:ind w:start="420" w:hanging="420"/>
        <w:jc w:val="both"/>
      </w:pPr>
      <w:r>
        <w:rPr>
          <w:rFonts w:ascii="David" w:cs="David" w:eastAsia="David" w:hAnsi="David"/>
          <w:noProof/>
          <w:sz w:val="24"/>
          <w:szCs w:val="24"/>
          <w:rtl/>
        </w:rPr>
        <w:t xml:space="preserve">ע"א 986/93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פ"ד נ(1) 185 (1996).</w:t>
      </w:r>
    </w:p>
    <w:p>
      <w:pPr>
        <w:bidi/>
        <w:spacing w:after="120" w:line="300"/>
        <w:ind w:start="420" w:hanging="420"/>
        <w:jc w:val="both"/>
      </w:pPr>
      <w:r>
        <w:rPr>
          <w:rFonts w:ascii="David" w:cs="David" w:eastAsia="David" w:hAnsi="David"/>
          <w:noProof/>
          <w:sz w:val="24"/>
          <w:szCs w:val="24"/>
          <w:rtl/>
        </w:rPr>
        <w:t xml:space="preserve">ע"א 189/95 </w:t>
      </w:r>
      <w:r>
        <w:rPr>
          <w:rFonts w:ascii="David" w:cs="David" w:eastAsia="David" w:hAnsi="David"/>
          <w:b/>
          <w:bCs/>
          <w:noProof/>
          <w:sz w:val="24"/>
          <w:szCs w:val="24"/>
          <w:rtl/>
        </w:rPr>
        <w:t xml:space="preserve">בנק אוצר החייל בע"מ נ׳ אהרונוב</w:t>
      </w:r>
      <w:r>
        <w:rPr>
          <w:rFonts w:ascii="David" w:cs="David" w:eastAsia="David" w:hAnsi="David"/>
          <w:noProof/>
          <w:sz w:val="24"/>
          <w:szCs w:val="24"/>
          <w:rtl/>
        </w:rPr>
        <w:t xml:space="preserve">, פ"ד נג(4) 199 (1999).</w:t>
      </w:r>
    </w:p>
    <w:p>
      <w:pPr>
        <w:bidi/>
        <w:spacing w:after="120" w:line="300"/>
        <w:ind w:start="420" w:hanging="420"/>
        <w:jc w:val="both"/>
      </w:pPr>
      <w:r>
        <w:rPr>
          <w:rFonts w:ascii="David" w:cs="David" w:eastAsia="David" w:hAnsi="David"/>
          <w:noProof/>
          <w:sz w:val="24"/>
          <w:szCs w:val="24"/>
          <w:rtl/>
        </w:rPr>
        <w:t xml:space="preserve">ע"א 1516/99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פ"ד נה(4) 730 (2001).</w:t>
      </w:r>
    </w:p>
    <w:p>
      <w:pPr>
        <w:bidi/>
        <w:spacing w:after="120" w:line="300"/>
        <w:ind w:start="420" w:hanging="420"/>
        <w:jc w:val="both"/>
      </w:pPr>
      <w:r>
        <w:rPr>
          <w:rFonts w:ascii="David" w:cs="David" w:eastAsia="David" w:hAnsi="David"/>
          <w:noProof/>
          <w:sz w:val="24"/>
          <w:szCs w:val="24"/>
          <w:rtl/>
        </w:rPr>
        <w:t xml:space="preserve">ע"א 3205/00 </w:t>
      </w:r>
      <w:r>
        <w:rPr>
          <w:rFonts w:ascii="David" w:cs="David" w:eastAsia="David" w:hAnsi="David"/>
          <w:b/>
          <w:bCs/>
          <w:noProof/>
          <w:sz w:val="24"/>
          <w:szCs w:val="24"/>
          <w:rtl/>
        </w:rPr>
        <w:t xml:space="preserve">נאטור נ׳ יאסין</w:t>
      </w:r>
      <w:r>
        <w:rPr>
          <w:rFonts w:ascii="David" w:cs="David" w:eastAsia="David" w:hAnsi="David"/>
          <w:noProof/>
          <w:sz w:val="24"/>
          <w:szCs w:val="24"/>
          <w:rtl/>
        </w:rPr>
        <w:t xml:space="preserve">, פ"ד נה(4) 145 (2001).</w:t>
      </w:r>
    </w:p>
    <w:p>
      <w:pPr>
        <w:bidi/>
        <w:spacing w:after="120" w:line="300"/>
        <w:ind w:start="420" w:hanging="420"/>
        <w:jc w:val="both"/>
      </w:pPr>
      <w:r>
        <w:rPr>
          <w:rFonts w:ascii="David" w:cs="David" w:eastAsia="David" w:hAnsi="David"/>
          <w:noProof/>
          <w:sz w:val="24"/>
          <w:szCs w:val="24"/>
          <w:rtl/>
        </w:rPr>
        <w:t xml:space="preserve">ע"א 3911/01 </w:t>
      </w:r>
      <w:r>
        <w:rPr>
          <w:rFonts w:ascii="David" w:cs="David" w:eastAsia="David" w:hAnsi="David"/>
          <w:b/>
          <w:bCs/>
          <w:noProof/>
          <w:sz w:val="24"/>
          <w:szCs w:val="24"/>
          <w:rtl/>
        </w:rPr>
        <w:t xml:space="preserve">כספי נ׳ נס</w:t>
      </w:r>
      <w:r>
        <w:rPr>
          <w:rFonts w:ascii="David" w:cs="David" w:eastAsia="David" w:hAnsi="David"/>
          <w:noProof/>
          <w:sz w:val="24"/>
          <w:szCs w:val="24"/>
          <w:rtl/>
        </w:rPr>
        <w:t xml:space="preserve">, פ"ד נו(6) 752 (2002).</w:t>
      </w:r>
    </w:p>
    <w:p>
      <w:pPr>
        <w:bidi/>
        <w:spacing w:after="120" w:line="300"/>
        <w:ind w:start="420" w:hanging="420"/>
        <w:jc w:val="both"/>
      </w:pPr>
      <w:r>
        <w:rPr>
          <w:rFonts w:ascii="David" w:cs="David" w:eastAsia="David" w:hAnsi="David"/>
          <w:noProof/>
          <w:sz w:val="24"/>
          <w:szCs w:val="24"/>
          <w:rtl/>
        </w:rPr>
        <w:t xml:space="preserve">רע"א 1156/02 </w:t>
      </w:r>
      <w:r>
        <w:rPr>
          <w:rFonts w:ascii="David" w:cs="David" w:eastAsia="David" w:hAnsi="David"/>
          <w:b/>
          <w:bCs/>
          <w:noProof/>
          <w:sz w:val="24"/>
          <w:szCs w:val="24"/>
          <w:rtl/>
        </w:rPr>
        <w:t xml:space="preserve">חיר נ׳ לידאי</w:t>
      </w:r>
      <w:r>
        <w:rPr>
          <w:rFonts w:ascii="David" w:cs="David" w:eastAsia="David" w:hAnsi="David"/>
          <w:noProof/>
          <w:sz w:val="24"/>
          <w:szCs w:val="24"/>
          <w:rtl/>
        </w:rPr>
        <w:t xml:space="preserve">, פ"ד נז(3) 949 (2003).</w:t>
      </w:r>
    </w:p>
    <w:p>
      <w:pPr>
        <w:bidi/>
        <w:spacing w:after="120" w:line="300"/>
        <w:ind w:start="420" w:hanging="420"/>
        <w:jc w:val="both"/>
      </w:pPr>
      <w:r>
        <w:rPr>
          <w:rFonts w:ascii="David" w:cs="David" w:eastAsia="David" w:hAnsi="David"/>
          <w:noProof/>
          <w:sz w:val="24"/>
          <w:szCs w:val="24"/>
          <w:rtl/>
        </w:rPr>
        <w:t xml:space="preserve">ע"א 1559/99 </w:t>
      </w:r>
      <w:r>
        <w:rPr>
          <w:rFonts w:ascii="David" w:cs="David" w:eastAsia="David" w:hAnsi="David"/>
          <w:b/>
          <w:bCs/>
          <w:noProof/>
          <w:sz w:val="24"/>
          <w:szCs w:val="24"/>
          <w:rtl/>
        </w:rPr>
        <w:t xml:space="preserve">צימבלר נ׳ תורג׳מן</w:t>
      </w:r>
      <w:r>
        <w:rPr>
          <w:rFonts w:ascii="David" w:cs="David" w:eastAsia="David" w:hAnsi="David"/>
          <w:noProof/>
          <w:sz w:val="24"/>
          <w:szCs w:val="24"/>
          <w:rtl/>
        </w:rPr>
        <w:t xml:space="preserve">, פ"ד נז(5) 49 (2003).</w:t>
      </w:r>
    </w:p>
    <w:p>
      <w:pPr>
        <w:bidi/>
        <w:spacing w:after="120" w:line="300"/>
        <w:ind w:start="420" w:hanging="420"/>
        <w:jc w:val="both"/>
      </w:pPr>
      <w:r>
        <w:rPr>
          <w:rFonts w:ascii="David" w:cs="David" w:eastAsia="David" w:hAnsi="David"/>
          <w:noProof/>
          <w:sz w:val="24"/>
          <w:szCs w:val="24"/>
          <w:rtl/>
        </w:rPr>
        <w:t xml:space="preserve">ע"א 7139/99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פ"ד נח(4) 27 (2004).</w:t>
      </w:r>
    </w:p>
    <w:p>
      <w:pPr>
        <w:bidi/>
        <w:spacing w:after="120" w:line="300"/>
        <w:ind w:start="420" w:hanging="420"/>
        <w:jc w:val="both"/>
      </w:pPr>
      <w:r>
        <w:rPr>
          <w:rFonts w:ascii="David" w:cs="David" w:eastAsia="David" w:hAnsi="David"/>
          <w:noProof/>
          <w:sz w:val="24"/>
          <w:szCs w:val="24"/>
          <w:rtl/>
        </w:rPr>
        <w:t xml:space="preserve">ע"א 8234/09 </w:t>
      </w:r>
      <w:r>
        <w:rPr>
          <w:rFonts w:ascii="David" w:cs="David" w:eastAsia="David" w:hAnsi="David"/>
          <w:b/>
          <w:bCs/>
          <w:noProof/>
          <w:sz w:val="24"/>
          <w:szCs w:val="24"/>
          <w:rtl/>
        </w:rPr>
        <w:t xml:space="preserve">שם טוב נ׳ פרץ</w:t>
      </w:r>
      <w:r>
        <w:rPr>
          <w:rFonts w:ascii="David" w:cs="David" w:eastAsia="David" w:hAnsi="David"/>
          <w:noProof/>
          <w:sz w:val="24"/>
          <w:szCs w:val="24"/>
          <w:rtl/>
        </w:rPr>
        <w:t xml:space="preserve"> (נבו 21.3.2011).</w:t>
      </w:r>
    </w:p>
    <w:p>
      <w:pPr>
        <w:bidi/>
        <w:spacing w:after="120" w:line="300"/>
        <w:ind w:start="420" w:hanging="420"/>
        <w:jc w:val="both"/>
      </w:pPr>
      <w:r>
        <w:rPr>
          <w:rFonts w:ascii="David" w:cs="David" w:eastAsia="David" w:hAnsi="David"/>
          <w:noProof/>
          <w:sz w:val="24"/>
          <w:szCs w:val="24"/>
          <w:rtl/>
        </w:rPr>
        <w:t xml:space="preserve">ע"א 2110/09 </w:t>
      </w:r>
      <w:r>
        <w:rPr>
          <w:rFonts w:ascii="David" w:cs="David" w:eastAsia="David" w:hAnsi="David"/>
          <w:b/>
          <w:bCs/>
          <w:noProof/>
          <w:sz w:val="24"/>
          <w:szCs w:val="24"/>
          <w:rtl/>
        </w:rPr>
        <w:t xml:space="preserve">קדור נ׳ דקסה</w:t>
      </w:r>
      <w:r>
        <w:rPr>
          <w:rFonts w:ascii="David" w:cs="David" w:eastAsia="David" w:hAnsi="David"/>
          <w:noProof/>
          <w:sz w:val="24"/>
          <w:szCs w:val="24"/>
          <w:rtl/>
        </w:rPr>
        <w:t xml:space="preserve"> (נבו 20.9.2012).</w:t>
      </w:r>
    </w:p>
    <w:p>
      <w:pPr>
        <w:bidi/>
        <w:spacing w:after="120" w:line="300"/>
        <w:ind w:start="420" w:hanging="420"/>
        <w:jc w:val="both"/>
      </w:pPr>
      <w:r>
        <w:rPr>
          <w:rFonts w:ascii="David" w:cs="David" w:eastAsia="David" w:hAnsi="David"/>
          <w:noProof/>
          <w:sz w:val="24"/>
          <w:szCs w:val="24"/>
          <w:rtl/>
        </w:rPr>
        <w:t xml:space="preserve">ע"א 6766/11 </w:t>
      </w:r>
      <w:r>
        <w:rPr>
          <w:rFonts w:ascii="David" w:cs="David" w:eastAsia="David" w:hAnsi="David"/>
          <w:b/>
          <w:bCs/>
          <w:noProof/>
          <w:sz w:val="24"/>
          <w:szCs w:val="24"/>
          <w:rtl/>
        </w:rPr>
        <w:t xml:space="preserve">חג׳אזי נ׳ חג׳אזי</w:t>
      </w:r>
      <w:r>
        <w:rPr>
          <w:rFonts w:ascii="David" w:cs="David" w:eastAsia="David" w:hAnsi="David"/>
          <w:noProof/>
          <w:sz w:val="24"/>
          <w:szCs w:val="24"/>
          <w:rtl/>
        </w:rPr>
        <w:t xml:space="preserve"> (נבו 23.6.2013).</w:t>
      </w:r>
    </w:p>
    <w:p>
      <w:pPr>
        <w:bidi/>
        <w:spacing w:after="120" w:line="300"/>
        <w:ind w:start="420" w:hanging="420"/>
        <w:jc w:val="both"/>
      </w:pPr>
      <w:r>
        <w:rPr>
          <w:rFonts w:ascii="David" w:cs="David" w:eastAsia="David" w:hAnsi="David"/>
          <w:noProof/>
          <w:sz w:val="24"/>
          <w:szCs w:val="24"/>
          <w:rtl/>
        </w:rPr>
        <w:t xml:space="preserve">ע"א 6588/12 </w:t>
      </w:r>
      <w:r>
        <w:rPr>
          <w:rFonts w:ascii="David" w:cs="David" w:eastAsia="David" w:hAnsi="David"/>
          <w:b/>
          <w:bCs/>
          <w:noProof/>
          <w:sz w:val="24"/>
          <w:szCs w:val="24"/>
          <w:rtl/>
        </w:rPr>
        <w:t xml:space="preserve">כבהה נ׳ כבהה</w:t>
      </w:r>
      <w:r>
        <w:rPr>
          <w:rFonts w:ascii="David" w:cs="David" w:eastAsia="David" w:hAnsi="David"/>
          <w:noProof/>
          <w:sz w:val="24"/>
          <w:szCs w:val="24"/>
          <w:rtl/>
        </w:rPr>
        <w:t xml:space="preserve"> (נבו 24.12.2014).</w:t>
      </w:r>
    </w:p>
    <w:p>
      <w:pPr>
        <w:bidi/>
        <w:spacing w:after="120" w:line="300"/>
        <w:ind w:start="420" w:hanging="420"/>
        <w:jc w:val="both"/>
      </w:pPr>
      <w:r>
        <w:rPr>
          <w:rFonts w:ascii="David" w:cs="David" w:eastAsia="David" w:hAnsi="David"/>
          <w:noProof/>
          <w:sz w:val="24"/>
          <w:szCs w:val="24"/>
          <w:rtl/>
        </w:rPr>
        <w:t xml:space="preserve">רע"א 7060/12 </w:t>
      </w:r>
      <w:r>
        <w:rPr>
          <w:rFonts w:ascii="David" w:cs="David" w:eastAsia="David" w:hAnsi="David"/>
          <w:b/>
          <w:bCs/>
          <w:noProof/>
          <w:sz w:val="24"/>
          <w:szCs w:val="24"/>
          <w:rtl/>
        </w:rPr>
        <w:t xml:space="preserve">מדינת ישראל נ׳ </w:t>
      </w:r>
      <w:r>
        <w:rPr>
          <w:rFonts w:ascii="Times New Roman" w:cs="Times New Roman" w:eastAsia="Times New Roman" w:hAnsi="Times New Roman"/>
          <w:b/>
          <w:bCs/>
          <w:noProof/>
          <w:sz w:val="24"/>
          <w:szCs w:val="24"/>
        </w:rPr>
        <w:t xml:space="preserve">United Israel Appeal Inc</w:t>
      </w:r>
      <w:r>
        <w:rPr>
          <w:rFonts w:ascii="David" w:cs="David" w:eastAsia="David" w:hAnsi="David"/>
          <w:noProof/>
          <w:sz w:val="24"/>
          <w:szCs w:val="24"/>
          <w:rtl/>
        </w:rPr>
        <w:t xml:space="preserve"> (נבו 30.4.2015).</w:t>
      </w:r>
    </w:p>
    <w:p>
      <w:pPr>
        <w:bidi/>
        <w:spacing w:after="120" w:line="300"/>
        <w:ind w:start="420" w:hanging="420"/>
        <w:jc w:val="both"/>
      </w:pPr>
      <w:r>
        <w:rPr>
          <w:rFonts w:ascii="David" w:cs="David" w:eastAsia="David" w:hAnsi="David"/>
          <w:noProof/>
          <w:sz w:val="24"/>
          <w:szCs w:val="24"/>
          <w:rtl/>
        </w:rPr>
        <w:t xml:space="preserve">ע"א 6757/13 </w:t>
      </w:r>
      <w:r>
        <w:rPr>
          <w:rFonts w:ascii="David" w:cs="David" w:eastAsia="David" w:hAnsi="David"/>
          <w:b/>
          <w:bCs/>
          <w:noProof/>
          <w:sz w:val="24"/>
          <w:szCs w:val="24"/>
          <w:rtl/>
        </w:rPr>
        <w:t xml:space="preserve">נחום נ׳ רשות הפיתוח</w:t>
      </w:r>
      <w:r>
        <w:rPr>
          <w:rFonts w:ascii="David" w:cs="David" w:eastAsia="David" w:hAnsi="David"/>
          <w:noProof/>
          <w:sz w:val="24"/>
          <w:szCs w:val="24"/>
          <w:rtl/>
        </w:rPr>
        <w:t xml:space="preserve"> (נבו 19.8.2015).</w:t>
      </w:r>
    </w:p>
    <w:p>
      <w:pPr>
        <w:bidi/>
        <w:spacing w:after="120" w:line="300"/>
        <w:ind w:start="420" w:hanging="420"/>
        <w:jc w:val="both"/>
      </w:pPr>
      <w:r>
        <w:rPr>
          <w:rFonts w:ascii="David" w:cs="David" w:eastAsia="David" w:hAnsi="David"/>
          <w:noProof/>
          <w:sz w:val="24"/>
          <w:szCs w:val="24"/>
          <w:rtl/>
        </w:rPr>
        <w:t xml:space="preserve">רע"א 4890/15 </w:t>
      </w:r>
      <w:r>
        <w:rPr>
          <w:rFonts w:ascii="David" w:cs="David" w:eastAsia="David" w:hAnsi="David"/>
          <w:b/>
          <w:bCs/>
          <w:noProof/>
          <w:sz w:val="24"/>
          <w:szCs w:val="24"/>
          <w:rtl/>
        </w:rPr>
        <w:t xml:space="preserve">אלוש נ׳ עיריית טבריה</w:t>
      </w:r>
      <w:r>
        <w:rPr>
          <w:rFonts w:ascii="David" w:cs="David" w:eastAsia="David" w:hAnsi="David"/>
          <w:noProof/>
          <w:sz w:val="24"/>
          <w:szCs w:val="24"/>
          <w:rtl/>
        </w:rPr>
        <w:t xml:space="preserve"> (נבו 31.12.2015).</w:t>
      </w:r>
    </w:p>
    <w:p>
      <w:pPr>
        <w:bidi/>
        <w:spacing w:after="120" w:line="300"/>
        <w:ind w:start="420" w:hanging="420"/>
        <w:jc w:val="both"/>
      </w:pPr>
      <w:r>
        <w:rPr>
          <w:rFonts w:ascii="David" w:cs="David" w:eastAsia="David" w:hAnsi="David"/>
          <w:noProof/>
          <w:sz w:val="24"/>
          <w:szCs w:val="24"/>
          <w:rtl/>
        </w:rPr>
        <w:t xml:space="preserve">ו"ע (מחוזי חי׳) 4631-12-13 </w:t>
      </w:r>
      <w:r>
        <w:rPr>
          <w:rFonts w:ascii="David" w:cs="David" w:eastAsia="David" w:hAnsi="David"/>
          <w:b/>
          <w:bCs/>
          <w:noProof/>
          <w:sz w:val="24"/>
          <w:szCs w:val="24"/>
          <w:rtl/>
        </w:rPr>
        <w:t xml:space="preserve">גולדברג נ׳ מנהל מיסוי מקרקעין – חדרה</w:t>
      </w:r>
      <w:r>
        <w:rPr>
          <w:rFonts w:ascii="David" w:cs="David" w:eastAsia="David" w:hAnsi="David"/>
          <w:noProof/>
          <w:sz w:val="24"/>
          <w:szCs w:val="24"/>
          <w:rtl/>
        </w:rPr>
        <w:t xml:space="preserve">, </w:t>
      </w:r>
      <w:r>
        <w:rPr>
          <w:rFonts w:ascii="David" w:cs="David" w:eastAsia="David" w:hAnsi="David"/>
          <w:b/>
          <w:bCs/>
          <w:noProof/>
          <w:sz w:val="24"/>
          <w:szCs w:val="24"/>
          <w:rtl/>
        </w:rPr>
        <w:t xml:space="preserve">מיסים</w:t>
      </w:r>
      <w:r>
        <w:rPr>
          <w:rFonts w:ascii="David" w:cs="David" w:eastAsia="David" w:hAnsi="David"/>
          <w:noProof/>
          <w:sz w:val="24"/>
          <w:szCs w:val="24"/>
          <w:rtl/>
        </w:rPr>
        <w:t xml:space="preserve"> כט/3 ה-320 (2015).</w:t>
      </w:r>
    </w:p>
    <w:p>
      <w:pPr>
        <w:bidi/>
        <w:spacing w:after="120" w:line="300"/>
        <w:ind w:start="420" w:hanging="420"/>
        <w:jc w:val="both"/>
      </w:pPr>
      <w:r>
        <w:rPr>
          <w:rFonts w:ascii="David" w:cs="David" w:eastAsia="David" w:hAnsi="David"/>
          <w:noProof/>
          <w:sz w:val="24"/>
          <w:szCs w:val="24"/>
          <w:rtl/>
        </w:rPr>
        <w:t xml:space="preserve">ע"א 483/16 </w:t>
      </w:r>
      <w:r>
        <w:rPr>
          <w:rFonts w:ascii="David" w:cs="David" w:eastAsia="David" w:hAnsi="David"/>
          <w:b/>
          <w:bCs/>
          <w:noProof/>
          <w:sz w:val="24"/>
          <w:szCs w:val="24"/>
          <w:rtl/>
        </w:rPr>
        <w:t xml:space="preserve">יהודאי נ׳ חלמיש – חברה ממשלתית-עירונית לדיור, לשיקום ולהתחדשות שכונות בתל-אביב בע"מ</w:t>
      </w:r>
      <w:r>
        <w:rPr>
          <w:rFonts w:ascii="David" w:cs="David" w:eastAsia="David" w:hAnsi="David"/>
          <w:noProof/>
          <w:sz w:val="24"/>
          <w:szCs w:val="24"/>
          <w:rtl/>
        </w:rPr>
        <w:t xml:space="preserve"> (נבו 3.10.2017).</w:t>
      </w:r>
    </w:p>
    <w:p>
      <w:pPr>
        <w:bidi/>
        <w:spacing w:after="120" w:line="300"/>
        <w:ind w:start="420" w:hanging="420"/>
        <w:jc w:val="both"/>
      </w:pPr>
      <w:r>
        <w:rPr>
          <w:rFonts w:ascii="David" w:cs="David" w:eastAsia="David" w:hAnsi="David"/>
          <w:noProof/>
          <w:sz w:val="24"/>
          <w:szCs w:val="24"/>
          <w:rtl/>
        </w:rPr>
        <w:t xml:space="preserve">בע"מ 7496/19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30.12.2019).</w:t>
      </w:r>
    </w:p>
    <w:p>
      <w:pPr>
        <w:bidi/>
        <w:spacing w:after="120" w:line="300"/>
        <w:ind w:start="420" w:hanging="420"/>
        <w:jc w:val="both"/>
      </w:pPr>
      <w:r>
        <w:rPr>
          <w:rFonts w:ascii="David" w:cs="David" w:eastAsia="David" w:hAnsi="David"/>
          <w:noProof/>
          <w:sz w:val="24"/>
          <w:szCs w:val="24"/>
          <w:rtl/>
        </w:rPr>
        <w:t xml:space="preserve">ע"א 749/18 </w:t>
      </w:r>
      <w:r>
        <w:rPr>
          <w:rFonts w:ascii="David" w:cs="David" w:eastAsia="David" w:hAnsi="David"/>
          <w:b/>
          <w:bCs/>
          <w:noProof/>
          <w:sz w:val="24"/>
          <w:szCs w:val="24"/>
          <w:rtl/>
        </w:rPr>
        <w:t xml:space="preserve">עיזבון אבו ג׳נימה נ׳ עיזבון אבו ג׳נימה</w:t>
      </w:r>
      <w:r>
        <w:rPr>
          <w:rFonts w:ascii="David" w:cs="David" w:eastAsia="David" w:hAnsi="David"/>
          <w:noProof/>
          <w:sz w:val="24"/>
          <w:szCs w:val="24"/>
          <w:rtl/>
        </w:rPr>
        <w:t xml:space="preserve"> (נבו 26.7.2020).</w:t>
      </w:r>
    </w:p>
    <w:p>
      <w:pPr>
        <w:bidi/>
        <w:spacing w:after="120" w:line="300"/>
        <w:ind w:start="420" w:hanging="420"/>
        <w:jc w:val="both"/>
      </w:pPr>
      <w:r>
        <w:rPr>
          <w:rFonts w:ascii="David" w:cs="David" w:eastAsia="David" w:hAnsi="David"/>
          <w:noProof/>
          <w:sz w:val="24"/>
          <w:szCs w:val="24"/>
          <w:rtl/>
        </w:rPr>
        <w:t xml:space="preserve">ע"א 3274/18 </w:t>
      </w:r>
      <w:r>
        <w:rPr>
          <w:rFonts w:ascii="David" w:cs="David" w:eastAsia="David" w:hAnsi="David"/>
          <w:b/>
          <w:bCs/>
          <w:noProof/>
          <w:sz w:val="24"/>
          <w:szCs w:val="24"/>
          <w:rtl/>
        </w:rPr>
        <w:t xml:space="preserve">אבו אסמעיל נ׳ סלימאן</w:t>
      </w:r>
      <w:r>
        <w:rPr>
          <w:rFonts w:ascii="David" w:cs="David" w:eastAsia="David" w:hAnsi="David"/>
          <w:noProof/>
          <w:sz w:val="24"/>
          <w:szCs w:val="24"/>
          <w:rtl/>
        </w:rPr>
        <w:t xml:space="preserve"> (נבו 28.7.2020).</w:t>
      </w:r>
    </w:p>
    <w:p>
      <w:pPr>
        <w:bidi/>
        <w:spacing w:after="120" w:line="300"/>
        <w:ind w:start="420" w:hanging="420"/>
        <w:jc w:val="both"/>
      </w:pPr>
      <w:r>
        <w:rPr>
          <w:rFonts w:ascii="David" w:cs="David" w:eastAsia="David" w:hAnsi="David"/>
          <w:noProof/>
          <w:sz w:val="24"/>
          <w:szCs w:val="24"/>
          <w:rtl/>
        </w:rPr>
        <w:t xml:space="preserve">ה"פ (מחוזי י-ם) 48783-04-18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4.5.2020).</w:t>
      </w:r>
    </w:p>
    <w:p>
      <w:pPr>
        <w:bidi/>
        <w:spacing w:after="120" w:line="300"/>
        <w:ind w:start="420" w:hanging="420"/>
        <w:jc w:val="both"/>
      </w:pPr>
      <w:r>
        <w:rPr>
          <w:rFonts w:ascii="David" w:cs="David" w:eastAsia="David" w:hAnsi="David"/>
          <w:noProof/>
          <w:sz w:val="24"/>
          <w:szCs w:val="24"/>
          <w:rtl/>
        </w:rPr>
        <w:t xml:space="preserve">ע"א 4116/20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17.9.2020) (החלטה).</w:t>
      </w:r>
    </w:p>
    <w:p>
      <w:pPr>
        <w:bidi/>
        <w:spacing w:after="120" w:line="300"/>
        <w:ind w:start="420" w:hanging="420"/>
        <w:jc w:val="both"/>
      </w:pPr>
      <w:r>
        <w:rPr>
          <w:rFonts w:ascii="David" w:cs="David" w:eastAsia="David" w:hAnsi="David"/>
          <w:noProof/>
          <w:sz w:val="24"/>
          <w:szCs w:val="24"/>
          <w:rtl/>
        </w:rPr>
        <w:t xml:space="preserve">ע"א 2693/19 </w:t>
      </w:r>
      <w:r>
        <w:rPr>
          <w:rFonts w:ascii="David" w:cs="David" w:eastAsia="David" w:hAnsi="David"/>
          <w:b/>
          <w:bCs/>
          <w:noProof/>
          <w:sz w:val="24"/>
          <w:szCs w:val="24"/>
          <w:rtl/>
        </w:rPr>
        <w:t xml:space="preserve">משעל נ׳ כמאל</w:t>
      </w:r>
      <w:r>
        <w:rPr>
          <w:rFonts w:ascii="David" w:cs="David" w:eastAsia="David" w:hAnsi="David"/>
          <w:noProof/>
          <w:sz w:val="24"/>
          <w:szCs w:val="24"/>
          <w:rtl/>
        </w:rPr>
        <w:t xml:space="preserve"> (נבו 22.9.2020).</w:t>
      </w:r>
    </w:p>
    <w:p>
      <w:pPr>
        <w:bidi/>
        <w:spacing w:after="120" w:line="300"/>
        <w:ind w:start="420" w:hanging="420"/>
        <w:jc w:val="both"/>
      </w:pPr>
      <w:r>
        <w:rPr>
          <w:rFonts w:ascii="David" w:cs="David" w:eastAsia="David" w:hAnsi="David"/>
          <w:noProof/>
          <w:sz w:val="24"/>
          <w:szCs w:val="24"/>
          <w:rtl/>
        </w:rPr>
        <w:t xml:space="preserve">בע"מ 2311/22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13.4.2022).</w:t>
      </w:r>
    </w:p>
    <w:p>
      <w:pPr>
        <w:bidi/>
        <w:spacing w:after="120" w:line="300"/>
        <w:ind w:start="420" w:hanging="420"/>
        <w:jc w:val="both"/>
      </w:pPr>
      <w:r>
        <w:rPr>
          <w:rFonts w:ascii="David" w:cs="David" w:eastAsia="David" w:hAnsi="David"/>
          <w:noProof/>
          <w:sz w:val="24"/>
          <w:szCs w:val="24"/>
          <w:rtl/>
        </w:rPr>
        <w:t xml:space="preserve">ת"א (מחוזי חי׳) 64669-10-18 </w:t>
      </w:r>
      <w:r>
        <w:rPr>
          <w:rFonts w:ascii="David" w:cs="David" w:eastAsia="David" w:hAnsi="David"/>
          <w:b/>
          <w:bCs/>
          <w:noProof/>
          <w:sz w:val="24"/>
          <w:szCs w:val="24"/>
          <w:rtl/>
        </w:rPr>
        <w:t xml:space="preserve">בדארנה נ׳ בדארנה</w:t>
      </w:r>
      <w:r>
        <w:rPr>
          <w:rFonts w:ascii="David" w:cs="David" w:eastAsia="David" w:hAnsi="David"/>
          <w:noProof/>
          <w:sz w:val="24"/>
          <w:szCs w:val="24"/>
          <w:rtl/>
        </w:rPr>
        <w:t xml:space="preserve"> (נבו 9.1.2022).</w:t>
      </w:r>
    </w:p>
    <w:p>
      <w:pPr>
        <w:bidi/>
        <w:spacing w:after="120" w:line="300"/>
        <w:ind w:start="420" w:hanging="420"/>
        <w:jc w:val="both"/>
      </w:pPr>
      <w:r>
        <w:rPr>
          <w:rFonts w:ascii="David" w:cs="David" w:eastAsia="David" w:hAnsi="David"/>
          <w:noProof/>
          <w:sz w:val="24"/>
          <w:szCs w:val="24"/>
          <w:rtl/>
        </w:rPr>
        <w:t xml:space="preserve">עמ"ש (מחוזי מר׳) 52601-10-23 </w:t>
      </w:r>
      <w:r>
        <w:rPr>
          <w:rFonts w:ascii="David" w:cs="David" w:eastAsia="David" w:hAnsi="David"/>
          <w:b/>
          <w:bCs/>
          <w:noProof/>
          <w:sz w:val="24"/>
          <w:szCs w:val="24"/>
          <w:rtl/>
        </w:rPr>
        <w:t xml:space="preserve">א.א. נ׳ אר.א</w:t>
      </w:r>
      <w:r>
        <w:rPr>
          <w:rFonts w:ascii="David" w:cs="David" w:eastAsia="David" w:hAnsi="David"/>
          <w:noProof/>
          <w:sz w:val="24"/>
          <w:szCs w:val="24"/>
          <w:rtl/>
        </w:rPr>
        <w:t xml:space="preserve"> (נבו 1.11.2024).</w:t>
      </w:r>
    </w:p>
    <w:p>
      <w:pPr>
        <w:bidi/>
        <w:spacing w:after="120" w:line="300"/>
        <w:ind w:start="420" w:hanging="420"/>
        <w:jc w:val="both"/>
      </w:pPr>
      <w:r>
        <w:rPr>
          <w:rFonts w:ascii="David" w:cs="David" w:eastAsia="David" w:hAnsi="David"/>
          <w:noProof/>
          <w:sz w:val="24"/>
          <w:szCs w:val="24"/>
          <w:rtl/>
        </w:rPr>
        <w:t xml:space="preserve">ת"א (שלום נצ׳) 19781-06-18 </w:t>
      </w:r>
      <w:r>
        <w:rPr>
          <w:rFonts w:ascii="David" w:cs="David" w:eastAsia="David" w:hAnsi="David"/>
          <w:b/>
          <w:bCs/>
          <w:noProof/>
          <w:sz w:val="24"/>
          <w:szCs w:val="24"/>
          <w:rtl/>
        </w:rPr>
        <w:t xml:space="preserve">אבו ליל נ׳ פאהום</w:t>
      </w:r>
      <w:r>
        <w:rPr>
          <w:rFonts w:ascii="David" w:cs="David" w:eastAsia="David" w:hAnsi="David"/>
          <w:noProof/>
          <w:sz w:val="24"/>
          <w:szCs w:val="24"/>
          <w:rtl/>
        </w:rPr>
        <w:t xml:space="preserve"> (נבו 18.10.2023).</w:t>
      </w:r>
    </w:p>
    <w:p>
      <w:pPr>
        <w:bidi/>
        <w:spacing w:after="120" w:line="300"/>
        <w:ind w:start="420" w:hanging="420"/>
        <w:jc w:val="both"/>
      </w:pPr>
      <w:r>
        <w:rPr>
          <w:rFonts w:ascii="David" w:cs="David" w:eastAsia="David" w:hAnsi="David"/>
          <w:noProof/>
          <w:sz w:val="24"/>
          <w:szCs w:val="24"/>
          <w:rtl/>
        </w:rPr>
        <w:t xml:space="preserve">תמ"ש (משפחה ת"א) 18541-01-22 </w:t>
      </w:r>
      <w:r>
        <w:rPr>
          <w:rFonts w:ascii="David" w:cs="David" w:eastAsia="David" w:hAnsi="David"/>
          <w:b/>
          <w:bCs/>
          <w:noProof/>
          <w:sz w:val="24"/>
          <w:szCs w:val="24"/>
          <w:rtl/>
        </w:rPr>
        <w:t xml:space="preserve">פלונים נ׳ אלמונים</w:t>
      </w:r>
      <w:r>
        <w:rPr>
          <w:rFonts w:ascii="David" w:cs="David" w:eastAsia="David" w:hAnsi="David"/>
          <w:noProof/>
          <w:sz w:val="24"/>
          <w:szCs w:val="24"/>
          <w:rtl/>
        </w:rPr>
        <w:t xml:space="preserve"> (נבו 15.1.2023).</w:t>
      </w:r>
    </w:p>
    <w:p>
      <w:pPr>
        <w:bidi/>
        <w:spacing w:after="120" w:line="300"/>
        <w:ind w:start="420" w:hanging="420"/>
        <w:jc w:val="both"/>
      </w:pPr>
      <w:r>
        <w:rPr>
          <w:rFonts w:ascii="David" w:cs="David" w:eastAsia="David" w:hAnsi="David"/>
          <w:noProof/>
          <w:sz w:val="24"/>
          <w:szCs w:val="24"/>
          <w:rtl/>
        </w:rPr>
        <w:t xml:space="preserve">תלה"מ (משפחה נצ׳) 60777-07-20 </w:t>
      </w:r>
      <w:r>
        <w:rPr>
          <w:rFonts w:ascii="David" w:cs="David" w:eastAsia="David" w:hAnsi="David"/>
          <w:b/>
          <w:bCs/>
          <w:noProof/>
          <w:sz w:val="24"/>
          <w:szCs w:val="24"/>
          <w:rtl/>
        </w:rPr>
        <w:t xml:space="preserve">ג.ס נ׳ מ.ד</w:t>
      </w:r>
      <w:r>
        <w:rPr>
          <w:rFonts w:ascii="David" w:cs="David" w:eastAsia="David" w:hAnsi="David"/>
          <w:noProof/>
          <w:sz w:val="24"/>
          <w:szCs w:val="24"/>
          <w:rtl/>
        </w:rPr>
        <w:t xml:space="preserve"> (נבו 14.4.2021).</w:t>
      </w:r>
    </w:p>
    <w:p>
      <w:pPr>
        <w:bidi/>
        <w:spacing w:after="120" w:line="300"/>
        <w:ind w:start="420" w:hanging="420"/>
        <w:jc w:val="both"/>
      </w:pPr>
      <w:r>
        <w:rPr>
          <w:rFonts w:ascii="David" w:cs="David" w:eastAsia="David" w:hAnsi="David"/>
          <w:noProof/>
          <w:sz w:val="24"/>
          <w:szCs w:val="24"/>
          <w:rtl/>
        </w:rPr>
        <w:t xml:space="preserve">תמ"ש (משפחה נצ׳) 4821-07 </w:t>
      </w:r>
      <w:r>
        <w:rPr>
          <w:rFonts w:ascii="David" w:cs="David" w:eastAsia="David" w:hAnsi="David"/>
          <w:b/>
          <w:bCs/>
          <w:noProof/>
          <w:sz w:val="24"/>
          <w:szCs w:val="24"/>
          <w:rtl/>
        </w:rPr>
        <w:t xml:space="preserve">ס.ע.ז נ׳ ע.ע.ז</w:t>
      </w:r>
      <w:r>
        <w:rPr>
          <w:rFonts w:ascii="David" w:cs="David" w:eastAsia="David" w:hAnsi="David"/>
          <w:noProof/>
          <w:sz w:val="24"/>
          <w:szCs w:val="24"/>
          <w:rtl/>
        </w:rPr>
        <w:t xml:space="preserve"> (נבו 2012).</w:t>
      </w:r>
    </w:p>
    <w:p>
      <w:pPr>
        <w:bidi/>
        <w:spacing w:after="120" w:line="300"/>
        <w:ind w:start="420" w:hanging="420"/>
        <w:jc w:val="both"/>
      </w:pPr>
      <w:r>
        <w:rPr>
          <w:rFonts w:ascii="David" w:cs="David" w:eastAsia="David" w:hAnsi="David"/>
          <w:noProof/>
          <w:sz w:val="24"/>
          <w:szCs w:val="24"/>
          <w:rtl/>
        </w:rPr>
        <w:t xml:space="preserve">תמ"ש (משפחה נצ׳) 27669-01-17 </w:t>
      </w:r>
      <w:r>
        <w:rPr>
          <w:rFonts w:ascii="David" w:cs="David" w:eastAsia="David" w:hAnsi="David"/>
          <w:b/>
          <w:bCs/>
          <w:noProof/>
          <w:sz w:val="24"/>
          <w:szCs w:val="24"/>
          <w:rtl/>
        </w:rPr>
        <w:t xml:space="preserve">ו.ע נ׳ כ.ע</w:t>
      </w:r>
      <w:r>
        <w:rPr>
          <w:rFonts w:ascii="David" w:cs="David" w:eastAsia="David" w:hAnsi="David"/>
          <w:noProof/>
          <w:sz w:val="24"/>
          <w:szCs w:val="24"/>
          <w:rtl/>
        </w:rPr>
        <w:t xml:space="preserve"> (נבו 22.4.2018).</w:t>
      </w:r>
    </w:p>
    <w:p>
      <w:pPr>
        <w:bidi/>
        <w:spacing w:after="120" w:line="300"/>
        <w:ind w:start="420" w:hanging="420"/>
        <w:jc w:val="both"/>
      </w:pPr>
      <w:r>
        <w:rPr>
          <w:rFonts w:ascii="David" w:cs="David" w:eastAsia="David" w:hAnsi="David"/>
          <w:noProof/>
          <w:sz w:val="24"/>
          <w:szCs w:val="24"/>
          <w:rtl/>
        </w:rPr>
        <w:t xml:space="preserve">תלה"מ (משפחה נצ׳) 39735-12-19 </w:t>
      </w:r>
      <w:r>
        <w:rPr>
          <w:rFonts w:ascii="David" w:cs="David" w:eastAsia="David" w:hAnsi="David"/>
          <w:b/>
          <w:bCs/>
          <w:noProof/>
          <w:sz w:val="24"/>
          <w:szCs w:val="24"/>
          <w:rtl/>
        </w:rPr>
        <w:t xml:space="preserve">פלונית נ׳ פלוני</w:t>
      </w:r>
      <w:r>
        <w:rPr>
          <w:rFonts w:ascii="David" w:cs="David" w:eastAsia="David" w:hAnsi="David"/>
          <w:noProof/>
          <w:sz w:val="24"/>
          <w:szCs w:val="24"/>
          <w:rtl/>
        </w:rPr>
        <w:t xml:space="preserve"> (נבו 14.10.2022).</w:t>
      </w:r>
    </w:p>
    <w:p>
      <w:pPr>
        <w:bidi/>
        <w:spacing w:after="120" w:line="300"/>
        <w:ind w:start="420" w:hanging="420"/>
        <w:jc w:val="both"/>
      </w:pPr>
      <w:r>
        <w:rPr>
          <w:rFonts w:ascii="David" w:cs="David" w:eastAsia="David" w:hAnsi="David"/>
          <w:noProof/>
          <w:sz w:val="24"/>
          <w:szCs w:val="24"/>
          <w:rtl/>
        </w:rPr>
        <w:t xml:space="preserve">תמ"ש (משפחה חד׳) 44358-11-19 </w:t>
      </w:r>
      <w:r>
        <w:rPr>
          <w:rFonts w:ascii="David" w:cs="David" w:eastAsia="David" w:hAnsi="David"/>
          <w:b/>
          <w:bCs/>
          <w:noProof/>
          <w:sz w:val="24"/>
          <w:szCs w:val="24"/>
          <w:rtl/>
        </w:rPr>
        <w:t xml:space="preserve">אלמונית נ׳ פלונית</w:t>
      </w:r>
      <w:r>
        <w:rPr>
          <w:rFonts w:ascii="David" w:cs="David" w:eastAsia="David" w:hAnsi="David"/>
          <w:noProof/>
          <w:sz w:val="24"/>
          <w:szCs w:val="24"/>
          <w:rtl/>
        </w:rPr>
        <w:t xml:space="preserve"> (נבו 7.5.2023).</w:t>
      </w:r>
    </w:p>
    <w:p>
      <w:pPr>
        <w:bidi/>
        <w:spacing w:after="120" w:line="300"/>
        <w:ind w:start="420" w:hanging="420"/>
        <w:jc w:val="both"/>
      </w:pPr>
      <w:r>
        <w:rPr>
          <w:rFonts w:ascii="David" w:cs="David" w:eastAsia="David" w:hAnsi="David"/>
          <w:noProof/>
          <w:sz w:val="24"/>
          <w:szCs w:val="24"/>
          <w:rtl/>
        </w:rPr>
        <w:t xml:space="preserve">ת"א (מחוזי חי׳) 41898-04-18 </w:t>
      </w:r>
      <w:r>
        <w:rPr>
          <w:rFonts w:ascii="David" w:cs="David" w:eastAsia="David" w:hAnsi="David"/>
          <w:b/>
          <w:bCs/>
          <w:noProof/>
          <w:sz w:val="24"/>
          <w:szCs w:val="24"/>
          <w:rtl/>
        </w:rPr>
        <w:t xml:space="preserve">שחוק נ׳ עיזבון המנוח שחוק ז"ל</w:t>
      </w:r>
      <w:r>
        <w:rPr>
          <w:rFonts w:ascii="David" w:cs="David" w:eastAsia="David" w:hAnsi="David"/>
          <w:noProof/>
          <w:sz w:val="24"/>
          <w:szCs w:val="24"/>
          <w:rtl/>
        </w:rPr>
        <w:t xml:space="preserve"> (נבו 21.2.2021).</w:t>
      </w:r>
    </w:p>
    <w:p>
      <w:pPr>
        <w:bidi/>
        <w:spacing w:after="120" w:line="300"/>
        <w:ind w:start="420" w:hanging="420"/>
        <w:jc w:val="both"/>
      </w:pPr>
      <w:r>
        <w:rPr>
          <w:rFonts w:ascii="David" w:cs="David" w:eastAsia="David" w:hAnsi="David"/>
          <w:noProof/>
          <w:sz w:val="24"/>
          <w:szCs w:val="24"/>
          <w:rtl/>
        </w:rPr>
        <w:t xml:space="preserve">תמ"ש (משפחה נצ׳) 59099-02-24 </w:t>
      </w:r>
      <w:r>
        <w:rPr>
          <w:rFonts w:ascii="David" w:cs="David" w:eastAsia="David" w:hAnsi="David"/>
          <w:b/>
          <w:bCs/>
          <w:noProof/>
          <w:sz w:val="24"/>
          <w:szCs w:val="24"/>
          <w:rtl/>
        </w:rPr>
        <w:t xml:space="preserve">א.ז נ׳ מ.ז</w:t>
      </w:r>
      <w:r>
        <w:rPr>
          <w:rFonts w:ascii="David" w:cs="David" w:eastAsia="David" w:hAnsi="David"/>
          <w:noProof/>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noProof/>
          <w:sz w:val="24"/>
          <w:szCs w:val="24"/>
          <w:rtl/>
        </w:rPr>
        <w:t xml:space="preserve">דוד בר-אופיר </w:t>
      </w:r>
      <w:r>
        <w:rPr>
          <w:rFonts w:ascii="David" w:cs="David" w:eastAsia="David" w:hAnsi="David"/>
          <w:b/>
          <w:bCs/>
          <w:noProof/>
          <w:sz w:val="24"/>
          <w:szCs w:val="24"/>
          <w:rtl/>
        </w:rPr>
        <w:t xml:space="preserve">הוצאה לפועל – הליכים והלכות</w:t>
      </w:r>
      <w:r>
        <w:rPr>
          <w:rFonts w:ascii="David" w:cs="David" w:eastAsia="David" w:hAnsi="David"/>
          <w:noProof/>
          <w:sz w:val="24"/>
          <w:szCs w:val="24"/>
          <w:rtl/>
        </w:rPr>
        <w:t xml:space="preserve"> (מהדורה שביעית 2018).</w:t>
      </w:r>
    </w:p>
    <w:p>
      <w:pPr>
        <w:bidi/>
        <w:spacing w:after="120" w:line="300"/>
        <w:ind w:start="420" w:hanging="420"/>
        <w:jc w:val="both"/>
      </w:pPr>
      <w:r>
        <w:rPr>
          <w:rFonts w:ascii="David" w:cs="David" w:eastAsia="David" w:hAnsi="David"/>
          <w:noProof/>
          <w:sz w:val="24"/>
          <w:szCs w:val="24"/>
          <w:rtl/>
        </w:rPr>
        <w:t xml:space="preserve">אהרן ברק </w:t>
      </w:r>
      <w:r>
        <w:rPr>
          <w:rFonts w:ascii="David" w:cs="David" w:eastAsia="David" w:hAnsi="David"/>
          <w:b/>
          <w:bCs/>
          <w:noProof/>
          <w:sz w:val="24"/>
          <w:szCs w:val="24"/>
          <w:rtl/>
        </w:rPr>
        <w:t xml:space="preserve">חוק השליחות</w:t>
      </w:r>
      <w:r>
        <w:rPr>
          <w:rFonts w:ascii="David" w:cs="David" w:eastAsia="David" w:hAnsi="David"/>
          <w:noProof/>
          <w:sz w:val="24"/>
          <w:szCs w:val="24"/>
          <w:rtl/>
        </w:rPr>
        <w:t xml:space="preserve"> (מהדורה שנייה 1996).</w:t>
      </w:r>
    </w:p>
    <w:p>
      <w:pPr>
        <w:bidi/>
        <w:spacing w:after="120" w:line="300"/>
        <w:ind w:start="420" w:hanging="420"/>
        <w:jc w:val="both"/>
      </w:pPr>
      <w:r>
        <w:rPr>
          <w:rFonts w:ascii="David" w:cs="David" w:eastAsia="David" w:hAnsi="David"/>
          <w:noProof/>
          <w:sz w:val="24"/>
          <w:szCs w:val="24"/>
          <w:rtl/>
        </w:rPr>
        <w:t xml:space="preserve">אבי גורמן ושי אהרונוביץ׳ </w:t>
      </w:r>
      <w:r>
        <w:rPr>
          <w:rFonts w:ascii="David" w:cs="David" w:eastAsia="David" w:hAnsi="David"/>
          <w:b/>
          <w:bCs/>
          <w:noProof/>
          <w:sz w:val="24"/>
          <w:szCs w:val="24"/>
          <w:rtl/>
        </w:rPr>
        <w:t xml:space="preserve">מיסוי מקרקעין – פרשנות, הלכה ומעשה</w:t>
      </w:r>
      <w:r>
        <w:rPr>
          <w:rFonts w:ascii="David" w:cs="David" w:eastAsia="David" w:hAnsi="David"/>
          <w:noProof/>
          <w:sz w:val="24"/>
          <w:szCs w:val="24"/>
          <w:rtl/>
        </w:rPr>
        <w:t xml:space="preserve"> (2017).</w:t>
      </w:r>
    </w:p>
    <w:p>
      <w:pPr>
        <w:bidi/>
        <w:spacing w:after="120" w:line="300"/>
        <w:ind w:start="420" w:hanging="420"/>
        <w:jc w:val="both"/>
      </w:pPr>
      <w:r>
        <w:rPr>
          <w:rFonts w:ascii="David" w:cs="David" w:eastAsia="David" w:hAnsi="David"/>
          <w:noProof/>
          <w:sz w:val="24"/>
          <w:szCs w:val="24"/>
          <w:rtl/>
        </w:rPr>
        <w:t xml:space="preserve">טל חבקין </w:t>
      </w:r>
      <w:r>
        <w:rPr>
          <w:rFonts w:ascii="David" w:cs="David" w:eastAsia="David" w:hAnsi="David"/>
          <w:b/>
          <w:bCs/>
          <w:noProof/>
          <w:sz w:val="24"/>
          <w:szCs w:val="24"/>
          <w:rtl/>
        </w:rPr>
        <w:t xml:space="preserve">התיישנות</w:t>
      </w:r>
      <w:r>
        <w:rPr>
          <w:rFonts w:ascii="David" w:cs="David" w:eastAsia="David" w:hAnsi="David"/>
          <w:noProof/>
          <w:sz w:val="24"/>
          <w:szCs w:val="24"/>
          <w:rtl/>
        </w:rPr>
        <w:t xml:space="preserve"> (מהדורה שנייה 2021).</w:t>
      </w:r>
    </w:p>
    <w:p>
      <w:pPr>
        <w:bidi/>
        <w:spacing w:after="120" w:line="300"/>
        <w:ind w:start="420" w:hanging="420"/>
        <w:jc w:val="both"/>
      </w:pPr>
      <w:r>
        <w:rPr>
          <w:rFonts w:ascii="David" w:cs="David" w:eastAsia="David" w:hAnsi="David"/>
          <w:noProof/>
          <w:sz w:val="24"/>
          <w:szCs w:val="24"/>
          <w:rtl/>
        </w:rPr>
        <w:t xml:space="preserve">יהושע ויסמן </w:t>
      </w:r>
      <w:r>
        <w:rPr>
          <w:rFonts w:ascii="David" w:cs="David" w:eastAsia="David" w:hAnsi="David"/>
          <w:b/>
          <w:bCs/>
          <w:noProof/>
          <w:sz w:val="24"/>
          <w:szCs w:val="24"/>
          <w:rtl/>
        </w:rPr>
        <w:t xml:space="preserve">דיני קניין – חלק כללי</w:t>
      </w:r>
      <w:r>
        <w:rPr>
          <w:rFonts w:ascii="David" w:cs="David" w:eastAsia="David" w:hAnsi="David"/>
          <w:noProof/>
          <w:sz w:val="24"/>
          <w:szCs w:val="24"/>
          <w:rtl/>
        </w:rPr>
        <w:t xml:space="preserve"> (1993).</w:t>
      </w:r>
    </w:p>
    <w:p>
      <w:pPr>
        <w:bidi/>
        <w:spacing w:after="120" w:line="300"/>
        <w:ind w:start="420" w:hanging="420"/>
        <w:jc w:val="both"/>
      </w:pPr>
      <w:r>
        <w:rPr>
          <w:rFonts w:ascii="David" w:cs="David" w:eastAsia="David" w:hAnsi="David"/>
          <w:noProof/>
          <w:sz w:val="24"/>
          <w:szCs w:val="24"/>
          <w:rtl/>
        </w:rPr>
        <w:t xml:space="preserve">יהושע ויסמן "יפוי-כוח בלתי-חוזר כתחליף לבעלות"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יד 572 (התשמ"ה).</w:t>
      </w:r>
    </w:p>
    <w:p>
      <w:pPr>
        <w:bidi/>
        <w:spacing w:after="120" w:line="300"/>
        <w:ind w:start="420" w:hanging="420"/>
        <w:jc w:val="both"/>
      </w:pPr>
      <w:r>
        <w:rPr>
          <w:rFonts w:ascii="David" w:cs="David" w:eastAsia="David" w:hAnsi="David"/>
          <w:noProof/>
          <w:sz w:val="24"/>
          <w:szCs w:val="24"/>
          <w:rtl/>
        </w:rPr>
        <w:t xml:space="preserve">נינה זלצמן "רישיון במקרקעין"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מב 24 (התשנ"ה).</w:t>
      </w:r>
    </w:p>
    <w:p>
      <w:pPr>
        <w:bidi/>
        <w:spacing w:after="120" w:line="300"/>
        <w:ind w:start="420" w:hanging="420"/>
        <w:jc w:val="both"/>
      </w:pPr>
      <w:r>
        <w:rPr>
          <w:rFonts w:ascii="David" w:cs="David" w:eastAsia="David" w:hAnsi="David"/>
          <w:noProof/>
          <w:sz w:val="24"/>
          <w:szCs w:val="24"/>
          <w:rtl/>
        </w:rPr>
        <w:t xml:space="preserve">"חוזים על פי דיני התורה" </w:t>
      </w:r>
      <w:r>
        <w:rPr>
          <w:rFonts w:ascii="David" w:cs="David" w:eastAsia="David" w:hAnsi="David"/>
          <w:b/>
          <w:bCs/>
          <w:noProof/>
          <w:sz w:val="24"/>
          <w:szCs w:val="24"/>
          <w:rtl/>
        </w:rPr>
        <w:t xml:space="preserve">כתר</w:t>
      </w:r>
      <w:r>
        <w:rPr>
          <w:rFonts w:ascii="David" w:cs="David" w:eastAsia="David" w:hAnsi="David"/>
          <w:noProof/>
          <w:sz w:val="24"/>
          <w:szCs w:val="24"/>
          <w:rtl/>
        </w:rPr>
        <w:t xml:space="preserve"> א 71 (התשנ"ו).</w:t>
      </w:r>
    </w:p>
    <w:p>
      <w:pPr>
        <w:bidi/>
        <w:spacing w:after="120" w:line="300"/>
        <w:ind w:start="420" w:hanging="420"/>
        <w:jc w:val="both"/>
      </w:pPr>
      <w:r>
        <w:rPr>
          <w:rFonts w:ascii="David" w:cs="David" w:eastAsia="David" w:hAnsi="David"/>
          <w:noProof/>
          <w:sz w:val="24"/>
          <w:szCs w:val="24"/>
          <w:rtl/>
        </w:rPr>
        <w:t xml:space="preserve">מוחמד ח׳לאילה ואחמד בדראן </w:t>
      </w:r>
      <w:r>
        <w:rPr>
          <w:rFonts w:ascii="David" w:cs="David" w:eastAsia="David" w:hAnsi="David"/>
          <w:b/>
          <w:bCs/>
          <w:noProof/>
          <w:sz w:val="24"/>
          <w:szCs w:val="24"/>
          <w:rtl/>
        </w:rPr>
        <w:t xml:space="preserve">שנתון החברה הערבית בישראל 2023</w:t>
      </w:r>
      <w:r>
        <w:rPr>
          <w:rFonts w:ascii="David" w:cs="David" w:eastAsia="David" w:hAnsi="David"/>
          <w:noProof/>
          <w:sz w:val="24"/>
          <w:szCs w:val="24"/>
          <w:rtl/>
        </w:rPr>
        <w:t xml:space="preserve"> (2023).</w:t>
      </w:r>
    </w:p>
    <w:p>
      <w:pPr>
        <w:bidi/>
        <w:spacing w:after="120" w:line="300"/>
        <w:ind w:start="420" w:hanging="420"/>
        <w:jc w:val="both"/>
      </w:pPr>
      <w:r>
        <w:rPr>
          <w:rFonts w:ascii="David" w:cs="David" w:eastAsia="David" w:hAnsi="David"/>
          <w:noProof/>
          <w:sz w:val="24"/>
          <w:szCs w:val="24"/>
          <w:rtl/>
        </w:rPr>
        <w:t xml:space="preserve">חיים זנדברג </w:t>
      </w:r>
      <w:r>
        <w:rPr>
          <w:rFonts w:ascii="David" w:cs="David" w:eastAsia="David" w:hAnsi="David"/>
          <w:b/>
          <w:bCs/>
          <w:noProof/>
          <w:sz w:val="24"/>
          <w:szCs w:val="24"/>
          <w:rtl/>
        </w:rPr>
        <w:t xml:space="preserve">הסדר זכויות במקרקעין בארץ-ישראל ובמדינת ישראל</w:t>
      </w:r>
      <w:r>
        <w:rPr>
          <w:rFonts w:ascii="David" w:cs="David" w:eastAsia="David" w:hAnsi="David"/>
          <w:noProof/>
          <w:sz w:val="24"/>
          <w:szCs w:val="24"/>
          <w:rtl/>
        </w:rPr>
        <w:t xml:space="preserve"> (התש"ס).</w:t>
      </w:r>
    </w:p>
    <w:p>
      <w:pPr>
        <w:bidi/>
        <w:spacing w:after="120" w:line="300"/>
        <w:ind w:start="420" w:hanging="420"/>
        <w:jc w:val="both"/>
      </w:pPr>
      <w:r>
        <w:rPr>
          <w:rFonts w:ascii="David" w:cs="David" w:eastAsia="David" w:hAnsi="David"/>
          <w:noProof/>
          <w:sz w:val="24"/>
          <w:szCs w:val="24"/>
          <w:rtl/>
        </w:rPr>
        <w:t xml:space="preserve">חיים זנדברג "עסקה בזכות אובליגטורית או בזכות במקרקעין? תכלית, לשון ואקטיביזם שיפוטי" </w:t>
      </w:r>
      <w:r>
        <w:rPr>
          <w:rFonts w:ascii="David" w:cs="David" w:eastAsia="David" w:hAnsi="David"/>
          <w:b/>
          <w:bCs/>
          <w:noProof/>
          <w:sz w:val="24"/>
          <w:szCs w:val="24"/>
          <w:rtl/>
        </w:rPr>
        <w:t xml:space="preserve">משפטים על אתר</w:t>
      </w:r>
      <w:r>
        <w:rPr>
          <w:rFonts w:ascii="David" w:cs="David" w:eastAsia="David" w:hAnsi="David"/>
          <w:noProof/>
          <w:sz w:val="24"/>
          <w:szCs w:val="24"/>
          <w:rtl/>
        </w:rPr>
        <w:t xml:space="preserve"> יג 79 (התש"ף).</w:t>
      </w:r>
    </w:p>
    <w:p>
      <w:pPr>
        <w:bidi/>
        <w:spacing w:after="120" w:line="300"/>
        <w:ind w:start="420" w:hanging="420"/>
        <w:jc w:val="both"/>
      </w:pPr>
      <w:r>
        <w:rPr>
          <w:rFonts w:ascii="David" w:cs="David" w:eastAsia="David" w:hAnsi="David"/>
          <w:noProof/>
          <w:sz w:val="24"/>
          <w:szCs w:val="24"/>
          <w:rtl/>
        </w:rPr>
        <w:t xml:space="preserve">גד טדסקי "הרשאה בלתי-הדירה לביצוע מתנה לאדם שלישי"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יט 205 (התשמ"ט).</w:t>
      </w:r>
    </w:p>
    <w:p>
      <w:pPr>
        <w:bidi/>
        <w:spacing w:after="120" w:line="300"/>
        <w:ind w:start="420" w:hanging="420"/>
        <w:jc w:val="both"/>
      </w:pPr>
      <w:r>
        <w:rPr>
          <w:rFonts w:ascii="David" w:cs="David" w:eastAsia="David" w:hAnsi="David"/>
          <w:noProof/>
          <w:sz w:val="24"/>
          <w:szCs w:val="24"/>
          <w:rtl/>
        </w:rPr>
        <w:t xml:space="preserve">אורן יפתחאל, סנדי קדר ואחמד אמארה "עיון מחדש בהלכת 'הנגב המת': זכויות קניין במרחב הבדווי" </w:t>
      </w:r>
      <w:r>
        <w:rPr>
          <w:rFonts w:ascii="David" w:cs="David" w:eastAsia="David" w:hAnsi="David"/>
          <w:b/>
          <w:bCs/>
          <w:noProof/>
          <w:sz w:val="24"/>
          <w:szCs w:val="24"/>
          <w:rtl/>
        </w:rPr>
        <w:t xml:space="preserve">משפט וממשל</w:t>
      </w:r>
      <w:r>
        <w:rPr>
          <w:rFonts w:ascii="David" w:cs="David" w:eastAsia="David" w:hAnsi="David"/>
          <w:noProof/>
          <w:sz w:val="24"/>
          <w:szCs w:val="24"/>
          <w:rtl/>
        </w:rPr>
        <w:t xml:space="preserve"> יד 7 (2012).</w:t>
      </w:r>
    </w:p>
    <w:p>
      <w:pPr>
        <w:bidi/>
        <w:spacing w:after="120" w:line="300"/>
        <w:ind w:start="420" w:hanging="420"/>
        <w:jc w:val="both"/>
      </w:pPr>
      <w:r>
        <w:rPr>
          <w:rFonts w:ascii="David" w:cs="David" w:eastAsia="David" w:hAnsi="David"/>
          <w:noProof/>
          <w:sz w:val="24"/>
          <w:szCs w:val="24"/>
          <w:rtl/>
        </w:rPr>
        <w:t xml:space="preserve">נילי כהן "צורת החוזה"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לח 383 (התשמ"ט).</w:t>
      </w:r>
    </w:p>
    <w:p>
      <w:pPr>
        <w:bidi/>
        <w:spacing w:after="120" w:line="300"/>
        <w:ind w:start="420" w:hanging="420"/>
        <w:jc w:val="both"/>
      </w:pPr>
      <w:r>
        <w:rPr>
          <w:rFonts w:ascii="David" w:cs="David" w:eastAsia="David" w:hAnsi="David"/>
          <w:noProof/>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לד 183 (2011).</w:t>
      </w:r>
    </w:p>
    <w:p>
      <w:pPr>
        <w:bidi/>
        <w:spacing w:after="120" w:line="300"/>
        <w:ind w:start="420" w:hanging="420"/>
        <w:jc w:val="both"/>
      </w:pPr>
      <w:r>
        <w:rPr>
          <w:rFonts w:ascii="David" w:cs="David" w:eastAsia="David" w:hAnsi="David"/>
          <w:noProof/>
          <w:sz w:val="24"/>
          <w:szCs w:val="24"/>
          <w:rtl/>
        </w:rPr>
        <w:t xml:space="preserve">קייס נאסר </w:t>
      </w:r>
      <w:r>
        <w:rPr>
          <w:rFonts w:ascii="David" w:cs="David" w:eastAsia="David" w:hAnsi="David"/>
          <w:b/>
          <w:bCs/>
          <w:noProof/>
          <w:sz w:val="24"/>
          <w:szCs w:val="24"/>
          <w:rtl/>
        </w:rPr>
        <w:t xml:space="preserve">תהליכי התכנון והעיור ביישובים הערביים בישראל</w:t>
      </w:r>
      <w:r>
        <w:rPr>
          <w:rFonts w:ascii="David" w:cs="David" w:eastAsia="David" w:hAnsi="David"/>
          <w:noProof/>
          <w:sz w:val="24"/>
          <w:szCs w:val="24"/>
          <w:rtl/>
        </w:rPr>
        <w:t xml:space="preserve"> (רביב שלו עורך 2020).</w:t>
      </w:r>
    </w:p>
    <w:p>
      <w:pPr>
        <w:bidi/>
        <w:spacing w:after="120" w:line="300"/>
        <w:ind w:start="420" w:hanging="420"/>
        <w:jc w:val="both"/>
      </w:pPr>
      <w:r>
        <w:rPr>
          <w:rFonts w:ascii="David" w:cs="David" w:eastAsia="David" w:hAnsi="David"/>
          <w:noProof/>
          <w:sz w:val="24"/>
          <w:szCs w:val="24"/>
          <w:rtl/>
        </w:rPr>
        <w:t xml:space="preserve">אהרן נמדר </w:t>
      </w:r>
      <w:r>
        <w:rPr>
          <w:rFonts w:ascii="David" w:cs="David" w:eastAsia="David" w:hAnsi="David"/>
          <w:b/>
          <w:bCs/>
          <w:noProof/>
          <w:sz w:val="24"/>
          <w:szCs w:val="24"/>
          <w:rtl/>
        </w:rPr>
        <w:t xml:space="preserve">פגיעה במקרקעין [פיצויים בגין נזקי תכנית]</w:t>
      </w:r>
      <w:r>
        <w:rPr>
          <w:rFonts w:ascii="David" w:cs="David" w:eastAsia="David" w:hAnsi="David"/>
          <w:noProof/>
          <w:sz w:val="24"/>
          <w:szCs w:val="24"/>
          <w:rtl/>
        </w:rPr>
        <w:t xml:space="preserve"> (התשס"ח).</w:t>
      </w:r>
    </w:p>
    <w:p>
      <w:pPr>
        <w:bidi/>
        <w:spacing w:after="120" w:line="300"/>
        <w:ind w:start="420" w:hanging="420"/>
        <w:jc w:val="both"/>
      </w:pPr>
      <w:r>
        <w:rPr>
          <w:rFonts w:ascii="David" w:cs="David" w:eastAsia="David" w:hAnsi="David"/>
          <w:noProof/>
          <w:sz w:val="24"/>
          <w:szCs w:val="24"/>
          <w:rtl/>
        </w:rPr>
        <w:t xml:space="preserve">דניאל פרידמן ונילי כהן </w:t>
      </w:r>
      <w:r>
        <w:rPr>
          <w:rFonts w:ascii="David" w:cs="David" w:eastAsia="David" w:hAnsi="David"/>
          <w:b/>
          <w:bCs/>
          <w:noProof/>
          <w:sz w:val="24"/>
          <w:szCs w:val="24"/>
          <w:rtl/>
        </w:rPr>
        <w:t xml:space="preserve">חוזים</w:t>
      </w:r>
      <w:r>
        <w:rPr>
          <w:rFonts w:ascii="David" w:cs="David" w:eastAsia="David" w:hAnsi="David"/>
          <w:noProof/>
          <w:sz w:val="24"/>
          <w:szCs w:val="24"/>
          <w:rtl/>
        </w:rPr>
        <w:t xml:space="preserve"> כרך א (מהדורה שנייה 2018).</w:t>
      </w:r>
    </w:p>
    <w:p>
      <w:pPr>
        <w:bidi/>
        <w:spacing w:after="120" w:line="300"/>
        <w:ind w:start="420" w:hanging="420"/>
        <w:jc w:val="both"/>
      </w:pPr>
      <w:r>
        <w:rPr>
          <w:rFonts w:ascii="David" w:cs="David" w:eastAsia="David" w:hAnsi="David"/>
          <w:noProof/>
          <w:sz w:val="24"/>
          <w:szCs w:val="24"/>
          <w:rtl/>
        </w:rPr>
        <w:t xml:space="preserve">מרדכי אלפרדו ראבילו </w:t>
      </w:r>
      <w:r>
        <w:rPr>
          <w:rFonts w:ascii="David" w:cs="David" w:eastAsia="David" w:hAnsi="David"/>
          <w:b/>
          <w:bCs/>
          <w:noProof/>
          <w:sz w:val="24"/>
          <w:szCs w:val="24"/>
          <w:rtl/>
        </w:rPr>
        <w:t xml:space="preserve">חוק המתנה, תשכ"ח–1968</w:t>
      </w:r>
      <w:r>
        <w:rPr>
          <w:rFonts w:ascii="David" w:cs="David" w:eastAsia="David" w:hAnsi="David"/>
          <w:noProof/>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noProof/>
          <w:sz w:val="24"/>
          <w:szCs w:val="24"/>
          <w:rtl/>
        </w:rPr>
        <w:t xml:space="preserve">אוריאל רייכמן "הערת האזהרה – מהות, יצירה והגנה כנגד עסקות נוגדות"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י 297 (1984).</w:t>
      </w:r>
    </w:p>
    <w:p>
      <w:pPr>
        <w:bidi/>
        <w:spacing w:after="120" w:line="300"/>
        <w:ind w:start="420" w:hanging="420"/>
        <w:jc w:val="both"/>
      </w:pPr>
      <w:r>
        <w:rPr>
          <w:rFonts w:ascii="David" w:cs="David" w:eastAsia="David" w:hAnsi="David"/>
          <w:noProof/>
          <w:sz w:val="24"/>
          <w:szCs w:val="24"/>
          <w:rtl/>
        </w:rPr>
        <w:t xml:space="preserve">שי שטרן </w:t>
      </w:r>
      <w:r>
        <w:rPr>
          <w:rFonts w:ascii="David" w:cs="David" w:eastAsia="David" w:hAnsi="David"/>
          <w:b/>
          <w:bCs/>
          <w:noProof/>
          <w:sz w:val="24"/>
          <w:szCs w:val="24"/>
          <w:rtl/>
        </w:rPr>
        <w:t xml:space="preserve">קהילות במשפט</w:t>
      </w:r>
      <w:r>
        <w:rPr>
          <w:rFonts w:ascii="David" w:cs="David" w:eastAsia="David" w:hAnsi="David"/>
          <w:noProof/>
          <w:sz w:val="24"/>
          <w:szCs w:val="24"/>
          <w:rtl/>
        </w:rPr>
        <w:t xml:space="preserve"> (2026).</w:t>
      </w:r>
    </w:p>
    <w:p>
      <w:pPr>
        <w:bidi/>
        <w:spacing w:after="120" w:line="300"/>
        <w:ind w:start="420" w:hanging="420"/>
        <w:jc w:val="both"/>
      </w:pPr>
      <w:r>
        <w:rPr>
          <w:rFonts w:ascii="David" w:cs="David" w:eastAsia="David" w:hAnsi="David"/>
          <w:noProof/>
          <w:sz w:val="24"/>
          <w:szCs w:val="24"/>
          <w:rtl/>
        </w:rPr>
        <w:t xml:space="preserve">יעקב שקד </w:t>
      </w:r>
      <w:r>
        <w:rPr>
          <w:rFonts w:ascii="David" w:cs="David" w:eastAsia="David" w:hAnsi="David"/>
          <w:b/>
          <w:bCs/>
          <w:noProof/>
          <w:sz w:val="24"/>
          <w:szCs w:val="24"/>
          <w:rtl/>
        </w:rPr>
        <w:t xml:space="preserve">פינוי מקרקעין – הליכים והלכות</w:t>
      </w:r>
      <w:r>
        <w:rPr>
          <w:rFonts w:ascii="David" w:cs="David" w:eastAsia="David" w:hAnsi="David"/>
          <w:noProof/>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noProof/>
          <w:sz w:val="24"/>
          <w:szCs w:val="24"/>
        </w:rPr>
        <w:t xml:space="preserve">Land Registration Act 2002, c. 9 (UK).</w:t>
      </w:r>
    </w:p>
    <w:p>
      <w:pPr>
        <w:spacing w:after="120" w:line="300"/>
        <w:ind w:start="420" w:hanging="420"/>
        <w:jc w:val="left"/>
      </w:pPr>
      <w:r>
        <w:rPr>
          <w:rFonts w:ascii="Times New Roman" w:cs="Times New Roman" w:eastAsia="Times New Roman" w:hAnsi="Times New Roman"/>
          <w:noProof/>
          <w:sz w:val="24"/>
          <w:szCs w:val="24"/>
        </w:rPr>
        <w:t xml:space="preserve">Land Registration Act 1925, c. 21 (UK).</w:t>
      </w:r>
    </w:p>
    <w:p>
      <w:pPr>
        <w:spacing w:after="120" w:line="300"/>
        <w:ind w:start="420" w:hanging="420"/>
        <w:jc w:val="left"/>
      </w:pPr>
      <w:r>
        <w:rPr>
          <w:rFonts w:ascii="Times New Roman" w:cs="Times New Roman" w:eastAsia="Times New Roman" w:hAnsi="Times New Roman"/>
          <w:noProof/>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noProof/>
          <w:sz w:val="24"/>
          <w:szCs w:val="24"/>
        </w:rPr>
        <w:t xml:space="preserve">Powers of Attorney Act 1971, c. 27 (UK).</w:t>
      </w:r>
    </w:p>
    <w:p>
      <w:pPr>
        <w:spacing w:after="120" w:line="300"/>
        <w:ind w:start="420" w:hanging="420"/>
        <w:jc w:val="left"/>
      </w:pPr>
      <w:r>
        <w:rPr>
          <w:rFonts w:ascii="Times New Roman" w:cs="Times New Roman" w:eastAsia="Times New Roman" w:hAnsi="Times New Roman"/>
          <w:noProof/>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noProof/>
          <w:sz w:val="24"/>
          <w:szCs w:val="24"/>
        </w:rPr>
        <w:t xml:space="preserve">Walsh v Lonsdale (1882) 21 Ch D 9 (CA).</w:t>
      </w:r>
    </w:p>
    <w:p>
      <w:pPr>
        <w:spacing w:after="120" w:line="300"/>
        <w:ind w:start="420" w:hanging="420"/>
        <w:jc w:val="left"/>
      </w:pPr>
      <w:r>
        <w:rPr>
          <w:rFonts w:ascii="Times New Roman" w:cs="Times New Roman" w:eastAsia="Times New Roman" w:hAnsi="Times New Roman"/>
          <w:noProof/>
          <w:sz w:val="24"/>
          <w:szCs w:val="24"/>
        </w:rPr>
        <w:t xml:space="preserve">Re Rose [1952] Ch 499 (CA).</w:t>
      </w:r>
    </w:p>
    <w:p>
      <w:pPr>
        <w:spacing w:after="120" w:line="300"/>
        <w:ind w:start="420" w:hanging="420"/>
        <w:jc w:val="left"/>
      </w:pPr>
      <w:r>
        <w:rPr>
          <w:rFonts w:ascii="Times New Roman" w:cs="Times New Roman" w:eastAsia="Times New Roman" w:hAnsi="Times New Roman"/>
          <w:noProof/>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noProof/>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noProof/>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noProof/>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noProof/>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noProof/>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noProof/>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noProof/>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noProof/>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noProof/>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noProof/>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noProof/>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noProof/>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noProof/>
          <w:sz w:val="24"/>
          <w:szCs w:val="24"/>
        </w:rPr>
        <w:t xml:space="preserve">Ahmad Amara, </w:t>
      </w:r>
      <w:r>
        <w:rPr>
          <w:rFonts w:ascii="Times New Roman" w:cs="Times New Roman" w:eastAsia="Times New Roman" w:hAnsi="Times New Roman"/>
          <w:i/>
          <w:iCs/>
          <w:noProof/>
          <w:sz w:val="24"/>
          <w:szCs w:val="24"/>
        </w:rPr>
        <w:t xml:space="preserve">Dispossession by Law: How the Israeli Judicial System Utilizes Ottoman Land Law to Expel and Dispossess the Bedouins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Journal of Levantine Studies</w:t>
      </w:r>
      <w:r>
        <w:rPr>
          <w:rFonts w:ascii="Times New Roman" w:cs="Times New Roman" w:eastAsia="Times New Roman" w:hAnsi="Times New Roman"/>
          <w:noProof/>
          <w:sz w:val="24"/>
          <w:szCs w:val="24"/>
        </w:rPr>
        <w:t xml:space="preserve"> (2015).</w:t>
      </w:r>
    </w:p>
    <w:p>
      <w:pPr>
        <w:spacing w:after="120" w:line="300"/>
        <w:ind w:start="420" w:hanging="420"/>
        <w:jc w:val="left"/>
      </w:pPr>
      <w:r>
        <w:rPr>
          <w:rFonts w:ascii="Times New Roman" w:cs="Times New Roman" w:eastAsia="Times New Roman" w:hAnsi="Times New Roman"/>
          <w:noProof/>
          <w:sz w:val="24"/>
          <w:szCs w:val="24"/>
        </w:rPr>
        <w:t xml:space="preserve">Chris Bevan, </w:t>
      </w:r>
      <w:r>
        <w:rPr>
          <w:rFonts w:ascii="Times New Roman" w:cs="Times New Roman" w:eastAsia="Times New Roman" w:hAnsi="Times New Roman"/>
          <w:i/>
          <w:iCs/>
          <w:noProof/>
          <w:sz w:val="24"/>
          <w:szCs w:val="24"/>
        </w:rPr>
        <w:t xml:space="preserve">Overriding Interests under the Land Registration Act 2002: Time to Repair the ‘Cracked Mirror’?</w:t>
      </w:r>
      <w:r>
        <w:rPr>
          <w:rFonts w:ascii="Times New Roman" w:cs="Times New Roman" w:eastAsia="Times New Roman" w:hAnsi="Times New Roman"/>
          <w:noProof/>
          <w:sz w:val="24"/>
          <w:szCs w:val="24"/>
        </w:rPr>
        <w:t xml:space="preserve"> [2024] </w:t>
      </w:r>
      <w:r>
        <w:rPr>
          <w:rFonts w:ascii="Times New Roman" w:cs="Times New Roman" w:eastAsia="Times New Roman" w:hAnsi="Times New Roman"/>
          <w:smallCaps/>
          <w:noProof/>
          <w:sz w:val="24"/>
          <w:szCs w:val="24"/>
        </w:rPr>
        <w:t xml:space="preserve">Conveyancer &amp; Property Lawyer</w:t>
      </w:r>
      <w:r>
        <w:rPr>
          <w:rFonts w:ascii="Times New Roman" w:cs="Times New Roman" w:eastAsia="Times New Roman" w:hAnsi="Times New Roman"/>
          <w:noProof/>
          <w:sz w:val="24"/>
          <w:szCs w:val="24"/>
        </w:rPr>
        <w:t xml:space="preserve"> 123.</w:t>
      </w:r>
    </w:p>
    <w:p>
      <w:pPr>
        <w:spacing w:after="120" w:line="300"/>
        <w:ind w:start="420" w:hanging="420"/>
        <w:jc w:val="left"/>
      </w:pPr>
      <w:r>
        <w:rPr>
          <w:rFonts w:ascii="Times New Roman" w:cs="Times New Roman" w:eastAsia="Times New Roman" w:hAnsi="Times New Roman"/>
          <w:smallCaps/>
          <w:noProof/>
          <w:sz w:val="24"/>
          <w:szCs w:val="24"/>
        </w:rPr>
        <w:t xml:space="preserve">N.J. Coulson, Succession in the Muslim Family</w:t>
      </w:r>
      <w:r>
        <w:rPr>
          <w:rFonts w:ascii="Times New Roman" w:cs="Times New Roman" w:eastAsia="Times New Roman" w:hAnsi="Times New Roman"/>
          <w:noProof/>
          <w:sz w:val="24"/>
          <w:szCs w:val="24"/>
        </w:rPr>
        <w:t xml:space="preserve"> (1971).</w:t>
      </w:r>
    </w:p>
    <w:p>
      <w:pPr>
        <w:spacing w:after="120" w:line="300"/>
        <w:ind w:start="420" w:hanging="420"/>
        <w:jc w:val="left"/>
      </w:pPr>
      <w:r>
        <w:rPr>
          <w:rFonts w:ascii="Times New Roman" w:cs="Times New Roman" w:eastAsia="Times New Roman" w:hAnsi="Times New Roman"/>
          <w:smallCaps/>
          <w:noProof/>
          <w:sz w:val="24"/>
          <w:szCs w:val="24"/>
        </w:rPr>
        <w:t xml:space="preserve">Hernando de Soto, The Mystery of Capital: Why Capitalism Triumphs in the West and Fails Everywhere Else</w:t>
      </w:r>
      <w:r>
        <w:rPr>
          <w:rFonts w:ascii="Times New Roman" w:cs="Times New Roman" w:eastAsia="Times New Roman" w:hAnsi="Times New Roman"/>
          <w:noProof/>
          <w:sz w:val="24"/>
          <w:szCs w:val="24"/>
        </w:rPr>
        <w:t xml:space="preserve"> (2000).</w:t>
      </w:r>
    </w:p>
    <w:p>
      <w:pPr>
        <w:spacing w:after="120" w:line="300"/>
        <w:ind w:start="420" w:hanging="420"/>
        <w:jc w:val="left"/>
      </w:pPr>
      <w:r>
        <w:rPr>
          <w:rFonts w:ascii="Times New Roman" w:cs="Times New Roman" w:eastAsia="Times New Roman" w:hAnsi="Times New Roman"/>
          <w:noProof/>
          <w:sz w:val="24"/>
          <w:szCs w:val="24"/>
        </w:rPr>
        <w:t xml:space="preserve">Kareem Ibrahim &amp; Deena Khalil, </w:t>
      </w:r>
      <w:r>
        <w:rPr>
          <w:rFonts w:ascii="Times New Roman" w:cs="Times New Roman" w:eastAsia="Times New Roman" w:hAnsi="Times New Roman"/>
          <w:i/>
          <w:iCs/>
          <w:noProof/>
          <w:sz w:val="24"/>
          <w:szCs w:val="24"/>
        </w:rPr>
        <w:t xml:space="preserve">Land Titling: A Tool, not a Panacea — Insights from Egypt</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(Dec. 20, 2016), metropolitics.org.</w:t>
      </w:r>
    </w:p>
    <w:p>
      <w:pPr>
        <w:spacing w:after="120" w:line="300"/>
        <w:ind w:start="420" w:hanging="420"/>
        <w:jc w:val="left"/>
      </w:pPr>
      <w:r>
        <w:rPr>
          <w:rFonts w:ascii="Times New Roman" w:cs="Times New Roman" w:eastAsia="Times New Roman" w:hAnsi="Times New Roman"/>
          <w:noProof/>
          <w:sz w:val="24"/>
          <w:szCs w:val="24"/>
        </w:rPr>
        <w:t xml:space="preserve">Ruth Kark, </w:t>
      </w:r>
      <w:r>
        <w:rPr>
          <w:rFonts w:ascii="Times New Roman" w:cs="Times New Roman" w:eastAsia="Times New Roman" w:hAnsi="Times New Roman"/>
          <w:i/>
          <w:iCs/>
          <w:noProof/>
          <w:sz w:val="24"/>
          <w:szCs w:val="24"/>
        </w:rPr>
        <w:t xml:space="preserve">Consequences of the Ottoman Land Law: Agrarian and Privatization Processes in Palestine, 1858–1918</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Societies, Social Inequalities and Marginalization</w:t>
      </w:r>
      <w:r>
        <w:rPr>
          <w:rFonts w:ascii="Times New Roman" w:cs="Times New Roman" w:eastAsia="Times New Roman" w:hAnsi="Times New Roman"/>
          <w:noProof/>
          <w:sz w:val="24"/>
          <w:szCs w:val="24"/>
        </w:rPr>
        <w:t xml:space="preserve"> (R. Chand, E. Nel &amp; S. Pelc eds., 2017).</w:t>
      </w:r>
    </w:p>
    <w:p>
      <w:pPr>
        <w:spacing w:after="120" w:line="300"/>
        <w:ind w:start="420" w:hanging="420"/>
        <w:jc w:val="left"/>
      </w:pPr>
      <w:r>
        <w:rPr>
          <w:rFonts w:ascii="Times New Roman" w:cs="Times New Roman" w:eastAsia="Times New Roman" w:hAnsi="Times New Roman"/>
          <w:noProof/>
          <w:sz w:val="24"/>
          <w:szCs w:val="24"/>
        </w:rPr>
        <w:t xml:space="preserve">Nasr Kheir &amp; Boris A. Portnov, </w:t>
      </w:r>
      <w:r>
        <w:rPr>
          <w:rFonts w:ascii="Times New Roman" w:cs="Times New Roman" w:eastAsia="Times New Roman" w:hAnsi="Times New Roman"/>
          <w:i/>
          <w:iCs/>
          <w:noProof/>
          <w:sz w:val="24"/>
          <w:szCs w:val="24"/>
        </w:rPr>
        <w:t xml:space="preserve">Land Market Segmentation Along Ethnic Lines: Four Urban Localities in Israel as a Case Study</w:t>
      </w:r>
      <w:r>
        <w:rPr>
          <w:rFonts w:ascii="Times New Roman" w:cs="Times New Roman" w:eastAsia="Times New Roman" w:hAnsi="Times New Roman"/>
          <w:noProof/>
          <w:sz w:val="24"/>
          <w:szCs w:val="24"/>
        </w:rPr>
        <w:t xml:space="preserve">, 136 </w:t>
      </w:r>
      <w:r>
        <w:rPr>
          <w:rFonts w:ascii="Times New Roman" w:cs="Times New Roman" w:eastAsia="Times New Roman" w:hAnsi="Times New Roman"/>
          <w:smallCaps/>
          <w:noProof/>
          <w:sz w:val="24"/>
          <w:szCs w:val="24"/>
        </w:rPr>
        <w:t xml:space="preserve">Land Use Policy</w:t>
      </w:r>
      <w:r>
        <w:rPr>
          <w:rFonts w:ascii="Times New Roman" w:cs="Times New Roman" w:eastAsia="Times New Roman" w:hAnsi="Times New Roman"/>
          <w:noProof/>
          <w:sz w:val="24"/>
          <w:szCs w:val="24"/>
        </w:rPr>
        <w:t xml:space="preserve"> art. 106916 (2024).</w:t>
      </w:r>
    </w:p>
    <w:p>
      <w:pPr>
        <w:spacing w:after="120" w:line="300"/>
        <w:ind w:start="420" w:hanging="420"/>
        <w:jc w:val="left"/>
      </w:pPr>
      <w:r>
        <w:rPr>
          <w:rFonts w:ascii="Times New Roman" w:cs="Times New Roman" w:eastAsia="Times New Roman" w:hAnsi="Times New Roman"/>
          <w:noProof/>
          <w:sz w:val="24"/>
          <w:szCs w:val="24"/>
        </w:rPr>
        <w:t xml:space="preserve">L. Landau, </w:t>
      </w:r>
      <w:r>
        <w:rPr>
          <w:rFonts w:ascii="Times New Roman" w:cs="Times New Roman" w:eastAsia="Times New Roman" w:hAnsi="Times New Roman"/>
          <w:i/>
          <w:iCs/>
          <w:noProof/>
          <w:sz w:val="24"/>
          <w:szCs w:val="24"/>
        </w:rPr>
        <w:t xml:space="preserve">The Gift Law, 1968</w:t>
      </w:r>
      <w:r>
        <w:rPr>
          <w:rFonts w:ascii="Times New Roman" w:cs="Times New Roman" w:eastAsia="Times New Roman" w:hAnsi="Times New Roman"/>
          <w:noProof/>
          <w:sz w:val="24"/>
          <w:szCs w:val="24"/>
        </w:rPr>
        <w:t xml:space="preserve">, 4 </w:t>
      </w:r>
      <w:r>
        <w:rPr>
          <w:rFonts w:ascii="Times New Roman" w:cs="Times New Roman" w:eastAsia="Times New Roman" w:hAnsi="Times New Roman"/>
          <w:smallCaps/>
          <w:noProof/>
          <w:sz w:val="24"/>
          <w:szCs w:val="24"/>
        </w:rPr>
        <w:t xml:space="preserve">Israel Law Review</w:t>
      </w:r>
      <w:r>
        <w:rPr>
          <w:rFonts w:ascii="Times New Roman" w:cs="Times New Roman" w:eastAsia="Times New Roman" w:hAnsi="Times New Roman"/>
          <w:noProof/>
          <w:sz w:val="24"/>
          <w:szCs w:val="24"/>
        </w:rPr>
        <w:t xml:space="preserve"> 260 (1969).</w:t>
      </w:r>
    </w:p>
    <w:p>
      <w:pPr>
        <w:spacing w:after="120" w:line="300"/>
        <w:ind w:start="420" w:hanging="420"/>
        <w:jc w:val="left"/>
      </w:pPr>
      <w:r>
        <w:rPr>
          <w:rFonts w:ascii="Times New Roman" w:cs="Times New Roman" w:eastAsia="Times New Roman" w:hAnsi="Times New Roman"/>
          <w:smallCaps/>
          <w:noProof/>
          <w:sz w:val="24"/>
          <w:szCs w:val="24"/>
        </w:rPr>
        <w:t xml:space="preserve">Aharon Layish, Women and Islamic Law in a Non-Muslim State: A Study Based on Decisions of the Shari‘a Courts in Israel</w:t>
      </w:r>
      <w:r>
        <w:rPr>
          <w:rFonts w:ascii="Times New Roman" w:cs="Times New Roman" w:eastAsia="Times New Roman" w:hAnsi="Times New Roman"/>
          <w:noProof/>
          <w:sz w:val="24"/>
          <w:szCs w:val="24"/>
        </w:rPr>
        <w:t xml:space="preserve"> (1975).</w:t>
      </w:r>
    </w:p>
    <w:p>
      <w:pPr>
        <w:spacing w:after="120" w:line="300"/>
        <w:ind w:start="420" w:hanging="420"/>
        <w:jc w:val="left"/>
      </w:pPr>
      <w:r>
        <w:rPr>
          <w:rFonts w:ascii="Times New Roman" w:cs="Times New Roman" w:eastAsia="Times New Roman" w:hAnsi="Times New Roman"/>
          <w:noProof/>
          <w:sz w:val="24"/>
          <w:szCs w:val="24"/>
        </w:rPr>
        <w:t xml:space="preserve">Y. Linant de Bellefonds, </w:t>
      </w:r>
      <w:r>
        <w:rPr>
          <w:rFonts w:ascii="Times New Roman" w:cs="Times New Roman" w:eastAsia="Times New Roman" w:hAnsi="Times New Roman"/>
          <w:i/>
          <w:iCs/>
          <w:noProof/>
          <w:sz w:val="24"/>
          <w:szCs w:val="24"/>
        </w:rPr>
        <w:t xml:space="preserve">Hiba</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The Encyclopaedia of Islam</w:t>
      </w:r>
      <w:r>
        <w:rPr>
          <w:rFonts w:ascii="Times New Roman" w:cs="Times New Roman" w:eastAsia="Times New Roman" w:hAnsi="Times New Roman"/>
          <w:noProof/>
          <w:sz w:val="24"/>
          <w:szCs w:val="24"/>
        </w:rPr>
        <w:t xml:space="preserve"> (2d ed.).</w:t>
      </w:r>
    </w:p>
    <w:p>
      <w:pPr>
        <w:spacing w:after="120" w:line="300"/>
        <w:ind w:start="420" w:hanging="420"/>
        <w:jc w:val="left"/>
      </w:pPr>
      <w:r>
        <w:rPr>
          <w:rFonts w:ascii="Times New Roman" w:cs="Times New Roman" w:eastAsia="Times New Roman" w:hAnsi="Times New Roman"/>
          <w:smallCaps/>
          <w:noProof/>
          <w:sz w:val="24"/>
          <w:szCs w:val="24"/>
        </w:rPr>
        <w:t xml:space="preserve">Annelies Moors, Women, Property and Islam: Palestinian Experiences, 1920–1990</w:t>
      </w:r>
      <w:r>
        <w:rPr>
          <w:rFonts w:ascii="Times New Roman" w:cs="Times New Roman" w:eastAsia="Times New Roman" w:hAnsi="Times New Roman"/>
          <w:noProof/>
          <w:sz w:val="24"/>
          <w:szCs w:val="24"/>
        </w:rPr>
        <w:t xml:space="preserve"> (1995).</w:t>
      </w:r>
    </w:p>
    <w:p>
      <w:pPr>
        <w:spacing w:after="120" w:line="300"/>
        <w:ind w:start="420" w:hanging="420"/>
        <w:jc w:val="left"/>
      </w:pPr>
      <w:r>
        <w:rPr>
          <w:rFonts w:ascii="Times New Roman" w:cs="Times New Roman" w:eastAsia="Times New Roman" w:hAnsi="Times New Roman"/>
          <w:noProof/>
          <w:sz w:val="24"/>
          <w:szCs w:val="24"/>
        </w:rPr>
        <w:t xml:space="preserve">Amos Nadan, </w:t>
      </w:r>
      <w:r>
        <w:rPr>
          <w:rFonts w:ascii="Times New Roman" w:cs="Times New Roman" w:eastAsia="Times New Roman" w:hAnsi="Times New Roman"/>
          <w:i/>
          <w:iCs/>
          <w:noProof/>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noProof/>
          <w:sz w:val="24"/>
          <w:szCs w:val="24"/>
        </w:rPr>
        <w:t xml:space="preserve">, 46 </w:t>
      </w:r>
      <w:r>
        <w:rPr>
          <w:rFonts w:ascii="Times New Roman" w:cs="Times New Roman" w:eastAsia="Times New Roman" w:hAnsi="Times New Roman"/>
          <w:smallCaps/>
          <w:noProof/>
          <w:sz w:val="24"/>
          <w:szCs w:val="24"/>
        </w:rPr>
        <w:t xml:space="preserve">Journal of the Economic and Social History of the Orient</w:t>
      </w:r>
      <w:r>
        <w:rPr>
          <w:rFonts w:ascii="Times New Roman" w:cs="Times New Roman" w:eastAsia="Times New Roman" w:hAnsi="Times New Roman"/>
          <w:noProof/>
          <w:sz w:val="24"/>
          <w:szCs w:val="24"/>
        </w:rPr>
        <w:t xml:space="preserve"> 320 (2003).</w:t>
      </w:r>
    </w:p>
    <w:p>
      <w:pPr>
        <w:spacing w:after="120" w:line="300"/>
        <w:ind w:start="420" w:hanging="420"/>
        <w:jc w:val="left"/>
      </w:pPr>
      <w:r>
        <w:rPr>
          <w:rFonts w:ascii="Times New Roman" w:cs="Times New Roman" w:eastAsia="Times New Roman" w:hAnsi="Times New Roman"/>
          <w:noProof/>
          <w:sz w:val="24"/>
          <w:szCs w:val="24"/>
        </w:rPr>
        <w:t xml:space="preserve">Siti Norfatirah Abdul Rahmani &amp; Mohd Zamro Muda, </w:t>
      </w:r>
      <w:r>
        <w:rPr>
          <w:rFonts w:ascii="Times New Roman" w:cs="Times New Roman" w:eastAsia="Times New Roman" w:hAnsi="Times New Roman"/>
          <w:i/>
          <w:iCs/>
          <w:noProof/>
          <w:sz w:val="24"/>
          <w:szCs w:val="24"/>
        </w:rPr>
        <w:t xml:space="preserve">Ownership Status of Hibah Marad al-Mawt: A Study on the Views of Classical and Contemporary Scholars</w:t>
      </w:r>
      <w:r>
        <w:rPr>
          <w:rFonts w:ascii="Times New Roman" w:cs="Times New Roman" w:eastAsia="Times New Roman" w:hAnsi="Times New Roman"/>
          <w:noProof/>
          <w:sz w:val="24"/>
          <w:szCs w:val="24"/>
        </w:rPr>
        <w:t xml:space="preserve">, 34(8) </w:t>
      </w:r>
      <w:r>
        <w:rPr>
          <w:rFonts w:ascii="Times New Roman" w:cs="Times New Roman" w:eastAsia="Times New Roman" w:hAnsi="Times New Roman"/>
          <w:smallCaps/>
          <w:noProof/>
          <w:sz w:val="24"/>
          <w:szCs w:val="24"/>
        </w:rPr>
        <w:t xml:space="preserve">al-Qanatir: International Journal of Islamic Studies</w:t>
      </w:r>
      <w:r>
        <w:rPr>
          <w:rFonts w:ascii="Times New Roman" w:cs="Times New Roman" w:eastAsia="Times New Roman" w:hAnsi="Times New Roman"/>
          <w:noProof/>
          <w:sz w:val="24"/>
          <w:szCs w:val="24"/>
        </w:rPr>
        <w:t xml:space="preserve"> (2025).</w:t>
      </w:r>
    </w:p>
    <w:p>
      <w:pPr>
        <w:spacing w:after="120" w:line="300"/>
        <w:ind w:start="420" w:hanging="420"/>
        <w:jc w:val="left"/>
      </w:pPr>
      <w:r>
        <w:rPr>
          <w:rFonts w:ascii="Times New Roman" w:cs="Times New Roman" w:eastAsia="Times New Roman" w:hAnsi="Times New Roman"/>
          <w:smallCaps/>
          <w:noProof/>
          <w:sz w:val="24"/>
          <w:szCs w:val="24"/>
        </w:rPr>
        <w:t xml:space="preserve">Joseph Schacht, An Introduction to Islamic Law</w:t>
      </w:r>
      <w:r>
        <w:rPr>
          <w:rFonts w:ascii="Times New Roman" w:cs="Times New Roman" w:eastAsia="Times New Roman" w:hAnsi="Times New Roman"/>
          <w:noProof/>
          <w:sz w:val="24"/>
          <w:szCs w:val="24"/>
        </w:rPr>
        <w:t xml:space="preserve"> (1964).</w:t>
      </w:r>
    </w:p>
    <w:p>
      <w:pPr>
        <w:spacing w:after="120" w:line="300"/>
        <w:ind w:start="420" w:hanging="420"/>
        <w:jc w:val="left"/>
      </w:pPr>
      <w:r>
        <w:rPr>
          <w:rFonts w:ascii="Times New Roman" w:cs="Times New Roman" w:eastAsia="Times New Roman" w:hAnsi="Times New Roman"/>
          <w:noProof/>
          <w:sz w:val="24"/>
          <w:szCs w:val="24"/>
        </w:rPr>
        <w:t xml:space="preserve">Nadav Shoked, </w:t>
      </w:r>
      <w:r>
        <w:rPr>
          <w:rFonts w:ascii="Times New Roman" w:cs="Times New Roman" w:eastAsia="Times New Roman" w:hAnsi="Times New Roman"/>
          <w:i/>
          <w:iCs/>
          <w:noProof/>
          <w:sz w:val="24"/>
          <w:szCs w:val="24"/>
        </w:rPr>
        <w:t xml:space="preserve">Who Needs Adverse Possession?</w:t>
      </w:r>
      <w:r>
        <w:rPr>
          <w:rFonts w:ascii="Times New Roman" w:cs="Times New Roman" w:eastAsia="Times New Roman" w:hAnsi="Times New Roman"/>
          <w:noProof/>
          <w:sz w:val="24"/>
          <w:szCs w:val="24"/>
        </w:rPr>
        <w:t xml:space="preserve">, 89 </w:t>
      </w:r>
      <w:r>
        <w:rPr>
          <w:rFonts w:ascii="Times New Roman" w:cs="Times New Roman" w:eastAsia="Times New Roman" w:hAnsi="Times New Roman"/>
          <w:smallCaps/>
          <w:noProof/>
          <w:sz w:val="24"/>
          <w:szCs w:val="24"/>
        </w:rPr>
        <w:t xml:space="preserve">Fordham Law Review</w:t>
      </w:r>
      <w:r>
        <w:rPr>
          <w:rFonts w:ascii="Times New Roman" w:cs="Times New Roman" w:eastAsia="Times New Roman" w:hAnsi="Times New Roman"/>
          <w:noProof/>
          <w:sz w:val="24"/>
          <w:szCs w:val="24"/>
        </w:rPr>
        <w:t xml:space="preserve"> 2639 (2021).</w:t>
      </w:r>
    </w:p>
    <w:p>
      <w:pPr>
        <w:spacing w:after="120" w:line="300"/>
        <w:ind w:start="420" w:hanging="420"/>
        <w:jc w:val="left"/>
      </w:pPr>
      <w:r>
        <w:rPr>
          <w:rFonts w:ascii="Times New Roman" w:cs="Times New Roman" w:eastAsia="Times New Roman" w:hAnsi="Times New Roman"/>
          <w:noProof/>
          <w:sz w:val="24"/>
          <w:szCs w:val="24"/>
        </w:rPr>
        <w:t xml:space="preserve">David Sims, </w:t>
      </w:r>
      <w:r>
        <w:rPr>
          <w:rFonts w:ascii="Times New Roman" w:cs="Times New Roman" w:eastAsia="Times New Roman" w:hAnsi="Times New Roman"/>
          <w:i/>
          <w:iCs/>
          <w:noProof/>
          <w:sz w:val="24"/>
          <w:szCs w:val="24"/>
        </w:rPr>
        <w:t xml:space="preserve">Securing Land Tenure in Egypt: Who Needs Registered Titles?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(June 14, 2016), metropolitiques.eu.</w:t>
      </w:r>
    </w:p>
    <w:p>
      <w:pPr>
        <w:spacing w:after="120" w:line="300"/>
        <w:ind w:start="420" w:hanging="420"/>
        <w:jc w:val="left"/>
      </w:pPr>
      <w:r>
        <w:rPr>
          <w:rFonts w:ascii="Times New Roman" w:cs="Times New Roman" w:eastAsia="Times New Roman" w:hAnsi="Times New Roman"/>
          <w:noProof/>
          <w:sz w:val="24"/>
          <w:szCs w:val="24"/>
        </w:rPr>
        <w:t xml:space="preserve">Brian Sloan, </w:t>
      </w:r>
      <w:r>
        <w:rPr>
          <w:rFonts w:ascii="Times New Roman" w:cs="Times New Roman" w:eastAsia="Times New Roman" w:hAnsi="Times New Roman"/>
          <w:i/>
          <w:iCs/>
          <w:noProof/>
          <w:sz w:val="24"/>
          <w:szCs w:val="24"/>
        </w:rPr>
        <w:t xml:space="preserve">Proprietary Estoppel in the Supreme Court: Banquo’s Ghost?</w:t>
      </w:r>
      <w:r>
        <w:rPr>
          <w:rFonts w:ascii="Times New Roman" w:cs="Times New Roman" w:eastAsia="Times New Roman" w:hAnsi="Times New Roman"/>
          <w:noProof/>
          <w:sz w:val="24"/>
          <w:szCs w:val="24"/>
        </w:rPr>
        <w:t xml:space="preserve">, (2023) 82 </w:t>
      </w:r>
      <w:r>
        <w:rPr>
          <w:rFonts w:ascii="Times New Roman" w:cs="Times New Roman" w:eastAsia="Times New Roman" w:hAnsi="Times New Roman"/>
          <w:smallCaps/>
          <w:noProof/>
          <w:sz w:val="24"/>
          <w:szCs w:val="24"/>
        </w:rPr>
        <w:t xml:space="preserve">Cambridge Law Journal</w:t>
      </w:r>
      <w:r>
        <w:rPr>
          <w:rFonts w:ascii="Times New Roman" w:cs="Times New Roman" w:eastAsia="Times New Roman" w:hAnsi="Times New Roman"/>
          <w:noProof/>
          <w:sz w:val="24"/>
          <w:szCs w:val="24"/>
        </w:rPr>
        <w:t xml:space="preserve"> 13.</w:t>
      </w:r>
    </w:p>
    <w:p>
      <w:pPr>
        <w:spacing w:after="120" w:line="300"/>
        <w:ind w:start="420" w:hanging="420"/>
        <w:jc w:val="left"/>
      </w:pPr>
      <w:r>
        <w:rPr>
          <w:rFonts w:ascii="Times New Roman" w:cs="Times New Roman" w:eastAsia="Times New Roman" w:hAnsi="Times New Roman"/>
          <w:smallCaps/>
          <w:noProof/>
          <w:sz w:val="24"/>
          <w:szCs w:val="24"/>
        </w:rPr>
        <w:t xml:space="preserve">Kenneth W. Stein, The Land Question in Palestine, 1917–1939</w:t>
      </w:r>
      <w:r>
        <w:rPr>
          <w:rFonts w:ascii="Times New Roman" w:cs="Times New Roman" w:eastAsia="Times New Roman" w:hAnsi="Times New Roman"/>
          <w:noProof/>
          <w:sz w:val="24"/>
          <w:szCs w:val="24"/>
        </w:rPr>
        <w:t xml:space="preserve"> (1984).</w:t>
      </w:r>
    </w:p>
    <w:p>
      <w:pPr>
        <w:spacing w:after="120" w:line="300"/>
        <w:ind w:start="420" w:hanging="420"/>
        <w:jc w:val="left"/>
      </w:pPr>
      <w:r>
        <w:rPr>
          <w:rFonts w:ascii="Times New Roman" w:cs="Times New Roman" w:eastAsia="Times New Roman" w:hAnsi="Times New Roman"/>
          <w:noProof/>
          <w:sz w:val="24"/>
          <w:szCs w:val="24"/>
        </w:rPr>
        <w:t xml:space="preserve">Alex Waghorn, </w:t>
      </w:r>
      <w:r>
        <w:rPr>
          <w:rFonts w:ascii="Times New Roman" w:cs="Times New Roman" w:eastAsia="Times New Roman" w:hAnsi="Times New Roman"/>
          <w:i/>
          <w:iCs/>
          <w:noProof/>
          <w:sz w:val="24"/>
          <w:szCs w:val="24"/>
        </w:rPr>
        <w:t xml:space="preserve">Promises in Equity and at Law: Proprietary Estoppel after Guest v Guest</w:t>
      </w:r>
      <w:r>
        <w:rPr>
          <w:rFonts w:ascii="Times New Roman" w:cs="Times New Roman" w:eastAsia="Times New Roman" w:hAnsi="Times New Roman"/>
          <w:noProof/>
          <w:sz w:val="24"/>
          <w:szCs w:val="24"/>
        </w:rPr>
        <w:t xml:space="preserve">, (2023) 86 </w:t>
      </w:r>
      <w:r>
        <w:rPr>
          <w:rFonts w:ascii="Times New Roman" w:cs="Times New Roman" w:eastAsia="Times New Roman" w:hAnsi="Times New Roman"/>
          <w:smallCaps/>
          <w:noProof/>
          <w:sz w:val="24"/>
          <w:szCs w:val="24"/>
        </w:rPr>
        <w:t xml:space="preserve">Modern Law Review</w:t>
      </w:r>
      <w:r>
        <w:rPr>
          <w:rFonts w:ascii="Times New Roman" w:cs="Times New Roman" w:eastAsia="Times New Roman" w:hAnsi="Times New Roman"/>
          <w:noProof/>
          <w:sz w:val="24"/>
          <w:szCs w:val="24"/>
        </w:rPr>
        <w:t xml:space="preserve"> 1504.</w:t>
      </w:r>
    </w:p>
    <w:p>
      <w:pPr>
        <w:spacing w:after="120" w:line="300"/>
        <w:ind w:start="420" w:hanging="420"/>
        <w:jc w:val="left"/>
      </w:pPr>
      <w:r>
        <w:rPr>
          <w:rFonts w:ascii="Times New Roman" w:cs="Times New Roman" w:eastAsia="Times New Roman" w:hAnsi="Times New Roman"/>
          <w:smallCaps/>
          <w:noProof/>
          <w:sz w:val="24"/>
          <w:szCs w:val="24"/>
        </w:rPr>
        <w:t xml:space="preserve">Konrad Zweigert &amp; Hein Kötz, An Introduction to Comparative Law</w:t>
      </w:r>
      <w:r>
        <w:rPr>
          <w:rFonts w:ascii="Times New Roman" w:cs="Times New Roman" w:eastAsia="Times New Roman" w:hAnsi="Times New Roman"/>
          <w:noProof/>
          <w:sz w:val="24"/>
          <w:szCs w:val="24"/>
        </w:rPr>
        <w:t xml:space="preserve"> (Tony Weir trans., 3d ed. 1998).</w:t>
      </w:r>
    </w:p>
    <w:p>
      <w:pPr>
        <w:spacing w:after="120" w:line="300"/>
        <w:ind w:start="420" w:hanging="420"/>
        <w:jc w:val="left"/>
      </w:pPr>
      <w:r>
        <w:rPr>
          <w:rFonts w:ascii="Times New Roman" w:cs="Times New Roman" w:eastAsia="Times New Roman" w:hAnsi="Times New Roman"/>
          <w:noProof/>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noProof/>
          <w:sz w:val="24"/>
          <w:szCs w:val="24"/>
        </w:rPr>
        <w:t xml:space="preserve">Law Commission, </w:t>
      </w:r>
      <w:r>
        <w:rPr>
          <w:rFonts w:ascii="Times New Roman" w:cs="Times New Roman" w:eastAsia="Times New Roman" w:hAnsi="Times New Roman"/>
          <w:i/>
          <w:iCs/>
          <w:noProof/>
          <w:sz w:val="24"/>
          <w:szCs w:val="24"/>
        </w:rPr>
        <w:t xml:space="preserve">Updating the Land Registration Act 2002</w:t>
      </w:r>
      <w:r>
        <w:rPr>
          <w:rFonts w:ascii="Times New Roman" w:cs="Times New Roman" w:eastAsia="Times New Roman" w:hAnsi="Times New Roman"/>
          <w:noProof/>
          <w:sz w:val="24"/>
          <w:szCs w:val="24"/>
        </w:rPr>
        <w:t xml:space="preserve"> (Law Com. No. 380, 2018).</w:t>
      </w:r>
    </w:p>
    <w:p>
      <w:pPr>
        <w:spacing w:after="120" w:line="300"/>
        <w:ind w:start="420" w:hanging="420"/>
        <w:jc w:val="left"/>
      </w:pPr>
      <w:r>
        <w:rPr>
          <w:rFonts w:ascii="Times New Roman" w:cs="Times New Roman" w:eastAsia="Times New Roman" w:hAnsi="Times New Roman"/>
          <w:i/>
          <w:iCs/>
          <w:noProof/>
          <w:sz w:val="24"/>
          <w:szCs w:val="24"/>
        </w:rPr>
        <w:t xml:space="preserve">More than 90% of Egypt’s Properties Are Unregistered: Justice Minister</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Daily News Egypt</w:t>
      </w:r>
      <w:r>
        <w:rPr>
          <w:rFonts w:ascii="Times New Roman" w:cs="Times New Roman" w:eastAsia="Times New Roman" w:hAnsi="Times New Roman"/>
          <w:noProof/>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noProof/>
          <w:sz w:val="24"/>
          <w:szCs w:val="24"/>
        </w:rPr>
        <w:t xml:space="preserve">Real Estate Registration Law Amendments – Development Brief</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The Built Environment Observatory</w:t>
      </w:r>
      <w:r>
        <w:rPr>
          <w:rFonts w:ascii="Times New Roman" w:cs="Times New Roman" w:eastAsia="Times New Roman" w:hAnsi="Times New Roman"/>
          <w:noProof/>
          <w:sz w:val="24"/>
          <w:szCs w:val="24"/>
        </w:rPr>
        <w:t xml:space="preserve"> (May 2021), marsadomran.info.</w:t>
      </w:r>
    </w:p>
    <w:p>
      <w:pPr>
        <w:spacing w:after="120" w:line="300"/>
        <w:ind w:start="420" w:hanging="420"/>
        <w:jc w:val="left"/>
      </w:pPr>
      <w:r>
        <w:rPr>
          <w:rFonts w:ascii="Times New Roman" w:cs="Times New Roman" w:eastAsia="Times New Roman" w:hAnsi="Times New Roman"/>
          <w:noProof/>
          <w:sz w:val="24"/>
          <w:szCs w:val="24"/>
        </w:rPr>
        <w:t xml:space="preserve">Shalakany Law Office, </w:t>
      </w:r>
      <w:r>
        <w:rPr>
          <w:rFonts w:ascii="Times New Roman" w:cs="Times New Roman" w:eastAsia="Times New Roman" w:hAnsi="Times New Roman"/>
          <w:i/>
          <w:iCs/>
          <w:noProof/>
          <w:sz w:val="24"/>
          <w:szCs w:val="24"/>
        </w:rPr>
        <w:t xml:space="preserve">New Amendments to Real Estate Registration Law: Accelerated and Streamlined Registration Procedures</w:t>
      </w:r>
      <w:r>
        <w:rPr>
          <w:rFonts w:ascii="Times New Roman" w:cs="Times New Roman" w:eastAsia="Times New Roman" w:hAnsi="Times New Roman"/>
          <w:noProof/>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jc w:val="both"/>
      </w:pPr>
      <w:r>
        <w:rPr>
          <w:rStyle w:val="FootnoteReference"/>
        </w:rPr>
        <w:footnoteRef/>
      </w:r>
      <w:r>
        <w:rPr>
          <w:rFonts w:ascii="David" w:cs="David" w:eastAsia="David" w:hAnsi="David"/>
          <w:noProof/>
          <w:sz w:val="20"/>
          <w:szCs w:val="20"/>
          <w:rtl/>
        </w:rPr>
        <w:t xml:space="preserve">ס׳ 7(א) לחוק המקרקעין, התשכ"ט–1969 (להלן: חוק המקרקעין).</w:t>
      </w:r>
    </w:p>
  </w:footnote>
  <w:footnote w:id="2">
    <w:p>
      <w:pPr>
        <w:bidi/>
        <w:spacing w:after="60"/>
        <w:jc w:val="both"/>
      </w:pPr>
      <w:r>
        <w:rPr>
          <w:rStyle w:val="FootnoteReference"/>
        </w:rPr>
        <w:footnoteRef/>
      </w:r>
      <w:r>
        <w:rPr>
          <w:rFonts w:ascii="David" w:cs="David" w:eastAsia="David" w:hAnsi="David"/>
          <w:noProof/>
          <w:sz w:val="20"/>
          <w:szCs w:val="20"/>
          <w:rtl/>
        </w:rPr>
        <w:t xml:space="preserve">לקליטת הזכויות שביושר ולגלגולן לאחר חוק המקרקעין ראו 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w:t>
      </w:r>
    </w:p>
  </w:footnote>
  <w:footnote w:id="3">
    <w:p>
      <w:pPr>
        <w:bidi/>
        <w:spacing w:after="60"/>
        <w:jc w:val="both"/>
      </w:pPr>
      <w:r>
        <w:rPr>
          <w:rStyle w:val="FootnoteReference"/>
        </w:rPr>
        <w:footnoteRef/>
      </w:r>
      <w:r>
        <w:rPr>
          <w:rFonts w:ascii="David" w:cs="David" w:eastAsia="David" w:hAnsi="David"/>
          <w:noProof/>
          <w:sz w:val="20"/>
          <w:szCs w:val="20"/>
          <w:rtl/>
        </w:rPr>
        <w:t xml:space="preserve">לגישה הפונקציונלית במשפט משווה ראו </w:t>
      </w:r>
      <w:r>
        <w:rPr>
          <w:rFonts w:ascii="Times New Roman" w:cs="Times New Roman" w:eastAsia="Times New Roman" w:hAnsi="Times New Roman"/>
          <w:smallCaps/>
          <w:noProof/>
          <w:sz w:val="20"/>
          <w:szCs w:val="20"/>
        </w:rPr>
        <w:t xml:space="preserve">Konrad Zweigert &amp; Hein Kötz, An Introduction to Comparative Law 34–47 (Tony Weir trans., 3d ed. 1998)</w:t>
      </w:r>
      <w:r>
        <w:rPr>
          <w:rFonts w:ascii="David" w:cs="David" w:eastAsia="David" w:hAnsi="David"/>
          <w:noProof/>
          <w:sz w:val="20"/>
          <w:szCs w:val="20"/>
          <w:rtl/>
        </w:rPr>
        <w:t xml:space="preserve">.</w:t>
      </w:r>
    </w:p>
  </w:footnote>
  <w:footnote w:id="4">
    <w:p>
      <w:pPr>
        <w:bidi/>
        <w:spacing w:after="60"/>
        <w:jc w:val="both"/>
      </w:pPr>
      <w:r>
        <w:rPr>
          <w:rStyle w:val="FootnoteReference"/>
        </w:rPr>
        <w:footnoteRef/>
      </w:r>
      <w:r>
        <w:rPr>
          <w:rFonts w:ascii="David" w:cs="David" w:eastAsia="David" w:hAnsi="David"/>
          <w:noProof/>
          <w:sz w:val="20"/>
          <w:szCs w:val="20"/>
          <w:rtl/>
        </w:rPr>
        <w:t xml:space="preserve">ס׳ 6–7 לחוק המקרקעין.</w:t>
      </w:r>
    </w:p>
  </w:footnote>
  <w:footnote w:id="5">
    <w:p>
      <w:pPr>
        <w:bidi/>
        <w:spacing w:after="60"/>
        <w:jc w:val="both"/>
      </w:pPr>
      <w:r>
        <w:rPr>
          <w:rStyle w:val="FootnoteReference"/>
        </w:rPr>
        <w:footnoteRef/>
      </w:r>
      <w:r>
        <w:rPr>
          <w:rFonts w:ascii="David" w:cs="David" w:eastAsia="David" w:hAnsi="David"/>
          <w:noProof/>
          <w:sz w:val="20"/>
          <w:szCs w:val="20"/>
          <w:rtl/>
        </w:rPr>
        <w:t xml:space="preserve">ס׳ 8 לחוק המקרקעין. הדרישה פורשה כמהותית ולא ראייתית: ע"א 726/71 </w:t>
      </w:r>
      <w:r>
        <w:rPr>
          <w:rFonts w:ascii="David" w:cs="David" w:eastAsia="David" w:hAnsi="David"/>
          <w:b/>
          <w:bCs/>
          <w:noProof/>
          <w:sz w:val="20"/>
          <w:szCs w:val="20"/>
          <w:rtl/>
        </w:rPr>
        <w:t xml:space="preserve">גרוסמן את ק.ב.ק. בע"מ נ׳ מנהלי עזבון בידרמן</w:t>
      </w:r>
      <w:r>
        <w:rPr>
          <w:rFonts w:ascii="David" w:cs="David" w:eastAsia="David" w:hAnsi="David"/>
          <w:noProof/>
          <w:sz w:val="20"/>
          <w:szCs w:val="20"/>
          <w:rtl/>
        </w:rPr>
        <w:t xml:space="preserve">, פ"ד כו(2) 781 (1972).</w:t>
      </w:r>
    </w:p>
  </w:footnote>
  <w:footnote w:id="6">
    <w:p>
      <w:pPr>
        <w:bidi/>
        <w:spacing w:after="60"/>
        <w:jc w:val="both"/>
      </w:pPr>
      <w:r>
        <w:rPr>
          <w:rStyle w:val="FootnoteReference"/>
        </w:rPr>
        <w:footnoteRef/>
      </w:r>
      <w:r>
        <w:rPr>
          <w:rFonts w:ascii="David" w:cs="David" w:eastAsia="David" w:hAnsi="David"/>
          <w:noProof/>
          <w:sz w:val="20"/>
          <w:szCs w:val="20"/>
          <w:rtl/>
        </w:rPr>
        <w:t xml:space="preserve">ס׳ 125 לחוק המקרקעין.</w:t>
      </w:r>
    </w:p>
  </w:footnote>
  <w:footnote w:id="7">
    <w:p>
      <w:pPr>
        <w:bidi/>
        <w:spacing w:after="60"/>
        <w:jc w:val="both"/>
      </w:pPr>
      <w:r>
        <w:rPr>
          <w:rStyle w:val="FootnoteReference"/>
        </w:rPr>
        <w:footnoteRef/>
      </w:r>
      <w:r>
        <w:rPr>
          <w:rFonts w:ascii="David" w:cs="David" w:eastAsia="David" w:hAnsi="David"/>
          <w:noProof/>
          <w:sz w:val="20"/>
          <w:szCs w:val="20"/>
          <w:rtl/>
        </w:rPr>
        <w:t xml:space="preserve">ס׳ 10 לחוק המקרקעין. ההגנה מותנית בהשלמת הרישום בפועל, ומי שלא נרשם אינו נהנה ממנה: ת"א (מחוזי חי׳) 64669-10-18 </w:t>
      </w:r>
      <w:r>
        <w:rPr>
          <w:rFonts w:ascii="David" w:cs="David" w:eastAsia="David" w:hAnsi="David"/>
          <w:b/>
          <w:bCs/>
          <w:noProof/>
          <w:sz w:val="20"/>
          <w:szCs w:val="20"/>
          <w:rtl/>
        </w:rPr>
        <w:t xml:space="preserve">בדארנה נ׳ בדארנה</w:t>
      </w:r>
      <w:r>
        <w:rPr>
          <w:rFonts w:ascii="David" w:cs="David" w:eastAsia="David" w:hAnsi="David"/>
          <w:noProof/>
          <w:sz w:val="20"/>
          <w:szCs w:val="20"/>
          <w:rtl/>
        </w:rPr>
        <w:t xml:space="preserve"> (נבו 9.1.2022).</w:t>
      </w:r>
    </w:p>
  </w:footnote>
  <w:footnote w:id="8">
    <w:p>
      <w:pPr>
        <w:bidi/>
        <w:spacing w:after="60"/>
        <w:jc w:val="both"/>
      </w:pPr>
      <w:r>
        <w:rPr>
          <w:rStyle w:val="FootnoteReference"/>
        </w:rPr>
        <w:footnoteRef/>
      </w:r>
      <w:r>
        <w:rPr>
          <w:rFonts w:ascii="David" w:cs="David" w:eastAsia="David" w:hAnsi="David"/>
          <w:noProof/>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י 297 (1984). ודוק: הערת אזהרה ניתנת לרישום רק במקרקעין הרשומים, כך שבמקרקעין בלתי רשומים אף כלי ביניים זה אינו זמין: יהושע ויסמן </w:t>
      </w:r>
      <w:r>
        <w:rPr>
          <w:rFonts w:ascii="David" w:cs="David" w:eastAsia="David" w:hAnsi="David"/>
          <w:b/>
          <w:bCs/>
          <w:noProof/>
          <w:sz w:val="20"/>
          <w:szCs w:val="20"/>
          <w:rtl/>
        </w:rPr>
        <w:t xml:space="preserve">דיני קניין – חלק כללי</w:t>
      </w:r>
      <w:r>
        <w:rPr>
          <w:rFonts w:ascii="David" w:cs="David" w:eastAsia="David" w:hAnsi="David"/>
          <w:noProof/>
          <w:sz w:val="20"/>
          <w:szCs w:val="20"/>
          <w:rtl/>
        </w:rPr>
        <w:t xml:space="preserve"> 327–328 (1993).</w:t>
      </w:r>
    </w:p>
  </w:footnote>
  <w:footnote w:id="9">
    <w:p>
      <w:pPr>
        <w:bidi/>
        <w:spacing w:after="60"/>
        <w:jc w:val="both"/>
      </w:pPr>
      <w:r>
        <w:rPr>
          <w:rStyle w:val="FootnoteReference"/>
        </w:rPr>
        <w:footnoteRef/>
      </w:r>
      <w:r>
        <w:rPr>
          <w:rFonts w:ascii="David" w:cs="David" w:eastAsia="David" w:hAnsi="David"/>
          <w:noProof/>
          <w:sz w:val="20"/>
          <w:szCs w:val="20"/>
          <w:rtl/>
        </w:rPr>
        <w:t xml:space="preserve">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w:t>
      </w:r>
    </w:p>
  </w:footnote>
  <w:footnote w:id="10">
    <w:p>
      <w:pPr>
        <w:bidi/>
        <w:spacing w:after="60"/>
        <w:jc w:val="both"/>
      </w:pPr>
      <w:r>
        <w:rPr>
          <w:rStyle w:val="FootnoteReference"/>
        </w:rPr>
        <w:footnoteRef/>
      </w:r>
      <w:r>
        <w:rPr>
          <w:rFonts w:ascii="David" w:cs="David" w:eastAsia="David" w:hAnsi="David"/>
          <w:noProof/>
          <w:sz w:val="20"/>
          <w:szCs w:val="20"/>
          <w:rtl/>
        </w:rPr>
        <w:t xml:space="preserve">פקודת הסדר זכויות במקרקעין [נוסח חדש], התשכ"ט–1969. לרקע ההיסטורי ראו חיים זנדברג </w:t>
      </w:r>
      <w:r>
        <w:rPr>
          <w:rFonts w:ascii="David" w:cs="David" w:eastAsia="David" w:hAnsi="David"/>
          <w:b/>
          <w:bCs/>
          <w:noProof/>
          <w:sz w:val="20"/>
          <w:szCs w:val="20"/>
          <w:rtl/>
        </w:rPr>
        <w:t xml:space="preserve">הסדר זכויות במקרקעין בארץ-ישראל ובמדינת ישראל</w:t>
      </w:r>
      <w:r>
        <w:rPr>
          <w:rFonts w:ascii="David" w:cs="David" w:eastAsia="David" w:hAnsi="David"/>
          <w:noProof/>
          <w:sz w:val="20"/>
          <w:szCs w:val="20"/>
          <w:rtl/>
        </w:rPr>
        <w:t xml:space="preserve"> (התש"ס).</w:t>
      </w:r>
    </w:p>
  </w:footnote>
  <w:footnote w:id="11">
    <w:p>
      <w:pPr>
        <w:bidi/>
        <w:spacing w:after="60"/>
        <w:jc w:val="both"/>
      </w:pPr>
      <w:r>
        <w:rPr>
          <w:rStyle w:val="FootnoteReference"/>
        </w:rPr>
        <w:footnoteRef/>
      </w:r>
      <w:r>
        <w:rPr>
          <w:rFonts w:ascii="David" w:cs="David" w:eastAsia="David" w:hAnsi="David"/>
          <w:noProof/>
          <w:sz w:val="20"/>
          <w:szCs w:val="20"/>
          <w:rtl/>
        </w:rPr>
        <w:t xml:space="preserve">ס׳ 81 לפקודת הסדר זכויות במקרקעין [נוסח חדש], התשכ"ט–1969.</w:t>
      </w:r>
    </w:p>
  </w:footnote>
  <w:footnote w:id="12">
    <w:p>
      <w:pPr>
        <w:bidi/>
        <w:spacing w:after="60"/>
        <w:jc w:val="both"/>
      </w:pPr>
      <w:r>
        <w:rPr>
          <w:rStyle w:val="FootnoteReference"/>
        </w:rPr>
        <w:footnoteRef/>
      </w:r>
      <w:r>
        <w:rPr>
          <w:rFonts w:ascii="David" w:cs="David" w:eastAsia="David" w:hAnsi="David"/>
          <w:noProof/>
          <w:sz w:val="20"/>
          <w:szCs w:val="20"/>
          <w:rtl/>
        </w:rPr>
        <w:t xml:space="preserve">רע"א 4890/15 </w:t>
      </w:r>
      <w:r>
        <w:rPr>
          <w:rFonts w:ascii="David" w:cs="David" w:eastAsia="David" w:hAnsi="David"/>
          <w:b/>
          <w:bCs/>
          <w:noProof/>
          <w:sz w:val="20"/>
          <w:szCs w:val="20"/>
          <w:rtl/>
        </w:rPr>
        <w:t xml:space="preserve">אלוש נ׳ עיריית טבריה</w:t>
      </w:r>
      <w:r>
        <w:rPr>
          <w:rFonts w:ascii="David" w:cs="David" w:eastAsia="David" w:hAnsi="David"/>
          <w:noProof/>
          <w:sz w:val="20"/>
          <w:szCs w:val="20"/>
          <w:rtl/>
        </w:rPr>
        <w:t xml:space="preserve"> (נבו 31.12.2015) (להלן: עניין אלוש); ס׳ 159(ב) לחוק המקרקעין;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3">
    <w:p>
      <w:pPr>
        <w:bidi/>
        <w:spacing w:after="60"/>
        <w:jc w:val="both"/>
      </w:pPr>
      <w:r>
        <w:rPr>
          <w:rStyle w:val="FootnoteReference"/>
        </w:rPr>
        <w:footnoteRef/>
      </w:r>
      <w:r>
        <w:rPr>
          <w:rFonts w:ascii="David" w:cs="David" w:eastAsia="David" w:hAnsi="David"/>
          <w:noProof/>
          <w:sz w:val="20"/>
          <w:szCs w:val="20"/>
          <w:rtl/>
        </w:rPr>
        <w:t xml:space="preserve">להנחות היסוד של שיטת הרישום ולביקורת עליהן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4">
    <w:p>
      <w:pPr>
        <w:bidi/>
        <w:spacing w:after="60"/>
        <w:jc w:val="both"/>
      </w:pPr>
      <w:r>
        <w:rPr>
          <w:rStyle w:val="FootnoteReference"/>
        </w:rPr>
        <w:footnoteRef/>
      </w:r>
      <w:r>
        <w:rPr>
          <w:rFonts w:ascii="David" w:cs="David" w:eastAsia="David" w:hAnsi="David"/>
          <w:noProof/>
          <w:sz w:val="20"/>
          <w:szCs w:val="20"/>
          <w:rtl/>
        </w:rPr>
        <w:t xml:space="preserve">חוק הקרקעות העות׳מאני, 1858. לתרגום האנגלי המקובל ראו </w:t>
      </w:r>
      <w:r>
        <w:rPr>
          <w:rFonts w:ascii="Times New Roman" w:cs="Times New Roman" w:eastAsia="Times New Roman" w:hAnsi="Times New Roman"/>
          <w:smallCaps/>
          <w:noProof/>
          <w:sz w:val="20"/>
          <w:szCs w:val="20"/>
        </w:rPr>
        <w:t xml:space="preserve">F. Ongley, The Ottoman Land Code (1892)</w:t>
      </w:r>
      <w:r>
        <w:rPr>
          <w:rFonts w:ascii="David" w:cs="David" w:eastAsia="David" w:hAnsi="David"/>
          <w:noProof/>
          <w:sz w:val="20"/>
          <w:szCs w:val="20"/>
          <w:rtl/>
        </w:rPr>
        <w:t xml:space="preserve">. ראו להלן פרק ו.3.</w:t>
      </w:r>
    </w:p>
  </w:footnote>
  <w:footnote w:id="15">
    <w:p>
      <w:pPr>
        <w:bidi/>
        <w:spacing w:after="60"/>
        <w:jc w:val="both"/>
      </w:pPr>
      <w:r>
        <w:rPr>
          <w:rStyle w:val="FootnoteReference"/>
        </w:rPr>
        <w:footnoteRef/>
      </w:r>
      <w:r>
        <w:rPr>
          <w:rFonts w:ascii="David" w:cs="David" w:eastAsia="David" w:hAnsi="David"/>
          <w:noProof/>
          <w:sz w:val="20"/>
          <w:szCs w:val="20"/>
          <w:rtl/>
        </w:rPr>
        <w:t xml:space="preserve">לתיאור המושאע והשפעתו ראו </w:t>
      </w:r>
      <w:r>
        <w:rPr>
          <w:rFonts w:ascii="Times New Roman" w:cs="Times New Roman" w:eastAsia="Times New Roman" w:hAnsi="Times New Roman"/>
          <w:smallCaps/>
          <w:noProof/>
          <w:sz w:val="20"/>
          <w:szCs w:val="20"/>
        </w:rPr>
        <w:t xml:space="preserve">Kenneth W. Stein, The Land Question in Palestine, 1917–1939 (1984)</w:t>
      </w:r>
      <w:r>
        <w:rPr>
          <w:rFonts w:ascii="Times New Roman" w:cs="Times New Roman" w:eastAsia="Times New Roman" w:hAnsi="Times New Roman"/>
          <w:noProof/>
          <w:sz w:val="20"/>
          <w:szCs w:val="20"/>
        </w:rPr>
        <w:t xml:space="preserve">; Amos Nadan, </w:t>
      </w:r>
      <w:r>
        <w:rPr>
          <w:rFonts w:ascii="Times New Roman" w:cs="Times New Roman" w:eastAsia="Times New Roman" w:hAnsi="Times New Roman"/>
          <w:i/>
          <w:iCs/>
          <w:noProof/>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noProof/>
          <w:sz w:val="20"/>
          <w:szCs w:val="20"/>
        </w:rPr>
        <w:t xml:space="preserve">, 46 </w:t>
      </w:r>
      <w:r>
        <w:rPr>
          <w:rFonts w:ascii="Times New Roman" w:cs="Times New Roman" w:eastAsia="Times New Roman" w:hAnsi="Times New Roman"/>
          <w:smallCaps/>
          <w:noProof/>
          <w:sz w:val="20"/>
          <w:szCs w:val="20"/>
        </w:rPr>
        <w:t xml:space="preserve">J. Econ. &amp; Soc. Hist. Orient</w:t>
      </w:r>
      <w:r>
        <w:rPr>
          <w:rFonts w:ascii="Times New Roman" w:cs="Times New Roman" w:eastAsia="Times New Roman" w:hAnsi="Times New Roman"/>
          <w:noProof/>
          <w:sz w:val="20"/>
          <w:szCs w:val="20"/>
        </w:rPr>
        <w:t xml:space="preserve"> 320 (2003)</w:t>
      </w:r>
      <w:r>
        <w:rPr>
          <w:rFonts w:ascii="David" w:cs="David" w:eastAsia="David" w:hAnsi="David"/>
          <w:noProof/>
          <w:sz w:val="20"/>
          <w:szCs w:val="20"/>
          <w:rtl/>
        </w:rPr>
        <w:t xml:space="preserve">; וכן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6">
    <w:p>
      <w:pPr>
        <w:bidi/>
        <w:spacing w:after="60"/>
        <w:jc w:val="both"/>
      </w:pPr>
      <w:r>
        <w:rPr>
          <w:rStyle w:val="FootnoteReference"/>
        </w:rPr>
        <w:footnoteRef/>
      </w:r>
      <w:r>
        <w:rPr>
          <w:rFonts w:ascii="David" w:cs="David" w:eastAsia="David" w:hAnsi="David"/>
          <w:noProof/>
          <w:sz w:val="20"/>
          <w:szCs w:val="20"/>
          <w:rtl/>
        </w:rPr>
        <w:t xml:space="preserve">על הליכי ההסדר שלא הושלמו ועל תוצאותיהם ראו אורן יפתחאל, סנדי קדר ואחמד אמארה "עיון מחדש בהלכת 'הנגב המת': זכויות קניין במרחב הבדווי" </w:t>
      </w:r>
      <w:r>
        <w:rPr>
          <w:rFonts w:ascii="David" w:cs="David" w:eastAsia="David" w:hAnsi="David"/>
          <w:b/>
          <w:bCs/>
          <w:noProof/>
          <w:sz w:val="20"/>
          <w:szCs w:val="20"/>
          <w:rtl/>
        </w:rPr>
        <w:t xml:space="preserve">משפט וממשל</w:t>
      </w:r>
      <w:r>
        <w:rPr>
          <w:rFonts w:ascii="David" w:cs="David" w:eastAsia="David" w:hAnsi="David"/>
          <w:noProof/>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לד 183 (2011).</w:t>
      </w:r>
    </w:p>
  </w:footnote>
  <w:footnote w:id="17">
    <w:p>
      <w:pPr>
        <w:bidi/>
        <w:spacing w:after="60"/>
        <w:jc w:val="both"/>
      </w:pPr>
      <w:r>
        <w:rPr>
          <w:rStyle w:val="FootnoteReference"/>
        </w:rPr>
        <w:footnoteRef/>
      </w:r>
      <w:r>
        <w:rPr>
          <w:rFonts w:ascii="David" w:cs="David" w:eastAsia="David" w:hAnsi="David"/>
          <w:noProof/>
          <w:sz w:val="20"/>
          <w:szCs w:val="20"/>
          <w:rtl/>
        </w:rPr>
        <w:t xml:space="preserve">שי שטרן </w:t>
      </w:r>
      <w:r>
        <w:rPr>
          <w:rFonts w:ascii="David" w:cs="David" w:eastAsia="David" w:hAnsi="David"/>
          <w:b/>
          <w:bCs/>
          <w:noProof/>
          <w:sz w:val="20"/>
          <w:szCs w:val="20"/>
          <w:rtl/>
        </w:rPr>
        <w:t xml:space="preserve">קהילות במשפט</w:t>
      </w:r>
      <w:r>
        <w:rPr>
          <w:rFonts w:ascii="David" w:cs="David" w:eastAsia="David" w:hAnsi="David"/>
          <w:noProof/>
          <w:sz w:val="20"/>
          <w:szCs w:val="20"/>
          <w:rtl/>
        </w:rPr>
        <w:t xml:space="preserve"> 252–253 (2026) (להלן: שטרן): המפגש בין תפיסות המרחב של הקהילות הערביות ובין מגמות התכנון הממלכתיות הוליד "מחסור אקוטי בדיור, היעדר תכנון מרחבי ותשתיתי והרחבה ניכרת של בנייה חורגת למגורים ולעסקים".</w:t>
      </w:r>
    </w:p>
  </w:footnote>
  <w:footnote w:id="18">
    <w:p>
      <w:pPr>
        <w:bidi/>
        <w:spacing w:after="60"/>
        <w:jc w:val="both"/>
      </w:pPr>
      <w:r>
        <w:rPr>
          <w:rStyle w:val="FootnoteReference"/>
        </w:rPr>
        <w:footnoteRef/>
      </w:r>
      <w:r>
        <w:rPr>
          <w:rFonts w:ascii="David" w:cs="David" w:eastAsia="David" w:hAnsi="David"/>
          <w:noProof/>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19">
    <w:p>
      <w:pPr>
        <w:bidi/>
        <w:spacing w:after="60"/>
        <w:jc w:val="both"/>
      </w:pPr>
      <w:r>
        <w:rPr>
          <w:rStyle w:val="FootnoteReference"/>
        </w:rPr>
        <w:footnoteRef/>
      </w:r>
      <w:r>
        <w:rPr>
          <w:rFonts w:ascii="David" w:cs="David" w:eastAsia="David" w:hAnsi="David"/>
          <w:noProof/>
          <w:sz w:val="20"/>
          <w:szCs w:val="20"/>
          <w:rtl/>
        </w:rPr>
        <w:t xml:space="preserve">מוחמד ח׳לאילה ואחמד בדראן </w:t>
      </w:r>
      <w:r>
        <w:rPr>
          <w:rFonts w:ascii="David" w:cs="David" w:eastAsia="David" w:hAnsi="David"/>
          <w:b/>
          <w:bCs/>
          <w:noProof/>
          <w:sz w:val="20"/>
          <w:szCs w:val="20"/>
          <w:rtl/>
        </w:rPr>
        <w:t xml:space="preserve">שנתון החברה הערבית בישראל 2023</w:t>
      </w:r>
      <w:r>
        <w:rPr>
          <w:rFonts w:ascii="David" w:cs="David" w:eastAsia="David" w:hAnsi="David"/>
          <w:noProof/>
          <w:sz w:val="20"/>
          <w:szCs w:val="20"/>
          <w:rtl/>
        </w:rPr>
        <w:t xml:space="preserve"> (2023).</w:t>
      </w:r>
    </w:p>
  </w:footnote>
  <w:footnote w:id="20">
    <w:p>
      <w:pPr>
        <w:bidi/>
        <w:spacing w:after="60"/>
        <w:jc w:val="both"/>
      </w:pPr>
      <w:r>
        <w:rPr>
          <w:rStyle w:val="FootnoteReference"/>
        </w:rPr>
        <w:footnoteRef/>
      </w:r>
      <w:r>
        <w:rPr>
          <w:rFonts w:ascii="David" w:cs="David" w:eastAsia="David" w:hAnsi="David"/>
          <w:noProof/>
          <w:sz w:val="20"/>
          <w:szCs w:val="20"/>
          <w:rtl/>
        </w:rPr>
        <w:t xml:space="preserve">קייס נאסר </w:t>
      </w:r>
      <w:r>
        <w:rPr>
          <w:rFonts w:ascii="David" w:cs="David" w:eastAsia="David" w:hAnsi="David"/>
          <w:b/>
          <w:bCs/>
          <w:noProof/>
          <w:sz w:val="20"/>
          <w:szCs w:val="20"/>
          <w:rtl/>
        </w:rPr>
        <w:t xml:space="preserve">תהליכי התכנון והעיור ביישובים הערביים בישראל</w:t>
      </w:r>
      <w:r>
        <w:rPr>
          <w:rFonts w:ascii="David" w:cs="David" w:eastAsia="David" w:hAnsi="David"/>
          <w:noProof/>
          <w:sz w:val="20"/>
          <w:szCs w:val="20"/>
          <w:rtl/>
        </w:rPr>
        <w:t xml:space="preserve"> (רביב שלו עורך 2020);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248–249, המכתיר את הקהילה הערבית "כמנגנון לשימור זהות וטריטוריה".</w:t>
      </w:r>
    </w:p>
  </w:footnote>
  <w:footnote w:id="21">
    <w:p>
      <w:pPr>
        <w:bidi/>
        <w:spacing w:after="60"/>
        <w:jc w:val="both"/>
      </w:pPr>
      <w:r>
        <w:rPr>
          <w:rStyle w:val="FootnoteReference"/>
        </w:rPr>
        <w:footnoteRef/>
      </w:r>
      <w:r>
        <w:rPr>
          <w:rFonts w:ascii="Times New Roman" w:cs="Times New Roman" w:eastAsia="Times New Roman" w:hAnsi="Times New Roman"/>
          <w:noProof/>
          <w:sz w:val="20"/>
          <w:szCs w:val="20"/>
        </w:rPr>
        <w:t xml:space="preserve">Nasr Kheir &amp; Boris A. Portnov, </w:t>
      </w:r>
      <w:r>
        <w:rPr>
          <w:rFonts w:ascii="Times New Roman" w:cs="Times New Roman" w:eastAsia="Times New Roman" w:hAnsi="Times New Roman"/>
          <w:i/>
          <w:iCs/>
          <w:noProof/>
          <w:sz w:val="20"/>
          <w:szCs w:val="20"/>
        </w:rPr>
        <w:t xml:space="preserve">Land Market Segmentation Along Ethnic Lines: Four Urban Localities in Israel as a Case Study</w:t>
      </w:r>
      <w:r>
        <w:rPr>
          <w:rFonts w:ascii="Times New Roman" w:cs="Times New Roman" w:eastAsia="Times New Roman" w:hAnsi="Times New Roman"/>
          <w:noProof/>
          <w:sz w:val="20"/>
          <w:szCs w:val="20"/>
        </w:rPr>
        <w:t xml:space="preserve">, 136 </w:t>
      </w:r>
      <w:r>
        <w:rPr>
          <w:rFonts w:ascii="Times New Roman" w:cs="Times New Roman" w:eastAsia="Times New Roman" w:hAnsi="Times New Roman"/>
          <w:smallCaps/>
          <w:noProof/>
          <w:sz w:val="20"/>
          <w:szCs w:val="20"/>
        </w:rPr>
        <w:t xml:space="preserve">Land Use Policy</w:t>
      </w:r>
      <w:r>
        <w:rPr>
          <w:rFonts w:ascii="Times New Roman" w:cs="Times New Roman" w:eastAsia="Times New Roman" w:hAnsi="Times New Roman"/>
          <w:noProof/>
          <w:sz w:val="20"/>
          <w:szCs w:val="20"/>
        </w:rPr>
        <w:t xml:space="preserve"> art. 106916 (2024)</w:t>
      </w:r>
      <w:r>
        <w:rPr>
          <w:rFonts w:ascii="David" w:cs="David" w:eastAsia="David" w:hAnsi="David"/>
          <w:noProof/>
          <w:sz w:val="20"/>
          <w:szCs w:val="20"/>
          <w:rtl/>
        </w:rPr>
        <w:t xml:space="preserve">.</w:t>
      </w:r>
    </w:p>
  </w:footnote>
  <w:footnote w:id="22">
    <w:p>
      <w:pPr>
        <w:bidi/>
        <w:spacing w:after="60"/>
        <w:jc w:val="both"/>
      </w:pPr>
      <w:r>
        <w:rPr>
          <w:rStyle w:val="FootnoteReference"/>
        </w:rPr>
        <w:footnoteRef/>
      </w:r>
      <w:r>
        <w:rPr>
          <w:rFonts w:ascii="David" w:cs="David" w:eastAsia="David" w:hAnsi="David"/>
          <w:noProof/>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3">
    <w:p>
      <w:pPr>
        <w:bidi/>
        <w:spacing w:after="60"/>
        <w:jc w:val="both"/>
      </w:pPr>
      <w:r>
        <w:rPr>
          <w:rStyle w:val="FootnoteReference"/>
        </w:rPr>
        <w:footnoteRef/>
      </w:r>
      <w:r>
        <w:rPr>
          <w:rFonts w:ascii="David" w:cs="David" w:eastAsia="David" w:hAnsi="David"/>
          <w:noProof/>
          <w:sz w:val="20"/>
          <w:szCs w:val="20"/>
          <w:rtl/>
        </w:rPr>
        <w:t xml:space="preserve">לדפוס הדיוני ראו יעקב שקד </w:t>
      </w:r>
      <w:r>
        <w:rPr>
          <w:rFonts w:ascii="David" w:cs="David" w:eastAsia="David" w:hAnsi="David"/>
          <w:b/>
          <w:bCs/>
          <w:noProof/>
          <w:sz w:val="20"/>
          <w:szCs w:val="20"/>
          <w:rtl/>
        </w:rPr>
        <w:t xml:space="preserve">פינוי מקרקעין – הליכים והלכות</w:t>
      </w:r>
      <w:r>
        <w:rPr>
          <w:rFonts w:ascii="David" w:cs="David" w:eastAsia="David" w:hAnsi="David"/>
          <w:noProof/>
          <w:sz w:val="20"/>
          <w:szCs w:val="20"/>
          <w:rtl/>
        </w:rPr>
        <w:t xml:space="preserve"> 427–429 (מהדורה שנייה 2024) (להלן: שקד).</w:t>
      </w:r>
    </w:p>
  </w:footnote>
  <w:footnote w:id="24">
    <w:p>
      <w:pPr>
        <w:bidi/>
        <w:spacing w:after="60"/>
        <w:jc w:val="both"/>
      </w:pPr>
      <w:r>
        <w:rPr>
          <w:rStyle w:val="FootnoteReference"/>
        </w:rPr>
        <w:footnoteRef/>
      </w:r>
      <w:r>
        <w:rPr>
          <w:rFonts w:ascii="David" w:cs="David" w:eastAsia="David" w:hAnsi="David"/>
          <w:noProof/>
          <w:sz w:val="20"/>
          <w:szCs w:val="20"/>
          <w:rtl/>
        </w:rPr>
        <w:t xml:space="preserve">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 (להלן: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בכך נהפכה ההלכה הקודמת: בר"ע 178/70 </w:t>
      </w:r>
      <w:r>
        <w:rPr>
          <w:rFonts w:ascii="David" w:cs="David" w:eastAsia="David" w:hAnsi="David"/>
          <w:b/>
          <w:bCs/>
          <w:noProof/>
          <w:sz w:val="20"/>
          <w:szCs w:val="20"/>
          <w:rtl/>
        </w:rPr>
        <w:t xml:space="preserve">בוקר נ׳ חברה אנגלו-ישראלית לניהול ואחריות בע"מ</w:t>
      </w:r>
      <w:r>
        <w:rPr>
          <w:rFonts w:ascii="David" w:cs="David" w:eastAsia="David" w:hAnsi="David"/>
          <w:noProof/>
          <w:sz w:val="20"/>
          <w:szCs w:val="20"/>
          <w:rtl/>
        </w:rPr>
        <w:t xml:space="preserve">, פ"ד כה(2) 121 (1971). לדיון עדכני ראו חיים זנדברג "עסקה בזכות אובליגטורית או בזכות במקרקעין? תכלית, לשון ואקטיביזם שיפוטי" </w:t>
      </w:r>
      <w:r>
        <w:rPr>
          <w:rFonts w:ascii="David" w:cs="David" w:eastAsia="David" w:hAnsi="David"/>
          <w:b/>
          <w:bCs/>
          <w:noProof/>
          <w:sz w:val="20"/>
          <w:szCs w:val="20"/>
          <w:rtl/>
        </w:rPr>
        <w:t xml:space="preserve">משפטים על אתר</w:t>
      </w:r>
      <w:r>
        <w:rPr>
          <w:rFonts w:ascii="David" w:cs="David" w:eastAsia="David" w:hAnsi="David"/>
          <w:noProof/>
          <w:sz w:val="20"/>
          <w:szCs w:val="20"/>
          <w:rtl/>
        </w:rPr>
        <w:t xml:space="preserve"> יג 79 (התש"ף).</w:t>
      </w:r>
    </w:p>
  </w:footnote>
  <w:footnote w:id="25">
    <w:p>
      <w:pPr>
        <w:bidi/>
        <w:spacing w:after="60"/>
        <w:jc w:val="both"/>
      </w:pPr>
      <w:r>
        <w:rPr>
          <w:rStyle w:val="FootnoteReference"/>
        </w:rPr>
        <w:footnoteRef/>
      </w:r>
      <w:r>
        <w:rPr>
          <w:rFonts w:ascii="David" w:cs="David" w:eastAsia="David" w:hAnsi="David"/>
          <w:noProof/>
          <w:sz w:val="20"/>
          <w:szCs w:val="20"/>
          <w:rtl/>
        </w:rPr>
        <w:t xml:space="preserve">ע"א 1516/99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פ"ד נה(4) 730 (2001).</w:t>
      </w:r>
    </w:p>
  </w:footnote>
  <w:footnote w:id="26">
    <w:p>
      <w:pPr>
        <w:bidi/>
        <w:spacing w:after="60"/>
        <w:jc w:val="both"/>
      </w:pPr>
      <w:r>
        <w:rPr>
          <w:rStyle w:val="FootnoteReference"/>
        </w:rPr>
        <w:footnoteRef/>
      </w:r>
      <w:r>
        <w:rPr>
          <w:rFonts w:ascii="David" w:cs="David" w:eastAsia="David" w:hAnsi="David"/>
          <w:noProof/>
          <w:sz w:val="20"/>
          <w:szCs w:val="20"/>
          <w:rtl/>
        </w:rPr>
        <w:t xml:space="preserve">ס׳ 9 לחוק המקרקעין. להתנגשות בין התחייבויות נוגדות בעסקאות מתנה משפחתיות ראו בע"מ 2311/22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13.4.2022). מחדלו של הקונה מרישום הערת אזהרה אינו נזקף לחובתו מול הנושה המעקל: דוד בר-אופיר </w:t>
      </w:r>
      <w:r>
        <w:rPr>
          <w:rFonts w:ascii="David" w:cs="David" w:eastAsia="David" w:hAnsi="David"/>
          <w:b/>
          <w:bCs/>
          <w:noProof/>
          <w:sz w:val="20"/>
          <w:szCs w:val="20"/>
          <w:rtl/>
        </w:rPr>
        <w:t xml:space="preserve">הוצאה לפועל – הליכים והלכות</w:t>
      </w:r>
      <w:r>
        <w:rPr>
          <w:rFonts w:ascii="David" w:cs="David" w:eastAsia="David" w:hAnsi="David"/>
          <w:noProof/>
          <w:sz w:val="20"/>
          <w:szCs w:val="20"/>
          <w:rtl/>
        </w:rPr>
        <w:t xml:space="preserve"> 687–691 (מהדורה שביעית 2018); ע"א 3911/01 </w:t>
      </w:r>
      <w:r>
        <w:rPr>
          <w:rFonts w:ascii="David" w:cs="David" w:eastAsia="David" w:hAnsi="David"/>
          <w:b/>
          <w:bCs/>
          <w:noProof/>
          <w:sz w:val="20"/>
          <w:szCs w:val="20"/>
          <w:rtl/>
        </w:rPr>
        <w:t xml:space="preserve">כספי נ׳ נס</w:t>
      </w:r>
      <w:r>
        <w:rPr>
          <w:rFonts w:ascii="David" w:cs="David" w:eastAsia="David" w:hAnsi="David"/>
          <w:noProof/>
          <w:sz w:val="20"/>
          <w:szCs w:val="20"/>
          <w:rtl/>
        </w:rPr>
        <w:t xml:space="preserve">, פ"ד נו(6) 752 (2002). ממילא בסכסוכים אלה איש אינו רושם הערות אזהרה, ובמקרקעין בלתי רשומים אף אין אפשרות לרשמן.</w:t>
      </w:r>
    </w:p>
  </w:footnote>
  <w:footnote w:id="27">
    <w:p>
      <w:pPr>
        <w:bidi/>
        <w:spacing w:after="60"/>
        <w:jc w:val="both"/>
      </w:pPr>
      <w:r>
        <w:rPr>
          <w:rStyle w:val="FootnoteReference"/>
        </w:rPr>
        <w:footnoteRef/>
      </w:r>
      <w:r>
        <w:rPr>
          <w:rFonts w:ascii="David" w:cs="David" w:eastAsia="David" w:hAnsi="David"/>
          <w:noProof/>
          <w:sz w:val="20"/>
          <w:szCs w:val="20"/>
          <w:rtl/>
        </w:rPr>
        <w:t xml:space="preserve">ע"א 3205/00 </w:t>
      </w:r>
      <w:r>
        <w:rPr>
          <w:rFonts w:ascii="David" w:cs="David" w:eastAsia="David" w:hAnsi="David"/>
          <w:b/>
          <w:bCs/>
          <w:noProof/>
          <w:sz w:val="20"/>
          <w:szCs w:val="20"/>
          <w:rtl/>
        </w:rPr>
        <w:t xml:space="preserve">נאטור נ׳ יאסין</w:t>
      </w:r>
      <w:r>
        <w:rPr>
          <w:rFonts w:ascii="David" w:cs="David" w:eastAsia="David" w:hAnsi="David"/>
          <w:noProof/>
          <w:sz w:val="20"/>
          <w:szCs w:val="20"/>
          <w:rtl/>
        </w:rPr>
        <w:t xml:space="preserve">, פ"ד נה(4) 145 (2001); 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25</w:t>
      </w:r>
      <w:r>
        <w:rPr>
          <w:rFonts w:ascii="David" w:cs="David" w:eastAsia="David" w:hAnsi="David"/>
          <w:noProof/>
          <w:sz w:val="20"/>
          <w:szCs w:val="20"/>
          <w:rtl/>
        </w:rPr>
        <w:t xml:space="preserve">; ויסמן, </w:t>
      </w:r>
      <w:r>
        <w:rPr>
          <w:rFonts w:ascii="David" w:cs="David" w:eastAsia="David" w:hAnsi="David"/>
          <w:noProof/>
          <w:sz w:val="20"/>
          <w:szCs w:val="20"/>
          <w:rtl/>
        </w:rPr>
        <w:t xml:space="preserve">לעיל ה"ש 18</w:t>
      </w:r>
      <w:r>
        <w:rPr>
          <w:rFonts w:ascii="David" w:cs="David" w:eastAsia="David" w:hAnsi="David"/>
          <w:noProof/>
          <w:sz w:val="20"/>
          <w:szCs w:val="20"/>
          <w:rtl/>
        </w:rPr>
        <w:t xml:space="preserve">.</w:t>
      </w:r>
    </w:p>
  </w:footnote>
  <w:footnote w:id="28">
    <w:p>
      <w:pPr>
        <w:bidi/>
        <w:spacing w:after="60"/>
        <w:jc w:val="both"/>
      </w:pPr>
      <w:r>
        <w:rPr>
          <w:rStyle w:val="FootnoteReference"/>
        </w:rPr>
        <w:footnoteRef/>
      </w:r>
      <w:r>
        <w:rPr>
          <w:rFonts w:ascii="David" w:cs="David" w:eastAsia="David" w:hAnsi="David"/>
          <w:noProof/>
          <w:sz w:val="20"/>
          <w:szCs w:val="20"/>
          <w:rtl/>
        </w:rPr>
        <w:t xml:space="preserve">ע"א 3274/18 </w:t>
      </w:r>
      <w:r>
        <w:rPr>
          <w:rFonts w:ascii="David" w:cs="David" w:eastAsia="David" w:hAnsi="David"/>
          <w:b/>
          <w:bCs/>
          <w:noProof/>
          <w:sz w:val="20"/>
          <w:szCs w:val="20"/>
          <w:rtl/>
        </w:rPr>
        <w:t xml:space="preserve">אבו אסמעיל נ׳ סלימאן</w:t>
      </w:r>
      <w:r>
        <w:rPr>
          <w:rFonts w:ascii="David" w:cs="David" w:eastAsia="David" w:hAnsi="David"/>
          <w:noProof/>
          <w:sz w:val="20"/>
          <w:szCs w:val="20"/>
          <w:rtl/>
        </w:rPr>
        <w:t xml:space="preserve"> (נבו 28.7.2020).</w:t>
      </w:r>
    </w:p>
  </w:footnote>
  <w:footnote w:id="29">
    <w:p>
      <w:pPr>
        <w:bidi/>
        <w:spacing w:after="60"/>
        <w:jc w:val="both"/>
      </w:pPr>
      <w:r>
        <w:rPr>
          <w:rStyle w:val="FootnoteReference"/>
        </w:rPr>
        <w:footnoteRef/>
      </w:r>
      <w:r>
        <w:rPr>
          <w:rFonts w:ascii="David" w:cs="David" w:eastAsia="David" w:hAnsi="David"/>
          <w:noProof/>
          <w:sz w:val="20"/>
          <w:szCs w:val="20"/>
          <w:rtl/>
        </w:rPr>
        <w:t xml:space="preserve">ת"א (שלום נצ׳) 19781-06-18 </w:t>
      </w:r>
      <w:r>
        <w:rPr>
          <w:rFonts w:ascii="David" w:cs="David" w:eastAsia="David" w:hAnsi="David"/>
          <w:b/>
          <w:bCs/>
          <w:noProof/>
          <w:sz w:val="20"/>
          <w:szCs w:val="20"/>
          <w:rtl/>
        </w:rPr>
        <w:t xml:space="preserve">אבו ליל נ׳ פאהום</w:t>
      </w:r>
      <w:r>
        <w:rPr>
          <w:rFonts w:ascii="David" w:cs="David" w:eastAsia="David" w:hAnsi="David"/>
          <w:noProof/>
          <w:sz w:val="20"/>
          <w:szCs w:val="20"/>
          <w:rtl/>
        </w:rPr>
        <w:t xml:space="preserve"> (נבו 18.10.2023).</w:t>
      </w:r>
    </w:p>
  </w:footnote>
  <w:footnote w:id="30">
    <w:p>
      <w:pPr>
        <w:bidi/>
        <w:spacing w:after="60"/>
        <w:jc w:val="both"/>
      </w:pPr>
      <w:r>
        <w:rPr>
          <w:rStyle w:val="FootnoteReference"/>
        </w:rPr>
        <w:footnoteRef/>
      </w:r>
      <w:r>
        <w:rPr>
          <w:rFonts w:ascii="David" w:cs="David" w:eastAsia="David" w:hAnsi="David"/>
          <w:noProof/>
          <w:sz w:val="20"/>
          <w:szCs w:val="20"/>
          <w:rtl/>
        </w:rPr>
        <w:t xml:space="preserve">ס׳ 14(ב) לחוק השליחות, התשכ"ה–1965; אהרן ברק </w:t>
      </w:r>
      <w:r>
        <w:rPr>
          <w:rFonts w:ascii="David" w:cs="David" w:eastAsia="David" w:hAnsi="David"/>
          <w:b/>
          <w:bCs/>
          <w:noProof/>
          <w:sz w:val="20"/>
          <w:szCs w:val="20"/>
          <w:rtl/>
        </w:rPr>
        <w:t xml:space="preserve">חוק השליחות</w:t>
      </w:r>
      <w:r>
        <w:rPr>
          <w:rFonts w:ascii="David" w:cs="David" w:eastAsia="David" w:hAnsi="David"/>
          <w:noProof/>
          <w:sz w:val="20"/>
          <w:szCs w:val="20"/>
          <w:rtl/>
        </w:rPr>
        <w:t xml:space="preserve"> כרך ב 1241–1245 (מהדורה שנייה 1996); ע"פ 114/63 </w:t>
      </w:r>
      <w:r>
        <w:rPr>
          <w:rFonts w:ascii="David" w:cs="David" w:eastAsia="David" w:hAnsi="David"/>
          <w:b/>
          <w:bCs/>
          <w:noProof/>
          <w:sz w:val="20"/>
          <w:szCs w:val="20"/>
          <w:rtl/>
        </w:rPr>
        <w:t xml:space="preserve">קר נ׳ היועץ המשפטי לממשלה</w:t>
      </w:r>
      <w:r>
        <w:rPr>
          <w:rFonts w:ascii="David" w:cs="David" w:eastAsia="David" w:hAnsi="David"/>
          <w:noProof/>
          <w:sz w:val="20"/>
          <w:szCs w:val="20"/>
          <w:rtl/>
        </w:rPr>
        <w:t xml:space="preserve">, פ"ד יח(3) 561, 564 (1964). ברק מטעים כי הכינוי "בלתי חוזר" "אינו מוצלח", שכן אי ההדירות נובעת מן האינטרס המובטח ולא מן הכותרת (שם, בעמ׳ 1242).</w:t>
      </w:r>
    </w:p>
  </w:footnote>
  <w:footnote w:id="31">
    <w:p>
      <w:pPr>
        <w:bidi/>
        <w:spacing w:after="60"/>
        <w:jc w:val="both"/>
      </w:pPr>
      <w:r>
        <w:rPr>
          <w:rStyle w:val="FootnoteReference"/>
        </w:rPr>
        <w:footnoteRef/>
      </w:r>
      <w:r>
        <w:rPr>
          <w:rFonts w:ascii="David" w:cs="David" w:eastAsia="David" w:hAnsi="David"/>
          <w:noProof/>
          <w:sz w:val="20"/>
          <w:szCs w:val="20"/>
          <w:rtl/>
        </w:rPr>
        <w:t xml:space="preserve">ע"א 1559/99 </w:t>
      </w:r>
      <w:r>
        <w:rPr>
          <w:rFonts w:ascii="David" w:cs="David" w:eastAsia="David" w:hAnsi="David"/>
          <w:b/>
          <w:bCs/>
          <w:noProof/>
          <w:sz w:val="20"/>
          <w:szCs w:val="20"/>
          <w:rtl/>
        </w:rPr>
        <w:t xml:space="preserve">צימבלר נ׳ תורג׳מן</w:t>
      </w:r>
      <w:r>
        <w:rPr>
          <w:rFonts w:ascii="David" w:cs="David" w:eastAsia="David" w:hAnsi="David"/>
          <w:noProof/>
          <w:sz w:val="20"/>
          <w:szCs w:val="20"/>
          <w:rtl/>
        </w:rPr>
        <w:t xml:space="preserve">, פ"ד נז(5) 49 (2003).</w:t>
      </w:r>
    </w:p>
  </w:footnote>
  <w:footnote w:id="3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בדארנה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7</w:t>
      </w:r>
      <w:r>
        <w:rPr>
          <w:rFonts w:ascii="David" w:cs="David" w:eastAsia="David" w:hAnsi="David"/>
          <w:noProof/>
          <w:sz w:val="20"/>
          <w:szCs w:val="20"/>
          <w:rtl/>
        </w:rPr>
        <w:t xml:space="preserve">;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327 ה"ש 2.</w:t>
      </w:r>
    </w:p>
  </w:footnote>
  <w:footnote w:id="33">
    <w:p>
      <w:pPr>
        <w:bidi/>
        <w:spacing w:after="60"/>
        <w:jc w:val="both"/>
      </w:pPr>
      <w:r>
        <w:rPr>
          <w:rStyle w:val="FootnoteReference"/>
        </w:rPr>
        <w:footnoteRef/>
      </w:r>
      <w:r>
        <w:rPr>
          <w:rFonts w:ascii="David" w:cs="David" w:eastAsia="David" w:hAnsi="David"/>
          <w:noProof/>
          <w:sz w:val="20"/>
          <w:szCs w:val="20"/>
          <w:rtl/>
        </w:rPr>
        <w:t xml:space="preserve">ע"א 986/93 </w:t>
      </w:r>
      <w:r>
        <w:rPr>
          <w:rFonts w:ascii="David" w:cs="David" w:eastAsia="David" w:hAnsi="David"/>
          <w:b/>
          <w:bCs/>
          <w:noProof/>
          <w:sz w:val="20"/>
          <w:szCs w:val="20"/>
          <w:rtl/>
        </w:rPr>
        <w:t xml:space="preserve">קלמר נ׳ גיא</w:t>
      </w:r>
      <w:r>
        <w:rPr>
          <w:rFonts w:ascii="David" w:cs="David" w:eastAsia="David" w:hAnsi="David"/>
          <w:noProof/>
          <w:sz w:val="20"/>
          <w:szCs w:val="20"/>
          <w:rtl/>
        </w:rPr>
        <w:t xml:space="preserve">, פ"ד נ(1) 185 (1996); נילי כהן "צורת החוזה"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לח 383 (התשמ"ט).</w:t>
      </w:r>
    </w:p>
  </w:footnote>
  <w:footnote w:id="34">
    <w:p>
      <w:pPr>
        <w:bidi/>
        <w:spacing w:after="60"/>
        <w:jc w:val="both"/>
      </w:pPr>
      <w:r>
        <w:rPr>
          <w:rStyle w:val="FootnoteReference"/>
        </w:rPr>
        <w:footnoteRef/>
      </w:r>
      <w:r>
        <w:rPr>
          <w:rFonts w:ascii="David" w:cs="David" w:eastAsia="David" w:hAnsi="David"/>
          <w:noProof/>
          <w:sz w:val="20"/>
          <w:szCs w:val="20"/>
          <w:rtl/>
        </w:rPr>
        <w:t xml:space="preserve">ע"א 649/73 </w:t>
      </w:r>
      <w:r>
        <w:rPr>
          <w:rFonts w:ascii="David" w:cs="David" w:eastAsia="David" w:hAnsi="David"/>
          <w:b/>
          <w:bCs/>
          <w:noProof/>
          <w:sz w:val="20"/>
          <w:szCs w:val="20"/>
          <w:rtl/>
        </w:rPr>
        <w:t xml:space="preserve">קפולסקי נ׳ גני גולן בע"מ</w:t>
      </w:r>
      <w:r>
        <w:rPr>
          <w:rFonts w:ascii="David" w:cs="David" w:eastAsia="David" w:hAnsi="David"/>
          <w:noProof/>
          <w:sz w:val="20"/>
          <w:szCs w:val="20"/>
          <w:rtl/>
        </w:rPr>
        <w:t xml:space="preserve">, פ"ד כח(2) 291 (1974); עניין </w:t>
      </w:r>
      <w:r>
        <w:rPr>
          <w:rFonts w:ascii="David" w:cs="David" w:eastAsia="David" w:hAnsi="David"/>
          <w:b/>
          <w:bCs/>
          <w:noProof/>
          <w:sz w:val="20"/>
          <w:szCs w:val="20"/>
          <w:rtl/>
        </w:rPr>
        <w:t xml:space="preserve">גרוסמן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w:t>
      </w:r>
      <w:r>
        <w:rPr>
          <w:rFonts w:ascii="David" w:cs="David" w:eastAsia="David" w:hAnsi="David"/>
          <w:noProof/>
          <w:sz w:val="20"/>
          <w:szCs w:val="20"/>
          <w:rtl/>
        </w:rPr>
        <w:t xml:space="preserve">; דניאל פרידמן ונילי כהן </w:t>
      </w:r>
      <w:r>
        <w:rPr>
          <w:rFonts w:ascii="David" w:cs="David" w:eastAsia="David" w:hAnsi="David"/>
          <w:b/>
          <w:bCs/>
          <w:noProof/>
          <w:sz w:val="20"/>
          <w:szCs w:val="20"/>
          <w:rtl/>
        </w:rPr>
        <w:t xml:space="preserve">חוזים</w:t>
      </w:r>
      <w:r>
        <w:rPr>
          <w:rFonts w:ascii="David" w:cs="David" w:eastAsia="David" w:hAnsi="David"/>
          <w:noProof/>
          <w:sz w:val="20"/>
          <w:szCs w:val="20"/>
          <w:rtl/>
        </w:rPr>
        <w:t xml:space="preserve"> כרך א 493–525, 500, 535–541 (מהדורה שנייה 2018) (להלן: פרידמן וכהן), הסוקרים גם את קולות הריסון המבקשים לצמצם את ההלכה למקרים של מעשה עשוי.</w:t>
      </w:r>
    </w:p>
  </w:footnote>
  <w:footnote w:id="35">
    <w:p>
      <w:pPr>
        <w:bidi/>
        <w:spacing w:after="60"/>
        <w:jc w:val="both"/>
      </w:pPr>
      <w:r>
        <w:rPr>
          <w:rStyle w:val="FootnoteReference"/>
        </w:rPr>
        <w:footnoteRef/>
      </w:r>
      <w:r>
        <w:rPr>
          <w:rFonts w:ascii="David" w:cs="David" w:eastAsia="David" w:hAnsi="David"/>
          <w:noProof/>
          <w:sz w:val="20"/>
          <w:szCs w:val="20"/>
          <w:rtl/>
        </w:rPr>
        <w:t xml:space="preserve">ע"א 6766/11 </w:t>
      </w:r>
      <w:r>
        <w:rPr>
          <w:rFonts w:ascii="David" w:cs="David" w:eastAsia="David" w:hAnsi="David"/>
          <w:b/>
          <w:bCs/>
          <w:noProof/>
          <w:sz w:val="20"/>
          <w:szCs w:val="20"/>
          <w:rtl/>
        </w:rPr>
        <w:t xml:space="preserve">חג׳אזי נ׳ חג׳אזי</w:t>
      </w:r>
      <w:r>
        <w:rPr>
          <w:rFonts w:ascii="David" w:cs="David" w:eastAsia="David" w:hAnsi="David"/>
          <w:noProof/>
          <w:sz w:val="20"/>
          <w:szCs w:val="20"/>
          <w:rtl/>
        </w:rPr>
        <w:t xml:space="preserve"> (נבו 23.6.2013);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540.</w:t>
      </w:r>
    </w:p>
  </w:footnote>
  <w:footnote w:id="36">
    <w:p>
      <w:pPr>
        <w:bidi/>
        <w:spacing w:after="60"/>
        <w:jc w:val="both"/>
      </w:pPr>
      <w:r>
        <w:rPr>
          <w:rStyle w:val="FootnoteReference"/>
        </w:rPr>
        <w:footnoteRef/>
      </w:r>
      <w:r>
        <w:rPr>
          <w:rFonts w:ascii="David" w:cs="David" w:eastAsia="David" w:hAnsi="David"/>
          <w:noProof/>
          <w:sz w:val="20"/>
          <w:szCs w:val="20"/>
          <w:rtl/>
        </w:rPr>
        <w:t xml:space="preserve">ע"א 2110/09 </w:t>
      </w:r>
      <w:r>
        <w:rPr>
          <w:rFonts w:ascii="David" w:cs="David" w:eastAsia="David" w:hAnsi="David"/>
          <w:b/>
          <w:bCs/>
          <w:noProof/>
          <w:sz w:val="20"/>
          <w:szCs w:val="20"/>
          <w:rtl/>
        </w:rPr>
        <w:t xml:space="preserve">קדור נ׳ דקסה</w:t>
      </w:r>
      <w:r>
        <w:rPr>
          <w:rFonts w:ascii="David" w:cs="David" w:eastAsia="David" w:hAnsi="David"/>
          <w:noProof/>
          <w:sz w:val="20"/>
          <w:szCs w:val="20"/>
          <w:rtl/>
        </w:rPr>
        <w:t xml:space="preserve">, פס׳ 13 (נבו 20.9.2012);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485–488.</w:t>
      </w:r>
    </w:p>
  </w:footnote>
  <w:footnote w:id="37">
    <w:p>
      <w:pPr>
        <w:bidi/>
        <w:spacing w:after="60"/>
        <w:jc w:val="both"/>
      </w:pPr>
      <w:r>
        <w:rPr>
          <w:rStyle w:val="FootnoteReference"/>
        </w:rPr>
        <w:footnoteRef/>
      </w:r>
      <w:r>
        <w:rPr>
          <w:rFonts w:ascii="David" w:cs="David" w:eastAsia="David" w:hAnsi="David"/>
          <w:noProof/>
          <w:sz w:val="20"/>
          <w:szCs w:val="20"/>
          <w:rtl/>
        </w:rPr>
        <w:t xml:space="preserve">ע"א 749/18 </w:t>
      </w:r>
      <w:r>
        <w:rPr>
          <w:rFonts w:ascii="David" w:cs="David" w:eastAsia="David" w:hAnsi="David"/>
          <w:b/>
          <w:bCs/>
          <w:noProof/>
          <w:sz w:val="20"/>
          <w:szCs w:val="20"/>
          <w:rtl/>
        </w:rPr>
        <w:t xml:space="preserve">עיזבון אבו ג׳נימה נ׳ עיזבון אבו ג׳נימה</w:t>
      </w:r>
      <w:r>
        <w:rPr>
          <w:rFonts w:ascii="David" w:cs="David" w:eastAsia="David" w:hAnsi="David"/>
          <w:noProof/>
          <w:sz w:val="20"/>
          <w:szCs w:val="20"/>
          <w:rtl/>
        </w:rPr>
        <w:t xml:space="preserve"> (נבו 26.7.2020) (להלן: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וראו גם ע"א 8234/09 </w:t>
      </w:r>
      <w:r>
        <w:rPr>
          <w:rFonts w:ascii="David" w:cs="David" w:eastAsia="David" w:hAnsi="David"/>
          <w:b/>
          <w:bCs/>
          <w:noProof/>
          <w:sz w:val="20"/>
          <w:szCs w:val="20"/>
          <w:rtl/>
        </w:rPr>
        <w:t xml:space="preserve">שם טוב נ׳ פרץ</w:t>
      </w:r>
      <w:r>
        <w:rPr>
          <w:rFonts w:ascii="David" w:cs="David" w:eastAsia="David" w:hAnsi="David"/>
          <w:noProof/>
          <w:sz w:val="20"/>
          <w:szCs w:val="20"/>
          <w:rtl/>
        </w:rPr>
        <w:t xml:space="preserve"> (נבו 21.3.2011).</w:t>
      </w:r>
    </w:p>
  </w:footnote>
  <w:footnote w:id="38">
    <w:p>
      <w:pPr>
        <w:bidi/>
        <w:spacing w:after="60"/>
        <w:jc w:val="both"/>
      </w:pPr>
      <w:r>
        <w:rPr>
          <w:rStyle w:val="FootnoteReference"/>
        </w:rPr>
        <w:footnoteRef/>
      </w:r>
      <w:r>
        <w:rPr>
          <w:rFonts w:ascii="David" w:cs="David" w:eastAsia="David" w:hAnsi="David"/>
          <w:noProof/>
          <w:sz w:val="20"/>
          <w:szCs w:val="20"/>
          <w:rtl/>
        </w:rPr>
        <w:t xml:space="preserve">ס׳ 5 לחוק המתנה, התשכ"ח–1968; מרדכי אלפרדו ראבילו </w:t>
      </w:r>
      <w:r>
        <w:rPr>
          <w:rFonts w:ascii="David" w:cs="David" w:eastAsia="David" w:hAnsi="David"/>
          <w:b/>
          <w:bCs/>
          <w:noProof/>
          <w:sz w:val="20"/>
          <w:szCs w:val="20"/>
          <w:rtl/>
        </w:rPr>
        <w:t xml:space="preserve">חוק המתנה, תשכ"ח–1968</w:t>
      </w:r>
      <w:r>
        <w:rPr>
          <w:rFonts w:ascii="David" w:cs="David" w:eastAsia="David" w:hAnsi="David"/>
          <w:noProof/>
          <w:sz w:val="20"/>
          <w:szCs w:val="20"/>
          <w:rtl/>
        </w:rPr>
        <w:t xml:space="preserve"> 331–346, 344 ואילך (פירוש לחוקי החוזים מיסודו של ג׳ טדסקי, מהדורה שנייה 1996); ולפרשנות המקילה של דרישת הכתב במתנה ראו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534–535.</w:t>
      </w:r>
    </w:p>
  </w:footnote>
  <w:footnote w:id="39">
    <w:p>
      <w:pPr>
        <w:bidi/>
        <w:spacing w:after="60"/>
        <w:jc w:val="both"/>
      </w:pPr>
      <w:r>
        <w:rPr>
          <w:rStyle w:val="FootnoteReference"/>
        </w:rPr>
        <w:footnoteRef/>
      </w:r>
      <w:r>
        <w:rPr>
          <w:rFonts w:ascii="David" w:cs="David" w:eastAsia="David" w:hAnsi="David"/>
          <w:noProof/>
          <w:sz w:val="20"/>
          <w:szCs w:val="20"/>
          <w:rtl/>
        </w:rPr>
        <w:t xml:space="preserve">עמ"ש (מחוזי מר׳) 52601-10-23 </w:t>
      </w:r>
      <w:r>
        <w:rPr>
          <w:rFonts w:ascii="David" w:cs="David" w:eastAsia="David" w:hAnsi="David"/>
          <w:b/>
          <w:bCs/>
          <w:noProof/>
          <w:sz w:val="20"/>
          <w:szCs w:val="20"/>
          <w:rtl/>
        </w:rPr>
        <w:t xml:space="preserve">א.א. נ׳ אר.א</w:t>
      </w:r>
      <w:r>
        <w:rPr>
          <w:rFonts w:ascii="David" w:cs="David" w:eastAsia="David" w:hAnsi="David"/>
          <w:noProof/>
          <w:sz w:val="20"/>
          <w:szCs w:val="20"/>
          <w:rtl/>
        </w:rPr>
        <w:t xml:space="preserve"> (נבו 1.11.2024);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345–346.</w:t>
      </w:r>
    </w:p>
  </w:footnote>
  <w:footnote w:id="40">
    <w:p>
      <w:pPr>
        <w:bidi/>
        <w:spacing w:after="60"/>
        <w:jc w:val="both"/>
      </w:pPr>
      <w:r>
        <w:rPr>
          <w:rStyle w:val="FootnoteReference"/>
        </w:rPr>
        <w:footnoteRef/>
      </w:r>
      <w:r>
        <w:rPr>
          <w:rFonts w:ascii="David" w:cs="David" w:eastAsia="David" w:hAnsi="David"/>
          <w:noProof/>
          <w:sz w:val="20"/>
          <w:szCs w:val="20"/>
          <w:rtl/>
        </w:rPr>
        <w:t xml:space="preserve">תמ"ש (משפחה ת"א) 18541-01-22 </w:t>
      </w:r>
      <w:r>
        <w:rPr>
          <w:rFonts w:ascii="David" w:cs="David" w:eastAsia="David" w:hAnsi="David"/>
          <w:b/>
          <w:bCs/>
          <w:noProof/>
          <w:sz w:val="20"/>
          <w:szCs w:val="20"/>
          <w:rtl/>
        </w:rPr>
        <w:t xml:space="preserve">פלונים נ׳ אלמונים</w:t>
      </w:r>
      <w:r>
        <w:rPr>
          <w:rFonts w:ascii="David" w:cs="David" w:eastAsia="David" w:hAnsi="David"/>
          <w:noProof/>
          <w:sz w:val="20"/>
          <w:szCs w:val="20"/>
          <w:rtl/>
        </w:rPr>
        <w:t xml:space="preserve"> (נבו 15.1.2023).</w:t>
      </w:r>
    </w:p>
  </w:footnote>
  <w:footnote w:id="41">
    <w:p>
      <w:pPr>
        <w:bidi/>
        <w:spacing w:after="60"/>
        <w:jc w:val="both"/>
      </w:pPr>
      <w:r>
        <w:rPr>
          <w:rStyle w:val="FootnoteReference"/>
        </w:rPr>
        <w:footnoteRef/>
      </w:r>
      <w:r>
        <w:rPr>
          <w:rFonts w:ascii="David" w:cs="David" w:eastAsia="David" w:hAnsi="David"/>
          <w:noProof/>
          <w:sz w:val="20"/>
          <w:szCs w:val="20"/>
          <w:rtl/>
        </w:rPr>
        <w:t xml:space="preserve">ע"א 6588/12 </w:t>
      </w:r>
      <w:r>
        <w:rPr>
          <w:rFonts w:ascii="David" w:cs="David" w:eastAsia="David" w:hAnsi="David"/>
          <w:b/>
          <w:bCs/>
          <w:noProof/>
          <w:sz w:val="20"/>
          <w:szCs w:val="20"/>
          <w:rtl/>
        </w:rPr>
        <w:t xml:space="preserve">כבהה נ׳ כבהה</w:t>
      </w:r>
      <w:r>
        <w:rPr>
          <w:rFonts w:ascii="David" w:cs="David" w:eastAsia="David" w:hAnsi="David"/>
          <w:noProof/>
          <w:sz w:val="20"/>
          <w:szCs w:val="20"/>
          <w:rtl/>
        </w:rPr>
        <w:t xml:space="preserve"> (נבו 24.12.2014) (להלן: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לעיקרון האנגלי ראו להלן פרק ו.1.4. ויוער כי שורשי הפרקטיקה בדין הקודם: בתקופת המג׳לה השלימה מסירת החזקה את המתנה גם ללא רישום, וזיכרון מוסדי זה מוסיף להזין את הפרקטיקה עד היום;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42">
    <w:p>
      <w:pPr>
        <w:bidi/>
        <w:spacing w:after="60"/>
        <w:jc w:val="both"/>
      </w:pPr>
      <w:r>
        <w:rPr>
          <w:rStyle w:val="FootnoteReference"/>
        </w:rPr>
        <w:footnoteRef/>
      </w:r>
      <w:r>
        <w:rPr>
          <w:rFonts w:ascii="David" w:cs="David" w:eastAsia="David" w:hAnsi="David"/>
          <w:noProof/>
          <w:sz w:val="20"/>
          <w:szCs w:val="20"/>
          <w:rtl/>
        </w:rPr>
        <w:t xml:space="preserve">נינה זלצמן "רישיון במקרקעין"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מב 24 (התשנ"ה).</w:t>
      </w:r>
    </w:p>
  </w:footnote>
  <w:footnote w:id="43">
    <w:p>
      <w:pPr>
        <w:bidi/>
        <w:spacing w:after="60"/>
        <w:jc w:val="both"/>
      </w:pPr>
      <w:r>
        <w:rPr>
          <w:rStyle w:val="FootnoteReference"/>
        </w:rPr>
        <w:footnoteRef/>
      </w:r>
      <w:r>
        <w:rPr>
          <w:rFonts w:ascii="David" w:cs="David" w:eastAsia="David" w:hAnsi="David"/>
          <w:noProof/>
          <w:sz w:val="20"/>
          <w:szCs w:val="20"/>
          <w:rtl/>
        </w:rPr>
        <w:t xml:space="preserve">ע"א 32/77 </w:t>
      </w:r>
      <w:r>
        <w:rPr>
          <w:rFonts w:ascii="David" w:cs="David" w:eastAsia="David" w:hAnsi="David"/>
          <w:b/>
          <w:bCs/>
          <w:noProof/>
          <w:sz w:val="20"/>
          <w:szCs w:val="20"/>
          <w:rtl/>
        </w:rPr>
        <w:t xml:space="preserve">טבוליצקי נ׳ בית-כנסת ובית-מדרש החסידים</w:t>
      </w:r>
      <w:r>
        <w:rPr>
          <w:rFonts w:ascii="David" w:cs="David" w:eastAsia="David" w:hAnsi="David"/>
          <w:noProof/>
          <w:sz w:val="20"/>
          <w:szCs w:val="20"/>
          <w:rtl/>
        </w:rPr>
        <w:t xml:space="preserve">, פ"ד לא(3) 210 (1977); ע"א 463/79 </w:t>
      </w:r>
      <w:r>
        <w:rPr>
          <w:rFonts w:ascii="David" w:cs="David" w:eastAsia="David" w:hAnsi="David"/>
          <w:b/>
          <w:bCs/>
          <w:noProof/>
          <w:sz w:val="20"/>
          <w:szCs w:val="20"/>
          <w:rtl/>
        </w:rPr>
        <w:t xml:space="preserve">ג׳בראן נ׳ ג׳בראן</w:t>
      </w:r>
      <w:r>
        <w:rPr>
          <w:rFonts w:ascii="David" w:cs="David" w:eastAsia="David" w:hAnsi="David"/>
          <w:noProof/>
          <w:sz w:val="20"/>
          <w:szCs w:val="20"/>
          <w:rtl/>
        </w:rPr>
        <w:t xml:space="preserve">, פ"ד לו(4) 403 (1982); ע"א 496/82 </w:t>
      </w:r>
      <w:r>
        <w:rPr>
          <w:rFonts w:ascii="David" w:cs="David" w:eastAsia="David" w:hAnsi="David"/>
          <w:b/>
          <w:bCs/>
          <w:noProof/>
          <w:sz w:val="20"/>
          <w:szCs w:val="20"/>
          <w:rtl/>
        </w:rPr>
        <w:t xml:space="preserve">רוזן נ׳ סלונים</w:t>
      </w:r>
      <w:r>
        <w:rPr>
          <w:rFonts w:ascii="David" w:cs="David" w:eastAsia="David" w:hAnsi="David"/>
          <w:noProof/>
          <w:sz w:val="20"/>
          <w:szCs w:val="20"/>
          <w:rtl/>
        </w:rPr>
        <w:t xml:space="preserve">, פ"ד לט(2) 337 (1985); ולרשות מגורים משפחתית בלתי הדירה ראו ע"א 515/76 </w:t>
      </w:r>
      <w:r>
        <w:rPr>
          <w:rFonts w:ascii="David" w:cs="David" w:eastAsia="David" w:hAnsi="David"/>
          <w:b/>
          <w:bCs/>
          <w:noProof/>
          <w:sz w:val="20"/>
          <w:szCs w:val="20"/>
          <w:rtl/>
        </w:rPr>
        <w:t xml:space="preserve">לוי נ׳ ויימן</w:t>
      </w:r>
      <w:r>
        <w:rPr>
          <w:rFonts w:ascii="David" w:cs="David" w:eastAsia="David" w:hAnsi="David"/>
          <w:noProof/>
          <w:sz w:val="20"/>
          <w:szCs w:val="20"/>
          <w:rtl/>
        </w:rPr>
        <w:t xml:space="preserve">, פ"ד לא(2) 127 (1977);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 415–419, המזכיר גם את אזהרת הפסיקה העדכנית כי אי הדירות תוכר במקרים חריגים בלבד.</w:t>
      </w:r>
    </w:p>
  </w:footnote>
  <w:footnote w:id="44">
    <w:p>
      <w:pPr>
        <w:bidi/>
        <w:spacing w:after="60"/>
        <w:jc w:val="both"/>
      </w:pPr>
      <w:r>
        <w:rPr>
          <w:rStyle w:val="FootnoteReference"/>
        </w:rPr>
        <w:footnoteRef/>
      </w:r>
      <w:r>
        <w:rPr>
          <w:rFonts w:ascii="David" w:cs="David" w:eastAsia="David" w:hAnsi="David"/>
          <w:noProof/>
          <w:sz w:val="20"/>
          <w:szCs w:val="20"/>
          <w:rtl/>
        </w:rPr>
        <w:t xml:space="preserve">ע"א 483/16 </w:t>
      </w:r>
      <w:r>
        <w:rPr>
          <w:rFonts w:ascii="David" w:cs="David" w:eastAsia="David" w:hAnsi="David"/>
          <w:b/>
          <w:bCs/>
          <w:noProof/>
          <w:sz w:val="20"/>
          <w:szCs w:val="20"/>
          <w:rtl/>
        </w:rPr>
        <w:t xml:space="preserve">יהודאי נ׳ חלמיש – חברה ממשלתית-עירונית לדיור, לשיקום ולהתחדשות שכונות בתל-אביב בע"מ</w:t>
      </w:r>
      <w:r>
        <w:rPr>
          <w:rFonts w:ascii="David" w:cs="David" w:eastAsia="David" w:hAnsi="David"/>
          <w:noProof/>
          <w:sz w:val="20"/>
          <w:szCs w:val="20"/>
          <w:rtl/>
        </w:rPr>
        <w:t xml:space="preserve"> (נבו 3.10.2017);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426–427.</w:t>
      </w:r>
    </w:p>
  </w:footnote>
  <w:footnote w:id="45">
    <w:p>
      <w:pPr>
        <w:bidi/>
        <w:spacing w:after="60"/>
        <w:jc w:val="both"/>
      </w:pPr>
      <w:r>
        <w:rPr>
          <w:rStyle w:val="FootnoteReference"/>
        </w:rPr>
        <w:footnoteRef/>
      </w:r>
      <w:r>
        <w:rPr>
          <w:rFonts w:ascii="David" w:cs="David" w:eastAsia="David" w:hAnsi="David"/>
          <w:noProof/>
          <w:sz w:val="20"/>
          <w:szCs w:val="20"/>
          <w:rtl/>
        </w:rPr>
        <w:t xml:space="preserve">ע"א 7139/99 </w:t>
      </w:r>
      <w:r>
        <w:rPr>
          <w:rFonts w:ascii="David" w:cs="David" w:eastAsia="David" w:hAnsi="David"/>
          <w:b/>
          <w:bCs/>
          <w:noProof/>
          <w:sz w:val="20"/>
          <w:szCs w:val="20"/>
          <w:rtl/>
        </w:rPr>
        <w:t xml:space="preserve">אלוני נ׳ ארד</w:t>
      </w:r>
      <w:r>
        <w:rPr>
          <w:rFonts w:ascii="David" w:cs="David" w:eastAsia="David" w:hAnsi="David"/>
          <w:noProof/>
          <w:sz w:val="20"/>
          <w:szCs w:val="20"/>
          <w:rtl/>
        </w:rPr>
        <w:t xml:space="preserve">, פ"ד נח(4) 27 (2004); רע"א 1156/02 </w:t>
      </w:r>
      <w:r>
        <w:rPr>
          <w:rFonts w:ascii="David" w:cs="David" w:eastAsia="David" w:hAnsi="David"/>
          <w:b/>
          <w:bCs/>
          <w:noProof/>
          <w:sz w:val="20"/>
          <w:szCs w:val="20"/>
          <w:rtl/>
        </w:rPr>
        <w:t xml:space="preserve">חיר נ׳ לידאי</w:t>
      </w:r>
      <w:r>
        <w:rPr>
          <w:rFonts w:ascii="David" w:cs="David" w:eastAsia="David" w:hAnsi="David"/>
          <w:noProof/>
          <w:sz w:val="20"/>
          <w:szCs w:val="20"/>
          <w:rtl/>
        </w:rPr>
        <w:t xml:space="preserve">, פ"ד נז(3) 949 (2003);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425, 430–433. לדוקטרינה האנגלית שממנה נשאב המונח ראו להלן פרק ו.1.3.</w:t>
      </w:r>
    </w:p>
  </w:footnote>
  <w:footnote w:id="46">
    <w:p>
      <w:pPr>
        <w:bidi/>
        <w:spacing w:after="60"/>
        <w:jc w:val="both"/>
      </w:pPr>
      <w:r>
        <w:rPr>
          <w:rStyle w:val="FootnoteReference"/>
        </w:rPr>
        <w:footnoteRef/>
      </w:r>
      <w:r>
        <w:rPr>
          <w:rFonts w:ascii="David" w:cs="David" w:eastAsia="David" w:hAnsi="David"/>
          <w:noProof/>
          <w:sz w:val="20"/>
          <w:szCs w:val="20"/>
          <w:rtl/>
        </w:rPr>
        <w:t xml:space="preserve">ס׳ 5(2) ו-20 לחוק ההתיישנות, התשי"ח–1958; ס׳ 159(ב) לחוק המקרקעין; טל חבקין </w:t>
      </w:r>
      <w:r>
        <w:rPr>
          <w:rFonts w:ascii="David" w:cs="David" w:eastAsia="David" w:hAnsi="David"/>
          <w:b/>
          <w:bCs/>
          <w:noProof/>
          <w:sz w:val="20"/>
          <w:szCs w:val="20"/>
          <w:rtl/>
        </w:rPr>
        <w:t xml:space="preserve">התיישנות</w:t>
      </w:r>
      <w:r>
        <w:rPr>
          <w:rFonts w:ascii="David" w:cs="David" w:eastAsia="David" w:hAnsi="David"/>
          <w:noProof/>
          <w:sz w:val="20"/>
          <w:szCs w:val="20"/>
          <w:rtl/>
        </w:rPr>
        <w:t xml:space="preserve"> (מהדורה שנייה 2021);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פרק שנים-עשר; והשוו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ליחס בין רישיון לחזקה.</w:t>
      </w:r>
    </w:p>
  </w:footnote>
  <w:footnote w:id="47">
    <w:p>
      <w:pPr>
        <w:bidi/>
        <w:spacing w:after="60"/>
        <w:jc w:val="both"/>
      </w:pPr>
      <w:r>
        <w:rPr>
          <w:rStyle w:val="FootnoteReference"/>
        </w:rPr>
        <w:footnoteRef/>
      </w:r>
      <w:r>
        <w:rPr>
          <w:rFonts w:ascii="David" w:cs="David" w:eastAsia="David" w:hAnsi="David"/>
          <w:noProof/>
          <w:sz w:val="20"/>
          <w:szCs w:val="20"/>
          <w:rtl/>
        </w:rPr>
        <w:t xml:space="preserve">ע"א 2693/19 </w:t>
      </w:r>
      <w:r>
        <w:rPr>
          <w:rFonts w:ascii="David" w:cs="David" w:eastAsia="David" w:hAnsi="David"/>
          <w:b/>
          <w:bCs/>
          <w:noProof/>
          <w:sz w:val="20"/>
          <w:szCs w:val="20"/>
          <w:rtl/>
        </w:rPr>
        <w:t xml:space="preserve">משעל נ׳ כמאל</w:t>
      </w:r>
      <w:r>
        <w:rPr>
          <w:rFonts w:ascii="David" w:cs="David" w:eastAsia="David" w:hAnsi="David"/>
          <w:noProof/>
          <w:sz w:val="20"/>
          <w:szCs w:val="20"/>
          <w:rtl/>
        </w:rPr>
        <w:t xml:space="preserve"> (נבו 22.9.2020) (להלן: 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בע"מ 7496/19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30.12.2019);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48">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 בעמ׳ 3–4 לפסק הדין.</w:t>
      </w:r>
    </w:p>
  </w:footnote>
  <w:footnote w:id="49">
    <w:p>
      <w:pPr>
        <w:bidi/>
        <w:spacing w:after="60"/>
        <w:jc w:val="both"/>
      </w:pPr>
      <w:r>
        <w:rPr>
          <w:rStyle w:val="FootnoteReference"/>
        </w:rPr>
        <w:footnoteRef/>
      </w:r>
      <w:r>
        <w:rPr>
          <w:rFonts w:ascii="David" w:cs="David" w:eastAsia="David" w:hAnsi="David"/>
          <w:noProof/>
          <w:sz w:val="20"/>
          <w:szCs w:val="20"/>
          <w:rtl/>
        </w:rPr>
        <w:t xml:space="preserve">תלה"מ (משפחה נצ׳) 60777-07-20 </w:t>
      </w:r>
      <w:r>
        <w:rPr>
          <w:rFonts w:ascii="David" w:cs="David" w:eastAsia="David" w:hAnsi="David"/>
          <w:b/>
          <w:bCs/>
          <w:noProof/>
          <w:sz w:val="20"/>
          <w:szCs w:val="20"/>
          <w:rtl/>
        </w:rPr>
        <w:t xml:space="preserve">ג.ס נ׳ מ.ד</w:t>
      </w:r>
      <w:r>
        <w:rPr>
          <w:rFonts w:ascii="David" w:cs="David" w:eastAsia="David" w:hAnsi="David"/>
          <w:noProof/>
          <w:sz w:val="20"/>
          <w:szCs w:val="20"/>
          <w:rtl/>
        </w:rPr>
        <w:t xml:space="preserve"> (נבו 14.4.2021); תמ"ש (משפחה נצ׳) 27669-01-17 </w:t>
      </w:r>
      <w:r>
        <w:rPr>
          <w:rFonts w:ascii="David" w:cs="David" w:eastAsia="David" w:hAnsi="David"/>
          <w:b/>
          <w:bCs/>
          <w:noProof/>
          <w:sz w:val="20"/>
          <w:szCs w:val="20"/>
          <w:rtl/>
        </w:rPr>
        <w:t xml:space="preserve">ו.ע נ׳ כ.ע</w:t>
      </w:r>
      <w:r>
        <w:rPr>
          <w:rFonts w:ascii="David" w:cs="David" w:eastAsia="David" w:hAnsi="David"/>
          <w:noProof/>
          <w:sz w:val="20"/>
          <w:szCs w:val="20"/>
          <w:rtl/>
        </w:rPr>
        <w:t xml:space="preserve"> (נבו 22.4.2018); וראו גם תמ"ש (משפחה נצ׳) 4821-07 </w:t>
      </w:r>
      <w:r>
        <w:rPr>
          <w:rFonts w:ascii="David" w:cs="David" w:eastAsia="David" w:hAnsi="David"/>
          <w:b/>
          <w:bCs/>
          <w:noProof/>
          <w:sz w:val="20"/>
          <w:szCs w:val="20"/>
          <w:rtl/>
        </w:rPr>
        <w:t xml:space="preserve">ס.ע.ז נ׳ ע.ע.ז</w:t>
      </w:r>
      <w:r>
        <w:rPr>
          <w:rFonts w:ascii="David" w:cs="David" w:eastAsia="David" w:hAnsi="David"/>
          <w:noProof/>
          <w:sz w:val="20"/>
          <w:szCs w:val="20"/>
          <w:rtl/>
        </w:rPr>
        <w:t xml:space="preserve"> (נבו 2012); תמ"ש (משפחה נצ׳) 59099-02-24 </w:t>
      </w:r>
      <w:r>
        <w:rPr>
          <w:rFonts w:ascii="David" w:cs="David" w:eastAsia="David" w:hAnsi="David"/>
          <w:b/>
          <w:bCs/>
          <w:noProof/>
          <w:sz w:val="20"/>
          <w:szCs w:val="20"/>
          <w:rtl/>
        </w:rPr>
        <w:t xml:space="preserve">א.ז נ׳ מ.ז</w:t>
      </w:r>
      <w:r>
        <w:rPr>
          <w:rFonts w:ascii="David" w:cs="David" w:eastAsia="David" w:hAnsi="David"/>
          <w:noProof/>
          <w:sz w:val="20"/>
          <w:szCs w:val="20"/>
          <w:rtl/>
        </w:rPr>
        <w:t xml:space="preserve"> (נבו 10.3.2026); ת"א (מחוזי חי׳) 41898-04-18 </w:t>
      </w:r>
      <w:r>
        <w:rPr>
          <w:rFonts w:ascii="David" w:cs="David" w:eastAsia="David" w:hAnsi="David"/>
          <w:b/>
          <w:bCs/>
          <w:noProof/>
          <w:sz w:val="20"/>
          <w:szCs w:val="20"/>
          <w:rtl/>
        </w:rPr>
        <w:t xml:space="preserve">שחוק נ׳ עיזבון המנוח שחוק ז"ל</w:t>
      </w:r>
      <w:r>
        <w:rPr>
          <w:rFonts w:ascii="David" w:cs="David" w:eastAsia="David" w:hAnsi="David"/>
          <w:noProof/>
          <w:sz w:val="20"/>
          <w:szCs w:val="20"/>
          <w:rtl/>
        </w:rPr>
        <w:t xml:space="preserve"> (נבו 21.2.2021);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w:t>
      </w:r>
    </w:p>
  </w:footnote>
  <w:footnote w:id="50">
    <w:p>
      <w:pPr>
        <w:bidi/>
        <w:spacing w:after="60"/>
        <w:jc w:val="both"/>
      </w:pPr>
      <w:r>
        <w:rPr>
          <w:rStyle w:val="FootnoteReference"/>
        </w:rPr>
        <w:footnoteRef/>
      </w:r>
      <w:r>
        <w:rPr>
          <w:rFonts w:ascii="David" w:cs="David" w:eastAsia="David" w:hAnsi="David"/>
          <w:noProof/>
          <w:sz w:val="20"/>
          <w:szCs w:val="20"/>
          <w:rtl/>
        </w:rPr>
        <w:t xml:space="preserve">תלה"מ (משפחה נצ׳) 39735-12-19 </w:t>
      </w:r>
      <w:r>
        <w:rPr>
          <w:rFonts w:ascii="David" w:cs="David" w:eastAsia="David" w:hAnsi="David"/>
          <w:b/>
          <w:bCs/>
          <w:noProof/>
          <w:sz w:val="20"/>
          <w:szCs w:val="20"/>
          <w:rtl/>
        </w:rPr>
        <w:t xml:space="preserve">פלונית נ׳ פלוני</w:t>
      </w:r>
      <w:r>
        <w:rPr>
          <w:rFonts w:ascii="David" w:cs="David" w:eastAsia="David" w:hAnsi="David"/>
          <w:noProof/>
          <w:sz w:val="20"/>
          <w:szCs w:val="20"/>
          <w:rtl/>
        </w:rPr>
        <w:t xml:space="preserve"> (נבו 14.10.2022); תמ"ש (משפחה חד׳) 44358-11-19 </w:t>
      </w:r>
      <w:r>
        <w:rPr>
          <w:rFonts w:ascii="David" w:cs="David" w:eastAsia="David" w:hAnsi="David"/>
          <w:b/>
          <w:bCs/>
          <w:noProof/>
          <w:sz w:val="20"/>
          <w:szCs w:val="20"/>
          <w:rtl/>
        </w:rPr>
        <w:t xml:space="preserve">אלמונית נ׳ פלונית</w:t>
      </w:r>
      <w:r>
        <w:rPr>
          <w:rFonts w:ascii="David" w:cs="David" w:eastAsia="David" w:hAnsi="David"/>
          <w:noProof/>
          <w:sz w:val="20"/>
          <w:szCs w:val="20"/>
          <w:rtl/>
        </w:rPr>
        <w:t xml:space="preserve"> (נבו 7.5.2023).</w:t>
      </w:r>
    </w:p>
  </w:footnote>
  <w:footnote w:id="51">
    <w:p>
      <w:pPr>
        <w:bidi/>
        <w:spacing w:after="60"/>
        <w:jc w:val="both"/>
      </w:pPr>
      <w:r>
        <w:rPr>
          <w:rStyle w:val="FootnoteReference"/>
        </w:rPr>
        <w:footnoteRef/>
      </w:r>
      <w:r>
        <w:rPr>
          <w:rFonts w:ascii="David" w:cs="David" w:eastAsia="David" w:hAnsi="David"/>
          <w:noProof/>
          <w:sz w:val="20"/>
          <w:szCs w:val="20"/>
          <w:rtl/>
        </w:rPr>
        <w:t xml:space="preserve">ע"א 514/76 </w:t>
      </w:r>
      <w:r>
        <w:rPr>
          <w:rFonts w:ascii="David" w:cs="David" w:eastAsia="David" w:hAnsi="David"/>
          <w:b/>
          <w:bCs/>
          <w:noProof/>
          <w:sz w:val="20"/>
          <w:szCs w:val="20"/>
          <w:rtl/>
        </w:rPr>
        <w:t xml:space="preserve">חשש נ׳ דמארי</w:t>
      </w:r>
      <w:r>
        <w:rPr>
          <w:rFonts w:ascii="David" w:cs="David" w:eastAsia="David" w:hAnsi="David"/>
          <w:noProof/>
          <w:sz w:val="20"/>
          <w:szCs w:val="20"/>
          <w:rtl/>
        </w:rPr>
        <w:t xml:space="preserve">, פ"ד לא(2) 505 (1977), קביעה החשובה ליישובים שבהם ההחזקה נסמכת על הסכמי פיתוח והרשאות של רשות מקרקעי ישראל;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499–500;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 ולמישור הדיוני ראו 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12</w:t>
      </w:r>
      <w:r>
        <w:rPr>
          <w:rFonts w:ascii="David" w:cs="David" w:eastAsia="David" w:hAnsi="David"/>
          <w:noProof/>
          <w:sz w:val="20"/>
          <w:szCs w:val="20"/>
          <w:rtl/>
        </w:rPr>
        <w:t xml:space="preserve">.</w:t>
      </w:r>
    </w:p>
  </w:footnote>
  <w:footnote w:id="52">
    <w:p>
      <w:pPr>
        <w:bidi/>
        <w:spacing w:after="60"/>
        <w:jc w:val="both"/>
      </w:pPr>
      <w:r>
        <w:rPr>
          <w:rStyle w:val="FootnoteReference"/>
        </w:rPr>
        <w:footnoteRef/>
      </w:r>
      <w:r>
        <w:rPr>
          <w:rFonts w:ascii="David" w:cs="David" w:eastAsia="David" w:hAnsi="David"/>
          <w:noProof/>
          <w:sz w:val="20"/>
          <w:szCs w:val="20"/>
          <w:rtl/>
        </w:rPr>
        <w:t xml:space="preserve">לביקורת על אי-הוודאות הנובעת משסתומי יושר ותום לב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297 ואילך; וכהן, </w:t>
      </w:r>
      <w:r>
        <w:rPr>
          <w:rFonts w:ascii="David" w:cs="David" w:eastAsia="David" w:hAnsi="David"/>
          <w:noProof/>
          <w:sz w:val="20"/>
          <w:szCs w:val="20"/>
          <w:rtl/>
        </w:rPr>
        <w:t xml:space="preserve">לעיל ה"ש 33</w:t>
      </w:r>
      <w:r>
        <w:rPr>
          <w:rFonts w:ascii="David" w:cs="David" w:eastAsia="David" w:hAnsi="David"/>
          <w:noProof/>
          <w:sz w:val="20"/>
          <w:szCs w:val="20"/>
          <w:rtl/>
        </w:rPr>
        <w:t xml:space="preserve">.</w:t>
      </w:r>
    </w:p>
  </w:footnote>
  <w:footnote w:id="53">
    <w:p>
      <w:pPr>
        <w:bidi/>
        <w:spacing w:after="60"/>
        <w:jc w:val="both"/>
      </w:pPr>
      <w:r>
        <w:rPr>
          <w:rStyle w:val="FootnoteReference"/>
        </w:rPr>
        <w:footnoteRef/>
      </w:r>
      <w:r>
        <w:rPr>
          <w:rFonts w:ascii="David" w:cs="David" w:eastAsia="David" w:hAnsi="David"/>
          <w:noProof/>
          <w:sz w:val="20"/>
          <w:szCs w:val="20"/>
          <w:rtl/>
        </w:rPr>
        <w:t xml:space="preserve">תק׳ 36–38 לתקנות התכנון והבניה (רישוי בניה), התשע"ו–2016; וקודם לכן תק׳ 2א לתקנות התכנון והבניה (בקשה להיתר, תנאיו ואגרות), התש"ל–1970.</w:t>
      </w:r>
    </w:p>
  </w:footnote>
  <w:footnote w:id="54">
    <w:p>
      <w:pPr>
        <w:bidi/>
        <w:spacing w:after="60"/>
        <w:jc w:val="both"/>
      </w:pPr>
      <w:r>
        <w:rPr>
          <w:rStyle w:val="FootnoteReference"/>
        </w:rPr>
        <w:footnoteRef/>
      </w:r>
      <w:r>
        <w:rPr>
          <w:rFonts w:ascii="David" w:cs="David" w:eastAsia="David" w:hAnsi="David"/>
          <w:noProof/>
          <w:sz w:val="20"/>
          <w:szCs w:val="20"/>
          <w:rtl/>
        </w:rPr>
        <w:t xml:space="preserve">לרקע התכנוני ראו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w:t>
      </w:r>
    </w:p>
  </w:footnote>
  <w:footnote w:id="55">
    <w:p>
      <w:pPr>
        <w:bidi/>
        <w:spacing w:after="60"/>
        <w:jc w:val="both"/>
      </w:pPr>
      <w:r>
        <w:rPr>
          <w:rStyle w:val="FootnoteReference"/>
        </w:rPr>
        <w:footnoteRef/>
      </w:r>
      <w:r>
        <w:rPr>
          <w:rFonts w:ascii="David" w:cs="David" w:eastAsia="David" w:hAnsi="David"/>
          <w:noProof/>
          <w:sz w:val="20"/>
          <w:szCs w:val="20"/>
          <w:rtl/>
        </w:rPr>
        <w:t xml:space="preserve">ראו פסיקת ערכאות המשפחה שנסקרה לעיל,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 ולמשקל ההשקעה והבנייה בהסכמה ראו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w:t>
      </w:r>
    </w:p>
  </w:footnote>
  <w:footnote w:id="56">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57">
    <w:p>
      <w:pPr>
        <w:bidi/>
        <w:spacing w:after="60"/>
        <w:jc w:val="both"/>
      </w:pPr>
      <w:r>
        <w:rPr>
          <w:rStyle w:val="FootnoteReference"/>
        </w:rPr>
        <w:footnoteRef/>
      </w:r>
      <w:r>
        <w:rPr>
          <w:rFonts w:ascii="David" w:cs="David" w:eastAsia="David" w:hAnsi="David"/>
          <w:noProof/>
          <w:sz w:val="20"/>
          <w:szCs w:val="20"/>
          <w:rtl/>
        </w:rPr>
        <w:t xml:space="preserve">ס׳ 269 ו-325–326 לפקודת העיריות [נוסח חדש]. שוכר, בר-רשות ואף פולש עשויים להירשם כמחזיקים.</w:t>
      </w:r>
    </w:p>
  </w:footnote>
  <w:footnote w:id="58">
    <w:p>
      <w:pPr>
        <w:bidi/>
        <w:spacing w:after="60"/>
        <w:jc w:val="both"/>
      </w:pPr>
      <w:r>
        <w:rPr>
          <w:rStyle w:val="FootnoteReference"/>
        </w:rPr>
        <w:footnoteRef/>
      </w:r>
      <w:r>
        <w:rPr>
          <w:rFonts w:ascii="David" w:cs="David" w:eastAsia="David" w:hAnsi="David"/>
          <w:noProof/>
          <w:sz w:val="20"/>
          <w:szCs w:val="20"/>
          <w:rtl/>
        </w:rPr>
        <w:t xml:space="preserve">להבחנה בין רשות חינם לרישיון שנוצרה בגינו הסתמכות ראו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w:t>
      </w:r>
    </w:p>
  </w:footnote>
  <w:footnote w:id="59">
    <w:p>
      <w:pPr>
        <w:bidi/>
        <w:spacing w:after="60"/>
        <w:jc w:val="both"/>
      </w:pPr>
      <w:r>
        <w:rPr>
          <w:rStyle w:val="FootnoteReference"/>
        </w:rPr>
        <w:footnoteRef/>
      </w:r>
      <w:r>
        <w:rPr>
          <w:rFonts w:ascii="David" w:cs="David" w:eastAsia="David" w:hAnsi="David"/>
          <w:noProof/>
          <w:sz w:val="20"/>
          <w:szCs w:val="20"/>
          <w:rtl/>
        </w:rPr>
        <w:t xml:space="preserve">ראו עניין </w:t>
      </w:r>
      <w:r>
        <w:rPr>
          <w:rFonts w:ascii="David" w:cs="David" w:eastAsia="David" w:hAnsi="David"/>
          <w:b/>
          <w:bCs/>
          <w:noProof/>
          <w:sz w:val="20"/>
          <w:szCs w:val="20"/>
          <w:rtl/>
        </w:rPr>
        <w:t xml:space="preserve">נאטור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 ולמשטר הבין זמני ראו לעיל פרק ג.3.</w:t>
      </w:r>
    </w:p>
  </w:footnote>
  <w:footnote w:id="60">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שם הוכחה עסקה משנת 1968 שהסכמהּ לא אותר; והשוו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61">
    <w:p>
      <w:pPr>
        <w:bidi/>
        <w:spacing w:after="60"/>
        <w:jc w:val="both"/>
      </w:pPr>
      <w:r>
        <w:rPr>
          <w:rStyle w:val="FootnoteReference"/>
        </w:rPr>
        <w:footnoteRef/>
      </w:r>
      <w:r>
        <w:rPr>
          <w:rFonts w:ascii="David" w:cs="David" w:eastAsia="David" w:hAnsi="David"/>
          <w:noProof/>
          <w:sz w:val="20"/>
          <w:szCs w:val="20"/>
          <w:rtl/>
        </w:rPr>
        <w:t xml:space="preserve">ס׳ 54(4) לפקודת הראיות [נוסח חדש], התשל"א–1971. ליישום ראו ה"פ (מחוזי י-ם) 48783-04-18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4.5.2020), שבו נדחתה תביעה להצהרה על זכויות מכוח מתנה משנקבע כי בתביעה נגד עיזבון שהוגשה שנים רבות לאחר ההעברה הנטענת מוטל נטל שכנוע כבד, והוא לא הורם.</w:t>
      </w:r>
    </w:p>
  </w:footnote>
  <w:footnote w:id="6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w:t>
      </w:r>
    </w:p>
  </w:footnote>
  <w:footnote w:id="63">
    <w:p>
      <w:pPr>
        <w:bidi/>
        <w:spacing w:after="60"/>
        <w:jc w:val="both"/>
      </w:pPr>
      <w:r>
        <w:rPr>
          <w:rStyle w:val="FootnoteReference"/>
        </w:rPr>
        <w:footnoteRef/>
      </w:r>
      <w:r>
        <w:rPr>
          <w:rFonts w:ascii="David" w:cs="David" w:eastAsia="David" w:hAnsi="David"/>
          <w:noProof/>
          <w:sz w:val="20"/>
          <w:szCs w:val="20"/>
          <w:rtl/>
        </w:rPr>
        <w:t xml:space="preserve">רע"א 7060/12 </w:t>
      </w:r>
      <w:r>
        <w:rPr>
          <w:rFonts w:ascii="David" w:cs="David" w:eastAsia="David" w:hAnsi="David"/>
          <w:b/>
          <w:bCs/>
          <w:noProof/>
          <w:sz w:val="20"/>
          <w:szCs w:val="20"/>
          <w:rtl/>
        </w:rPr>
        <w:t xml:space="preserve">מדינת ישראל נ׳ </w:t>
      </w:r>
      <w:r>
        <w:rPr>
          <w:rFonts w:ascii="Times New Roman" w:cs="Times New Roman" w:eastAsia="Times New Roman" w:hAnsi="Times New Roman"/>
          <w:b/>
          <w:bCs/>
          <w:noProof/>
          <w:sz w:val="20"/>
          <w:szCs w:val="20"/>
        </w:rPr>
        <w:t xml:space="preserve">United Israel Appeal Inc</w:t>
      </w:r>
      <w:r>
        <w:rPr>
          <w:rFonts w:ascii="David" w:cs="David" w:eastAsia="David" w:hAnsi="David"/>
          <w:noProof/>
          <w:sz w:val="20"/>
          <w:szCs w:val="20"/>
          <w:rtl/>
        </w:rPr>
        <w:t xml:space="preserve"> (נבו 30.4.2015).</w:t>
      </w:r>
    </w:p>
  </w:footnote>
  <w:footnote w:id="64">
    <w:p>
      <w:pPr>
        <w:bidi/>
        <w:spacing w:after="60"/>
        <w:jc w:val="both"/>
      </w:pPr>
      <w:r>
        <w:rPr>
          <w:rStyle w:val="FootnoteReference"/>
        </w:rPr>
        <w:footnoteRef/>
      </w:r>
      <w:r>
        <w:rPr>
          <w:rFonts w:ascii="David" w:cs="David" w:eastAsia="David" w:hAnsi="David"/>
          <w:noProof/>
          <w:sz w:val="20"/>
          <w:szCs w:val="20"/>
          <w:rtl/>
        </w:rPr>
        <w:t xml:space="preserve">ס׳ 16(א) לחוק מיסוי מקרקעין (שבח ורכישה), התשכ"ג–1963 (להלן: חוק מיסוי מקרקעין); אבי גורמן ושי אהרונוביץ׳ </w:t>
      </w:r>
      <w:r>
        <w:rPr>
          <w:rFonts w:ascii="David" w:cs="David" w:eastAsia="David" w:hAnsi="David"/>
          <w:b/>
          <w:bCs/>
          <w:noProof/>
          <w:sz w:val="20"/>
          <w:szCs w:val="20"/>
          <w:rtl/>
        </w:rPr>
        <w:t xml:space="preserve">מיסוי מקרקעין – פרשנות, הלכה ומעשה</w:t>
      </w:r>
      <w:r>
        <w:rPr>
          <w:rFonts w:ascii="David" w:cs="David" w:eastAsia="David" w:hAnsi="David"/>
          <w:noProof/>
          <w:sz w:val="20"/>
          <w:szCs w:val="20"/>
          <w:rtl/>
        </w:rPr>
        <w:t xml:space="preserve"> 278–293 (2017) (להלן: גורמן ואהרונוביץ׳).</w:t>
      </w:r>
    </w:p>
  </w:footnote>
  <w:footnote w:id="65">
    <w:p>
      <w:pPr>
        <w:bidi/>
        <w:spacing w:after="60"/>
        <w:jc w:val="both"/>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w:t>
      </w:r>
    </w:p>
  </w:footnote>
  <w:footnote w:id="66">
    <w:p>
      <w:pPr>
        <w:bidi/>
        <w:spacing w:after="60"/>
        <w:jc w:val="both"/>
      </w:pPr>
      <w:r>
        <w:rPr>
          <w:rStyle w:val="FootnoteReference"/>
        </w:rPr>
        <w:footnoteRef/>
      </w:r>
      <w:r>
        <w:rPr>
          <w:rFonts w:ascii="David" w:cs="David" w:eastAsia="David" w:hAnsi="David"/>
          <w:noProof/>
          <w:sz w:val="20"/>
          <w:szCs w:val="20"/>
          <w:rtl/>
        </w:rPr>
        <w:t xml:space="preserve">ס׳ 16(ב) ו-73 לחוק מיסוי מקרקעין; ס׳ 324(א) לפקודת העיריות [נוסח חדש]; ס׳ 10 לתוספת השלישית לחוק התכנון והבנייה, התשכ"ה–1965.</w:t>
      </w:r>
    </w:p>
  </w:footnote>
  <w:footnote w:id="67">
    <w:p>
      <w:pPr>
        <w:bidi/>
        <w:spacing w:after="60"/>
        <w:jc w:val="both"/>
      </w:pPr>
      <w:r>
        <w:rPr>
          <w:rStyle w:val="FootnoteReference"/>
        </w:rPr>
        <w:footnoteRef/>
      </w:r>
      <w:r>
        <w:rPr>
          <w:rFonts w:ascii="David" w:cs="David" w:eastAsia="David" w:hAnsi="David"/>
          <w:noProof/>
          <w:sz w:val="20"/>
          <w:szCs w:val="20"/>
          <w:rtl/>
        </w:rPr>
        <w:t xml:space="preserve">ס׳ 1 לחוק מיסוי מקרקעין; ו"ע (מחוזי חי׳) 4631-12-13 </w:t>
      </w:r>
      <w:r>
        <w:rPr>
          <w:rFonts w:ascii="David" w:cs="David" w:eastAsia="David" w:hAnsi="David"/>
          <w:b/>
          <w:bCs/>
          <w:noProof/>
          <w:sz w:val="20"/>
          <w:szCs w:val="20"/>
          <w:rtl/>
        </w:rPr>
        <w:t xml:space="preserve">גולדברג נ׳ מנהל מיסוי מקרקעין – חדרה</w:t>
      </w:r>
      <w:r>
        <w:rPr>
          <w:rFonts w:ascii="David" w:cs="David" w:eastAsia="David" w:hAnsi="David"/>
          <w:noProof/>
          <w:sz w:val="20"/>
          <w:szCs w:val="20"/>
          <w:rtl/>
        </w:rPr>
        <w:t xml:space="preserve">, </w:t>
      </w:r>
      <w:r>
        <w:rPr>
          <w:rFonts w:ascii="David" w:cs="David" w:eastAsia="David" w:hAnsi="David"/>
          <w:b/>
          <w:bCs/>
          <w:noProof/>
          <w:sz w:val="20"/>
          <w:szCs w:val="20"/>
          <w:rtl/>
        </w:rPr>
        <w:t xml:space="preserve">מיסים</w:t>
      </w:r>
      <w:r>
        <w:rPr>
          <w:rFonts w:ascii="David" w:cs="David" w:eastAsia="David" w:hAnsi="David"/>
          <w:noProof/>
          <w:sz w:val="20"/>
          <w:szCs w:val="20"/>
          <w:rtl/>
        </w:rPr>
        <w:t xml:space="preserve"> כט/3 ה-320 (2015);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151–154.</w:t>
      </w:r>
    </w:p>
  </w:footnote>
  <w:footnote w:id="68">
    <w:p>
      <w:pPr>
        <w:bidi/>
        <w:spacing w:after="60"/>
        <w:jc w:val="both"/>
      </w:pPr>
      <w:r>
        <w:rPr>
          <w:rStyle w:val="FootnoteReference"/>
        </w:rPr>
        <w:footnoteRef/>
      </w:r>
      <w:r>
        <w:rPr>
          <w:rFonts w:ascii="David" w:cs="David" w:eastAsia="David" w:hAnsi="David"/>
          <w:noProof/>
          <w:sz w:val="20"/>
          <w:szCs w:val="20"/>
          <w:rtl/>
        </w:rPr>
        <w:t xml:space="preserve">ס׳ 197 לחוק התכנון והבנייה, התשכ"ה–1965; אהרן נמדר </w:t>
      </w:r>
      <w:r>
        <w:rPr>
          <w:rFonts w:ascii="David" w:cs="David" w:eastAsia="David" w:hAnsi="David"/>
          <w:b/>
          <w:bCs/>
          <w:noProof/>
          <w:sz w:val="20"/>
          <w:szCs w:val="20"/>
          <w:rtl/>
        </w:rPr>
        <w:t xml:space="preserve">פגיעה במקרקעין [פיצויים בגין נזקי תכנית]</w:t>
      </w:r>
      <w:r>
        <w:rPr>
          <w:rFonts w:ascii="David" w:cs="David" w:eastAsia="David" w:hAnsi="David"/>
          <w:noProof/>
          <w:sz w:val="20"/>
          <w:szCs w:val="20"/>
          <w:rtl/>
        </w:rPr>
        <w:t xml:space="preserve"> 429–439 (התשס"ח).</w:t>
      </w:r>
    </w:p>
  </w:footnote>
  <w:footnote w:id="69">
    <w:p>
      <w:pPr>
        <w:bidi/>
        <w:spacing w:after="60"/>
        <w:jc w:val="both"/>
      </w:pPr>
      <w:r>
        <w:rPr>
          <w:rStyle w:val="FootnoteReference"/>
        </w:rPr>
        <w:footnoteRef/>
      </w:r>
      <w:r>
        <w:rPr>
          <w:rFonts w:ascii="David" w:cs="David" w:eastAsia="David" w:hAnsi="David"/>
          <w:noProof/>
          <w:sz w:val="20"/>
          <w:szCs w:val="20"/>
          <w:rtl/>
        </w:rPr>
        <w:t xml:space="preserve">פרק אחד-עשר לחוק מיסוי מקרקעין;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w:t>
      </w:r>
    </w:p>
  </w:footnote>
  <w:footnote w:id="70">
    <w:p>
      <w:pPr>
        <w:bidi/>
        <w:spacing w:after="60"/>
        <w:jc w:val="both"/>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282–284, והפסיקה הנסקרת שם.</w:t>
      </w:r>
    </w:p>
  </w:footnote>
  <w:footnote w:id="71">
    <w:p>
      <w:pPr>
        <w:bidi/>
        <w:spacing w:after="60"/>
        <w:jc w:val="both"/>
      </w:pPr>
      <w:r>
        <w:rPr>
          <w:rStyle w:val="FootnoteReference"/>
        </w:rPr>
        <w:footnoteRef/>
      </w:r>
      <w:r>
        <w:rPr>
          <w:rFonts w:ascii="David" w:cs="David" w:eastAsia="David" w:hAnsi="David"/>
          <w:noProof/>
          <w:sz w:val="20"/>
          <w:szCs w:val="20"/>
          <w:rtl/>
        </w:rPr>
        <w:t xml:space="preserve">להיגיון הגבייתי של הסעיף ראו גורמן ואהרונוביץ׳,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w:t>
      </w:r>
    </w:p>
  </w:footnote>
  <w:footnote w:id="72">
    <w:p>
      <w:pPr>
        <w:bidi/>
        <w:spacing w:after="60"/>
        <w:jc w:val="both"/>
      </w:pPr>
      <w:r>
        <w:rPr>
          <w:rStyle w:val="FootnoteReference"/>
        </w:rPr>
        <w:footnoteRef/>
      </w:r>
      <w:r>
        <w:rPr>
          <w:rFonts w:ascii="David" w:cs="David" w:eastAsia="David" w:hAnsi="David"/>
          <w:noProof/>
          <w:sz w:val="20"/>
          <w:szCs w:val="20"/>
          <w:rtl/>
        </w:rPr>
        <w:t xml:space="preserve">למונח "הון מת" ראו </w:t>
      </w:r>
      <w:r>
        <w:rPr>
          <w:rFonts w:ascii="Times New Roman" w:cs="Times New Roman" w:eastAsia="Times New Roman" w:hAnsi="Times New Roman"/>
          <w:smallCaps/>
          <w:noProof/>
          <w:sz w:val="20"/>
          <w:szCs w:val="20"/>
        </w:rPr>
        <w:t xml:space="preserve">Hernando de Soto, The Mystery of Capital: Why Capitalism Triumphs in the West and Fails Everywhere Else (2000)</w:t>
      </w:r>
      <w:r>
        <w:rPr>
          <w:rFonts w:ascii="David" w:cs="David" w:eastAsia="David" w:hAnsi="David"/>
          <w:noProof/>
          <w:sz w:val="20"/>
          <w:szCs w:val="20"/>
          <w:rtl/>
        </w:rPr>
        <w:t xml:space="preserve">. דה-סוטו ביסס את הניתוח על עבודת שדה במצרים; ראו להלן פרק ו.2.</w:t>
      </w:r>
    </w:p>
  </w:footnote>
  <w:footnote w:id="73">
    <w:p>
      <w:pPr>
        <w:bidi/>
        <w:spacing w:after="60"/>
        <w:jc w:val="both"/>
      </w:pPr>
      <w:r>
        <w:rPr>
          <w:rStyle w:val="FootnoteReference"/>
        </w:rPr>
        <w:footnoteRef/>
      </w:r>
      <w:r>
        <w:rPr>
          <w:rFonts w:ascii="David" w:cs="David" w:eastAsia="David" w:hAnsi="David"/>
          <w:noProof/>
          <w:sz w:val="20"/>
          <w:szCs w:val="20"/>
          <w:rtl/>
        </w:rPr>
        <w:t xml:space="preserve">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 שבו לא נזקפה ההתנהלות הבלתי פורמלית רבת-השנים לחובת הרוכשת.</w:t>
      </w:r>
    </w:p>
  </w:footnote>
  <w:footnote w:id="74">
    <w:p>
      <w:pPr>
        <w:bidi/>
        <w:spacing w:after="60"/>
        <w:jc w:val="both"/>
      </w:pPr>
      <w:r>
        <w:rPr>
          <w:rStyle w:val="FootnoteReference"/>
        </w:rPr>
        <w:footnoteRef/>
      </w:r>
      <w:r>
        <w:rPr>
          <w:rFonts w:ascii="David" w:cs="David" w:eastAsia="David" w:hAnsi="David"/>
          <w:noProof/>
          <w:sz w:val="20"/>
          <w:szCs w:val="20"/>
          <w:rtl/>
        </w:rPr>
        <w:t xml:space="preserve">תופעה מקבילה קיימת גם במשפט העברי, שבו נקנית קרקע בכסף, בשטר או בחזקה בלא דרישת רישום; מפאת קוצר היריעה לא יורחב הדיון בשיטה זו. ראו "חוזים על פי דיני התורה" </w:t>
      </w:r>
      <w:r>
        <w:rPr>
          <w:rFonts w:ascii="David" w:cs="David" w:eastAsia="David" w:hAnsi="David"/>
          <w:b/>
          <w:bCs/>
          <w:noProof/>
          <w:sz w:val="20"/>
          <w:szCs w:val="20"/>
          <w:rtl/>
        </w:rPr>
        <w:t xml:space="preserve">כתר</w:t>
      </w:r>
      <w:r>
        <w:rPr>
          <w:rFonts w:ascii="David" w:cs="David" w:eastAsia="David" w:hAnsi="David"/>
          <w:noProof/>
          <w:sz w:val="20"/>
          <w:szCs w:val="20"/>
          <w:rtl/>
        </w:rPr>
        <w:t xml:space="preserve"> א 71–75 (התשנ"ו).</w:t>
      </w:r>
    </w:p>
  </w:footnote>
  <w:footnote w:id="75">
    <w:p>
      <w:pPr>
        <w:bidi/>
        <w:spacing w:after="60"/>
        <w:jc w:val="both"/>
      </w:pPr>
      <w:r>
        <w:rPr>
          <w:rStyle w:val="FootnoteReference"/>
        </w:rPr>
        <w:footnoteRef/>
      </w:r>
      <w:r>
        <w:rPr>
          <w:rFonts w:ascii="Times New Roman" w:cs="Times New Roman" w:eastAsia="Times New Roman" w:hAnsi="Times New Roman"/>
          <w:noProof/>
          <w:sz w:val="20"/>
          <w:szCs w:val="20"/>
        </w:rPr>
        <w:t xml:space="preserve">Lysaght v Edwards (1876) 2 Ch D 499 (Ch); Walsh v Lonsdale (1882) 21 Ch D 9 (CA)</w:t>
      </w:r>
      <w:r>
        <w:rPr>
          <w:rFonts w:ascii="David" w:cs="David" w:eastAsia="David" w:hAnsi="David"/>
          <w:noProof/>
          <w:sz w:val="20"/>
          <w:szCs w:val="20"/>
          <w:rtl/>
        </w:rPr>
        <w:t xml:space="preserve">. ודוק: הבעלות שביושר קמה רק מקום שהחוזה ניתן לאכיפה בעין, ולכן נשללת ממי שלא קיים את חלקו או ששיהה את תביעתו.</w:t>
      </w:r>
    </w:p>
  </w:footnote>
  <w:footnote w:id="76">
    <w:p>
      <w:pPr>
        <w:bidi/>
        <w:spacing w:after="60"/>
        <w:jc w:val="both"/>
      </w:pPr>
      <w:r>
        <w:rPr>
          <w:rStyle w:val="FootnoteReference"/>
        </w:rPr>
        <w:footnoteRef/>
      </w:r>
      <w:r>
        <w:rPr>
          <w:rFonts w:ascii="David" w:cs="David" w:eastAsia="David" w:hAnsi="David"/>
          <w:noProof/>
          <w:sz w:val="20"/>
          <w:szCs w:val="20"/>
          <w:rtl/>
        </w:rPr>
        <w:t xml:space="preserve">ס׳ 161 לחוק המקרקעין;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24</w:t>
      </w:r>
      <w:r>
        <w:rPr>
          <w:rFonts w:ascii="David" w:cs="David" w:eastAsia="David" w:hAnsi="David"/>
          <w:noProof/>
          <w:sz w:val="20"/>
          <w:szCs w:val="20"/>
          <w:rtl/>
        </w:rPr>
        <w:t xml:space="preserve">.</w:t>
      </w:r>
    </w:p>
  </w:footnote>
  <w:footnote w:id="77">
    <w:p>
      <w:pPr>
        <w:bidi/>
        <w:spacing w:after="60"/>
        <w:jc w:val="both"/>
      </w:pPr>
      <w:r>
        <w:rPr>
          <w:rStyle w:val="FootnoteReference"/>
        </w:rPr>
        <w:footnoteRef/>
      </w:r>
      <w:r>
        <w:rPr>
          <w:rFonts w:ascii="Times New Roman" w:cs="Times New Roman" w:eastAsia="Times New Roman" w:hAnsi="Times New Roman"/>
          <w:noProof/>
          <w:sz w:val="20"/>
          <w:szCs w:val="20"/>
        </w:rPr>
        <w:t xml:space="preserve">Land Registration Act 2002, c. 9, § 27, sch. 3, para. 2; Williams &amp; Glyn’s Bank Ltd v Boland [1981] AC 487 (HL)</w:t>
      </w:r>
      <w:r>
        <w:rPr>
          <w:rFonts w:ascii="David" w:cs="David" w:eastAsia="David" w:hAnsi="David"/>
          <w:noProof/>
          <w:sz w:val="20"/>
          <w:szCs w:val="20"/>
          <w:rtl/>
        </w:rPr>
        <w:t xml:space="preserve">.</w:t>
      </w:r>
    </w:p>
  </w:footnote>
  <w:footnote w:id="78">
    <w:p>
      <w:pPr>
        <w:bidi/>
        <w:spacing w:after="60"/>
        <w:jc w:val="both"/>
      </w:pPr>
      <w:r>
        <w:rPr>
          <w:rStyle w:val="FootnoteReference"/>
        </w:rPr>
        <w:footnoteRef/>
      </w:r>
      <w:r>
        <w:rPr>
          <w:rFonts w:ascii="Times New Roman" w:cs="Times New Roman" w:eastAsia="Times New Roman" w:hAnsi="Times New Roman"/>
          <w:noProof/>
          <w:sz w:val="20"/>
          <w:szCs w:val="20"/>
        </w:rPr>
        <w:t xml:space="preserve">Land Registration Act 2002, c. 9, sch. 8</w:t>
      </w:r>
      <w:r>
        <w:rPr>
          <w:rFonts w:ascii="David" w:cs="David" w:eastAsia="David" w:hAnsi="David"/>
          <w:noProof/>
          <w:sz w:val="20"/>
          <w:szCs w:val="20"/>
          <w:rtl/>
        </w:rPr>
        <w:t xml:space="preserve">; ולביקורת על מוסד הזכויות הגוברות כסדק ב"עקרון המראה" ראו </w:t>
      </w:r>
      <w:r>
        <w:rPr>
          <w:rFonts w:ascii="Times New Roman" w:cs="Times New Roman" w:eastAsia="Times New Roman" w:hAnsi="Times New Roman"/>
          <w:noProof/>
          <w:sz w:val="20"/>
          <w:szCs w:val="20"/>
        </w:rPr>
        <w:t xml:space="preserve">Chris Bevan, </w:t>
      </w:r>
      <w:r>
        <w:rPr>
          <w:rFonts w:ascii="Times New Roman" w:cs="Times New Roman" w:eastAsia="Times New Roman" w:hAnsi="Times New Roman"/>
          <w:i/>
          <w:iCs/>
          <w:noProof/>
          <w:sz w:val="20"/>
          <w:szCs w:val="20"/>
        </w:rPr>
        <w:t xml:space="preserve">Overriding Interests under the Land Registration Act 2002: Time to Repair the ‘Cracked Mirror’?</w:t>
      </w:r>
      <w:r>
        <w:rPr>
          <w:rFonts w:ascii="Times New Roman" w:cs="Times New Roman" w:eastAsia="Times New Roman" w:hAnsi="Times New Roman"/>
          <w:noProof/>
          <w:sz w:val="20"/>
          <w:szCs w:val="20"/>
        </w:rPr>
        <w:t xml:space="preserve"> [2024] </w:t>
      </w:r>
      <w:r>
        <w:rPr>
          <w:rFonts w:ascii="Times New Roman" w:cs="Times New Roman" w:eastAsia="Times New Roman" w:hAnsi="Times New Roman"/>
          <w:smallCaps/>
          <w:noProof/>
          <w:sz w:val="20"/>
          <w:szCs w:val="20"/>
        </w:rPr>
        <w:t xml:space="preserve">Conv.</w:t>
      </w:r>
      <w:r>
        <w:rPr>
          <w:rFonts w:ascii="Times New Roman" w:cs="Times New Roman" w:eastAsia="Times New Roman" w:hAnsi="Times New Roman"/>
          <w:noProof/>
          <w:sz w:val="20"/>
          <w:szCs w:val="20"/>
        </w:rPr>
        <w:t xml:space="preserve"> 123</w:t>
      </w:r>
      <w:r>
        <w:rPr>
          <w:rFonts w:ascii="David" w:cs="David" w:eastAsia="David" w:hAnsi="David"/>
          <w:noProof/>
          <w:sz w:val="20"/>
          <w:szCs w:val="20"/>
          <w:rtl/>
        </w:rPr>
        <w:t xml:space="preserve">.</w:t>
      </w:r>
    </w:p>
  </w:footnote>
  <w:footnote w:id="79">
    <w:p>
      <w:pPr>
        <w:bidi/>
        <w:spacing w:after="60"/>
        <w:jc w:val="both"/>
      </w:pPr>
      <w:r>
        <w:rPr>
          <w:rStyle w:val="FootnoteReference"/>
        </w:rPr>
        <w:footnoteRef/>
      </w:r>
      <w:r>
        <w:rPr>
          <w:rFonts w:ascii="Times New Roman" w:cs="Times New Roman" w:eastAsia="Times New Roman" w:hAnsi="Times New Roman"/>
          <w:noProof/>
          <w:sz w:val="20"/>
          <w:szCs w:val="20"/>
        </w:rPr>
        <w:t xml:space="preserve">Stack v Dowden [2007] UKHL 17, [2007] 2 AC 432; Jones v Kernott [2011] UKSC 53, [2012] 1 AC 776</w:t>
      </w:r>
      <w:r>
        <w:rPr>
          <w:rFonts w:ascii="David" w:cs="David" w:eastAsia="David" w:hAnsi="David"/>
          <w:noProof/>
          <w:sz w:val="20"/>
          <w:szCs w:val="20"/>
          <w:rtl/>
        </w:rPr>
        <w:t xml:space="preserve">.</w:t>
      </w:r>
    </w:p>
  </w:footnote>
  <w:footnote w:id="80">
    <w:p>
      <w:pPr>
        <w:bidi/>
        <w:spacing w:after="60"/>
        <w:jc w:val="both"/>
      </w:pPr>
      <w:r>
        <w:rPr>
          <w:rStyle w:val="FootnoteReference"/>
        </w:rPr>
        <w:footnoteRef/>
      </w:r>
      <w:r>
        <w:rPr>
          <w:rFonts w:ascii="Times New Roman" w:cs="Times New Roman" w:eastAsia="Times New Roman" w:hAnsi="Times New Roman"/>
          <w:noProof/>
          <w:sz w:val="20"/>
          <w:szCs w:val="20"/>
        </w:rPr>
        <w:t xml:space="preserve">Thorner v Major [2009] UKHL 18, [2009] 1 WLR 776; Guest v Guest [2022] UKSC 27, [2022] 3 WLR 911</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Brian Sloan, </w:t>
      </w:r>
      <w:r>
        <w:rPr>
          <w:rFonts w:ascii="Times New Roman" w:cs="Times New Roman" w:eastAsia="Times New Roman" w:hAnsi="Times New Roman"/>
          <w:i/>
          <w:iCs/>
          <w:noProof/>
          <w:sz w:val="20"/>
          <w:szCs w:val="20"/>
        </w:rPr>
        <w:t xml:space="preserve">Proprietary Estoppel in the Supreme Court: Banquo’s Ghost?</w:t>
      </w:r>
      <w:r>
        <w:rPr>
          <w:rFonts w:ascii="Times New Roman" w:cs="Times New Roman" w:eastAsia="Times New Roman" w:hAnsi="Times New Roman"/>
          <w:noProof/>
          <w:sz w:val="20"/>
          <w:szCs w:val="20"/>
        </w:rPr>
        <w:t xml:space="preserve">, (2023) 82 </w:t>
      </w:r>
      <w:r>
        <w:rPr>
          <w:rFonts w:ascii="Times New Roman" w:cs="Times New Roman" w:eastAsia="Times New Roman" w:hAnsi="Times New Roman"/>
          <w:smallCaps/>
          <w:noProof/>
          <w:sz w:val="20"/>
          <w:szCs w:val="20"/>
        </w:rPr>
        <w:t xml:space="preserve">CLJ</w:t>
      </w:r>
      <w:r>
        <w:rPr>
          <w:rFonts w:ascii="Times New Roman" w:cs="Times New Roman" w:eastAsia="Times New Roman" w:hAnsi="Times New Roman"/>
          <w:noProof/>
          <w:sz w:val="20"/>
          <w:szCs w:val="20"/>
        </w:rPr>
        <w:t xml:space="preserve"> 13</w:t>
      </w:r>
      <w:r>
        <w:rPr>
          <w:rFonts w:ascii="David" w:cs="David" w:eastAsia="David" w:hAnsi="David"/>
          <w:noProof/>
          <w:sz w:val="20"/>
          <w:szCs w:val="20"/>
          <w:rtl/>
        </w:rPr>
        <w:t xml:space="preserve">.</w:t>
      </w:r>
    </w:p>
  </w:footnote>
  <w:footnote w:id="81">
    <w:p>
      <w:pPr>
        <w:bidi/>
        <w:spacing w:after="60"/>
        <w:jc w:val="both"/>
      </w:pPr>
      <w:r>
        <w:rPr>
          <w:rStyle w:val="FootnoteReference"/>
        </w:rPr>
        <w:footnoteRef/>
      </w:r>
      <w:r>
        <w:rPr>
          <w:rFonts w:ascii="Times New Roman" w:cs="Times New Roman" w:eastAsia="Times New Roman" w:hAnsi="Times New Roman"/>
          <w:noProof/>
          <w:sz w:val="20"/>
          <w:szCs w:val="20"/>
        </w:rPr>
        <w:t xml:space="preserve">Law of Property (Miscellaneous Provisions) Act 1989, c. 34, §§ 1–2; Re Rose [1952] Ch 499 (CA); Pennington v Waine [2002] EWCA Civ 227, [2002] 1 WLR 2075</w:t>
      </w:r>
      <w:r>
        <w:rPr>
          <w:rFonts w:ascii="David" w:cs="David" w:eastAsia="David" w:hAnsi="David"/>
          <w:noProof/>
          <w:sz w:val="20"/>
          <w:szCs w:val="20"/>
          <w:rtl/>
        </w:rPr>
        <w:t xml:space="preserve">;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41</w:t>
      </w:r>
      <w:r>
        <w:rPr>
          <w:rFonts w:ascii="David" w:cs="David" w:eastAsia="David" w:hAnsi="David"/>
          <w:noProof/>
          <w:sz w:val="20"/>
          <w:szCs w:val="20"/>
          <w:rtl/>
        </w:rPr>
        <w:t xml:space="preserve">.</w:t>
      </w:r>
    </w:p>
  </w:footnote>
  <w:footnote w:id="82">
    <w:p>
      <w:pPr>
        <w:bidi/>
        <w:spacing w:after="60"/>
        <w:jc w:val="both"/>
      </w:pPr>
      <w:r>
        <w:rPr>
          <w:rStyle w:val="FootnoteReference"/>
        </w:rPr>
        <w:footnoteRef/>
      </w:r>
      <w:r>
        <w:rPr>
          <w:rFonts w:ascii="Times New Roman" w:cs="Times New Roman" w:eastAsia="Times New Roman" w:hAnsi="Times New Roman"/>
          <w:noProof/>
          <w:sz w:val="20"/>
          <w:szCs w:val="20"/>
        </w:rPr>
        <w:t xml:space="preserve">Powers of Attorney Act 1971, c. 27, § 4</w:t>
      </w:r>
      <w:r>
        <w:rPr>
          <w:rFonts w:ascii="David" w:cs="David" w:eastAsia="David" w:hAnsi="David"/>
          <w:noProof/>
          <w:sz w:val="20"/>
          <w:szCs w:val="20"/>
          <w:rtl/>
        </w:rPr>
        <w:t xml:space="preserve">. זהו המקור ההיסטורי של ס׳ 14(ב) לחוק השליחות;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1243.</w:t>
      </w:r>
    </w:p>
  </w:footnote>
  <w:footnote w:id="83">
    <w:p>
      <w:pPr>
        <w:bidi/>
        <w:spacing w:after="60"/>
        <w:jc w:val="both"/>
      </w:pPr>
      <w:r>
        <w:rPr>
          <w:rStyle w:val="FootnoteReference"/>
        </w:rPr>
        <w:footnoteRef/>
      </w:r>
      <w:r>
        <w:rPr>
          <w:rFonts w:ascii="Times New Roman" w:cs="Times New Roman" w:eastAsia="Times New Roman" w:hAnsi="Times New Roman"/>
          <w:noProof/>
          <w:sz w:val="20"/>
          <w:szCs w:val="20"/>
        </w:rPr>
        <w:t xml:space="preserve">Nadav Shoked, </w:t>
      </w:r>
      <w:r>
        <w:rPr>
          <w:rFonts w:ascii="Times New Roman" w:cs="Times New Roman" w:eastAsia="Times New Roman" w:hAnsi="Times New Roman"/>
          <w:i/>
          <w:iCs/>
          <w:noProof/>
          <w:sz w:val="20"/>
          <w:szCs w:val="20"/>
        </w:rPr>
        <w:t xml:space="preserve">Who Needs Adverse Possession?</w:t>
      </w:r>
      <w:r>
        <w:rPr>
          <w:rFonts w:ascii="Times New Roman" w:cs="Times New Roman" w:eastAsia="Times New Roman" w:hAnsi="Times New Roman"/>
          <w:noProof/>
          <w:sz w:val="20"/>
          <w:szCs w:val="20"/>
        </w:rPr>
        <w:t xml:space="preserve">, 89 </w:t>
      </w:r>
      <w:r>
        <w:rPr>
          <w:rFonts w:ascii="Times New Roman" w:cs="Times New Roman" w:eastAsia="Times New Roman" w:hAnsi="Times New Roman"/>
          <w:smallCaps/>
          <w:noProof/>
          <w:sz w:val="20"/>
          <w:szCs w:val="20"/>
        </w:rPr>
        <w:t xml:space="preserve">Fordham L. Rev.</w:t>
      </w:r>
      <w:r>
        <w:rPr>
          <w:rFonts w:ascii="Times New Roman" w:cs="Times New Roman" w:eastAsia="Times New Roman" w:hAnsi="Times New Roman"/>
          <w:noProof/>
          <w:sz w:val="20"/>
          <w:szCs w:val="20"/>
        </w:rPr>
        <w:t xml:space="preserve"> 2639 (2021)</w:t>
      </w:r>
      <w:r>
        <w:rPr>
          <w:rFonts w:ascii="David" w:cs="David" w:eastAsia="David" w:hAnsi="David"/>
          <w:noProof/>
          <w:sz w:val="20"/>
          <w:szCs w:val="20"/>
          <w:rtl/>
        </w:rPr>
        <w:t xml:space="preserve">.</w:t>
      </w:r>
    </w:p>
  </w:footnote>
  <w:footnote w:id="84">
    <w:p>
      <w:pPr>
        <w:bidi/>
        <w:spacing w:after="60"/>
        <w:jc w:val="both"/>
      </w:pPr>
      <w:r>
        <w:rPr>
          <w:rStyle w:val="FootnoteReference"/>
        </w:rPr>
        <w:footnoteRef/>
      </w:r>
      <w:r>
        <w:rPr>
          <w:rFonts w:ascii="David" w:cs="David" w:eastAsia="David" w:hAnsi="David"/>
          <w:noProof/>
          <w:sz w:val="20"/>
          <w:szCs w:val="20"/>
          <w:rtl/>
        </w:rPr>
        <w:t xml:space="preserve">ס׳ 418 ו-934 לקוד האזרחי המצרי (חוק מס׳ 131 לשנת 1948); ס׳ 9 לחוק ארגון הפומביות המקרקעית, חוק מס׳ 114 לשנת 1946. במצרים פועלות במקביל שתי שיטות רישום: רישום שטרות פרסונלי לפי חוק 114/1946, המאורגן לפי שמות ולא לפי הנכס והחולש על מרבית המדינה, ורישום זכויות קדסטרלי לפי חוק מס׳ 142 לשנת 1964, שתחולתו מוגבלת.</w:t>
      </w:r>
    </w:p>
  </w:footnote>
  <w:footnote w:id="85">
    <w:p>
      <w:pPr>
        <w:bidi/>
        <w:spacing w:after="60"/>
        <w:jc w:val="both"/>
      </w:pPr>
      <w:r>
        <w:rPr>
          <w:rStyle w:val="FootnoteReference"/>
        </w:rPr>
        <w:footnoteRef/>
      </w:r>
      <w:r>
        <w:rPr>
          <w:rFonts w:ascii="Times New Roman" w:cs="Times New Roman" w:eastAsia="Times New Roman" w:hAnsi="Times New Roman"/>
          <w:i/>
          <w:iCs/>
          <w:noProof/>
          <w:sz w:val="20"/>
          <w:szCs w:val="20"/>
        </w:rPr>
        <w:t xml:space="preserve">More than 90% of Egypt’s Properties Are Unregistered: Justice Minister</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(Feb. 14, 2022); </w:t>
      </w:r>
      <w:r>
        <w:rPr>
          <w:rFonts w:ascii="Times New Roman" w:cs="Times New Roman" w:eastAsia="Times New Roman" w:hAnsi="Times New Roman"/>
          <w:i/>
          <w:iCs/>
          <w:noProof/>
          <w:sz w:val="20"/>
          <w:szCs w:val="20"/>
        </w:rPr>
        <w:t xml:space="preserve">Egypt’s Property Registration Rate Remains Below 10%…: World Bank</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(July 5, 2026)</w:t>
      </w:r>
      <w:r>
        <w:rPr>
          <w:rFonts w:ascii="David" w:cs="David" w:eastAsia="David" w:hAnsi="David"/>
          <w:noProof/>
          <w:sz w:val="20"/>
          <w:szCs w:val="20"/>
          <w:rtl/>
        </w:rPr>
        <w:t xml:space="preserve">. הרנדו דה-סוטו ביסס על מצרים את מחקר "ההון המת": </w:t>
      </w:r>
      <w:r>
        <w:rPr>
          <w:rFonts w:ascii="David" w:cs="David" w:eastAsia="David" w:hAnsi="David"/>
          <w:noProof/>
          <w:sz w:val="20"/>
          <w:szCs w:val="20"/>
          <w:rtl/>
        </w:rPr>
        <w:t xml:space="preserve">לעיל ה"ש 72</w:t>
      </w:r>
      <w:r>
        <w:rPr>
          <w:rFonts w:ascii="David" w:cs="David" w:eastAsia="David" w:hAnsi="David"/>
          <w:noProof/>
          <w:sz w:val="20"/>
          <w:szCs w:val="20"/>
          <w:rtl/>
        </w:rPr>
        <w:t xml:space="preserve">.</w:t>
      </w:r>
    </w:p>
  </w:footnote>
  <w:footnote w:id="86">
    <w:p>
      <w:pPr>
        <w:bidi/>
        <w:spacing w:after="60"/>
        <w:jc w:val="both"/>
      </w:pPr>
      <w:r>
        <w:rPr>
          <w:rStyle w:val="FootnoteReference"/>
        </w:rPr>
        <w:footnoteRef/>
      </w:r>
      <w:r>
        <w:rPr>
          <w:rFonts w:ascii="Times New Roman" w:cs="Times New Roman" w:eastAsia="Times New Roman" w:hAnsi="Times New Roman"/>
          <w:noProof/>
          <w:sz w:val="20"/>
          <w:szCs w:val="20"/>
        </w:rPr>
        <w:t xml:space="preserve">David Sims, </w:t>
      </w:r>
      <w:r>
        <w:rPr>
          <w:rFonts w:ascii="Times New Roman" w:cs="Times New Roman" w:eastAsia="Times New Roman" w:hAnsi="Times New Roman"/>
          <w:i/>
          <w:iCs/>
          <w:noProof/>
          <w:sz w:val="20"/>
          <w:szCs w:val="20"/>
        </w:rPr>
        <w:t xml:space="preserve">Securing Land Tenure in Egypt: Who Needs Registered Titles?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(June 14, 2016)</w:t>
      </w:r>
      <w:r>
        <w:rPr>
          <w:rFonts w:ascii="David" w:cs="David" w:eastAsia="David" w:hAnsi="David"/>
          <w:noProof/>
          <w:sz w:val="20"/>
          <w:szCs w:val="20"/>
          <w:rtl/>
        </w:rPr>
        <w:t xml:space="preserve">.</w:t>
      </w:r>
    </w:p>
  </w:footnote>
  <w:footnote w:id="87">
    <w:p>
      <w:pPr>
        <w:bidi/>
        <w:spacing w:after="60"/>
        <w:jc w:val="both"/>
      </w:pPr>
      <w:r>
        <w:rPr>
          <w:rStyle w:val="FootnoteReference"/>
        </w:rPr>
        <w:footnoteRef/>
      </w:r>
      <w:r>
        <w:rPr>
          <w:rFonts w:ascii="David" w:cs="David" w:eastAsia="David" w:hAnsi="David"/>
          <w:noProof/>
          <w:sz w:val="20"/>
          <w:szCs w:val="20"/>
          <w:rtl/>
        </w:rPr>
        <w:t xml:space="preserve">ס׳ 714–715 לקוד האזרחי המצרי. בית המשפט החוקתי העליון שב ואישר בשנת 2021 כי ייפוי כוח כזה אינו ניתן לביטול חד-צדדי; ואולם ס׳ 714 מורה כי השליחות פוקעת במות השולח, נקודת תורפה מרכזית שפסיקת בית המשפט לקסאציה בעניינה אינה אחידה.</w:t>
      </w:r>
    </w:p>
  </w:footnote>
  <w:footnote w:id="88">
    <w:p>
      <w:pPr>
        <w:bidi/>
        <w:spacing w:after="60"/>
        <w:jc w:val="both"/>
      </w:pPr>
      <w:r>
        <w:rPr>
          <w:rStyle w:val="FootnoteReference"/>
        </w:rPr>
        <w:footnoteRef/>
      </w:r>
      <w:r>
        <w:rPr>
          <w:rFonts w:ascii="David" w:cs="David" w:eastAsia="David" w:hAnsi="David"/>
          <w:noProof/>
          <w:sz w:val="20"/>
          <w:szCs w:val="20"/>
          <w:rtl/>
        </w:rPr>
        <w:t xml:space="preserve">לתביעות אלה ולפרקטיקה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86</w:t>
      </w:r>
      <w:r>
        <w:rPr>
          <w:rFonts w:ascii="David" w:cs="David" w:eastAsia="David" w:hAnsi="David"/>
          <w:noProof/>
          <w:sz w:val="20"/>
          <w:szCs w:val="20"/>
          <w:rtl/>
        </w:rPr>
        <w:t xml:space="preserve">.</w:t>
      </w:r>
    </w:p>
  </w:footnote>
  <w:footnote w:id="89">
    <w:p>
      <w:pPr>
        <w:bidi/>
        <w:spacing w:after="60"/>
        <w:jc w:val="both"/>
      </w:pPr>
      <w:r>
        <w:rPr>
          <w:rStyle w:val="FootnoteReference"/>
        </w:rPr>
        <w:footnoteRef/>
      </w:r>
      <w:r>
        <w:rPr>
          <w:rFonts w:ascii="David" w:cs="David" w:eastAsia="David" w:hAnsi="David"/>
          <w:noProof/>
          <w:sz w:val="20"/>
          <w:szCs w:val="20"/>
          <w:rtl/>
        </w:rPr>
        <w:t xml:space="preserve">ס׳ 968–969 לקוד האזרחי המצרי. הפרקטיקה דנה בכך תחת הכותרת "וַצְ׳ע אל-יַד" (הנחת היד). ס׳ 970, כפי שתוקן בחוק מס׳ 55 לשנת 1970, שולל רכישה בהתיישנות של נכסי המדינה, תאגידים ציבוריים והקדשים.</w:t>
      </w:r>
    </w:p>
  </w:footnote>
  <w:footnote w:id="90">
    <w:p>
      <w:pPr>
        <w:bidi/>
        <w:spacing w:after="60"/>
        <w:jc w:val="both"/>
      </w:pPr>
      <w:r>
        <w:rPr>
          <w:rStyle w:val="FootnoteReference"/>
        </w:rPr>
        <w:footnoteRef/>
      </w:r>
      <w:r>
        <w:rPr>
          <w:rFonts w:ascii="David" w:cs="David" w:eastAsia="David" w:hAnsi="David"/>
          <w:noProof/>
          <w:sz w:val="20"/>
          <w:szCs w:val="20"/>
          <w:rtl/>
        </w:rPr>
        <w:t xml:space="preserve">להשוואה בין שיטות הרישום להתיישנות רוכשת ראו </w:t>
      </w:r>
      <w:r>
        <w:rPr>
          <w:rFonts w:ascii="Times New Roman" w:cs="Times New Roman" w:eastAsia="Times New Roman" w:hAnsi="Times New Roman"/>
          <w:noProof/>
          <w:sz w:val="20"/>
          <w:szCs w:val="20"/>
        </w:rPr>
        <w:t xml:space="preserve">Shoked</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83</w:t>
      </w:r>
      <w:r>
        <w:rPr>
          <w:rFonts w:ascii="David" w:cs="David" w:eastAsia="David" w:hAnsi="David"/>
          <w:noProof/>
          <w:sz w:val="20"/>
          <w:szCs w:val="20"/>
          <w:rtl/>
        </w:rPr>
        <w:t xml:space="preserve">; ולאופייה הדיוני של ההתיישנות הישראלית ראו לעיל פרק ג.6.</w:t>
      </w:r>
    </w:p>
  </w:footnote>
  <w:footnote w:id="91">
    <w:p>
      <w:pPr>
        <w:bidi/>
        <w:spacing w:after="60"/>
        <w:jc w:val="both"/>
      </w:pPr>
      <w:r>
        <w:rPr>
          <w:rStyle w:val="FootnoteReference"/>
        </w:rPr>
        <w:footnoteRef/>
      </w:r>
      <w:r>
        <w:rPr>
          <w:rFonts w:ascii="Times New Roman" w:cs="Times New Roman" w:eastAsia="Times New Roman" w:hAnsi="Times New Roman"/>
          <w:i/>
          <w:iCs/>
          <w:noProof/>
          <w:sz w:val="20"/>
          <w:szCs w:val="20"/>
        </w:rPr>
        <w:t xml:space="preserve">Sisi Orders Delaying Implementation of Controversial Real Estate Law for 2 Years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Ahram Online</w:t>
      </w:r>
      <w:r>
        <w:rPr>
          <w:rFonts w:ascii="Times New Roman" w:cs="Times New Roman" w:eastAsia="Times New Roman" w:hAnsi="Times New Roman"/>
          <w:noProof/>
          <w:sz w:val="20"/>
          <w:szCs w:val="20"/>
        </w:rPr>
        <w:t xml:space="preserve"> (Feb. 28, 2021)</w:t>
      </w:r>
      <w:r>
        <w:rPr>
          <w:rFonts w:ascii="David" w:cs="David" w:eastAsia="David" w:hAnsi="David"/>
          <w:noProof/>
          <w:sz w:val="20"/>
          <w:szCs w:val="20"/>
          <w:rtl/>
        </w:rPr>
        <w:t xml:space="preserve">; חוק מס׳ 9 לשנת 2022 (מצרים), המתקן את חוק מס׳ 114 לשנת 1946; </w:t>
      </w:r>
      <w:r>
        <w:rPr>
          <w:rFonts w:ascii="Times New Roman" w:cs="Times New Roman" w:eastAsia="Times New Roman" w:hAnsi="Times New Roman"/>
          <w:noProof/>
          <w:sz w:val="20"/>
          <w:szCs w:val="20"/>
        </w:rPr>
        <w:t xml:space="preserve">Shalakany Law Office, </w:t>
      </w:r>
      <w:r>
        <w:rPr>
          <w:rFonts w:ascii="Times New Roman" w:cs="Times New Roman" w:eastAsia="Times New Roman" w:hAnsi="Times New Roman"/>
          <w:i/>
          <w:iCs/>
          <w:noProof/>
          <w:sz w:val="20"/>
          <w:szCs w:val="20"/>
        </w:rPr>
        <w:t xml:space="preserve">New Amendments to Real Estate Registration Law</w:t>
      </w:r>
      <w:r>
        <w:rPr>
          <w:rFonts w:ascii="Times New Roman" w:cs="Times New Roman" w:eastAsia="Times New Roman" w:hAnsi="Times New Roman"/>
          <w:noProof/>
          <w:sz w:val="20"/>
          <w:szCs w:val="20"/>
        </w:rPr>
        <w:t xml:space="preserve"> (2022)</w:t>
      </w:r>
      <w:r>
        <w:rPr>
          <w:rFonts w:ascii="David" w:cs="David" w:eastAsia="David" w:hAnsi="David"/>
          <w:noProof/>
          <w:sz w:val="20"/>
          <w:szCs w:val="20"/>
          <w:rtl/>
        </w:rPr>
        <w:t xml:space="preserve">. להערכה מסויגת של רפורמות רישום כפתרון כולל ראו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92">
    <w:p>
      <w:pPr>
        <w:bidi/>
        <w:spacing w:after="60"/>
        <w:jc w:val="both"/>
      </w:pPr>
      <w:r>
        <w:rPr>
          <w:rStyle w:val="FootnoteReference"/>
        </w:rPr>
        <w:footnoteRef/>
      </w:r>
      <w:r>
        <w:rPr>
          <w:rFonts w:ascii="David" w:cs="David" w:eastAsia="David" w:hAnsi="David"/>
          <w:noProof/>
          <w:sz w:val="20"/>
          <w:szCs w:val="20"/>
          <w:rtl/>
        </w:rPr>
        <w:t xml:space="preserve">ס׳ 2 לחוקת מצרים (2014); ס׳ 1 לקוד האזרחי המצרי; חוק הירושה המצרי, חוק מס׳ 77 לשנת 1943.</w:t>
      </w:r>
    </w:p>
  </w:footnote>
  <w:footnote w:id="93">
    <w:p>
      <w:pPr>
        <w:bidi/>
        <w:spacing w:after="60"/>
        <w:jc w:val="both"/>
      </w:pPr>
      <w:r>
        <w:rPr>
          <w:rStyle w:val="FootnoteReference"/>
        </w:rPr>
        <w:footnoteRef/>
      </w:r>
      <w:r>
        <w:rPr>
          <w:rFonts w:ascii="David" w:cs="David" w:eastAsia="David" w:hAnsi="David"/>
          <w:noProof/>
          <w:sz w:val="20"/>
          <w:szCs w:val="20"/>
          <w:rtl/>
        </w:rPr>
        <w:t xml:space="preserve">לתרגום האנגלי המקובל ראו </w:t>
      </w:r>
      <w:r>
        <w:rPr>
          <w:rFonts w:ascii="Times New Roman" w:cs="Times New Roman" w:eastAsia="Times New Roman" w:hAnsi="Times New Roman"/>
          <w:smallCaps/>
          <w:noProof/>
          <w:sz w:val="20"/>
          <w:szCs w:val="20"/>
        </w:rPr>
        <w:t xml:space="preserve">C.R. Tyser, D.G. Demetriades &amp; Ismail Haqqi Effendi (trans.), The Mejelle: Being an English Translation of Majallah el-Ahkam-i-Adliya (1901)</w:t>
      </w:r>
      <w:r>
        <w:rPr>
          <w:rFonts w:ascii="David" w:cs="David" w:eastAsia="David" w:hAnsi="David"/>
          <w:noProof/>
          <w:sz w:val="20"/>
          <w:szCs w:val="20"/>
          <w:rtl/>
        </w:rPr>
        <w:t xml:space="preserve">.</w:t>
      </w:r>
    </w:p>
  </w:footnote>
  <w:footnote w:id="94">
    <w:p>
      <w:pPr>
        <w:bidi/>
        <w:spacing w:after="60"/>
        <w:jc w:val="both"/>
      </w:pPr>
      <w:r>
        <w:rPr>
          <w:rStyle w:val="FootnoteReference"/>
        </w:rPr>
        <w:footnoteRef/>
      </w:r>
      <w:r>
        <w:rPr>
          <w:rFonts w:ascii="David" w:cs="David" w:eastAsia="David" w:hAnsi="David"/>
          <w:noProof/>
          <w:sz w:val="20"/>
          <w:szCs w:val="20"/>
          <w:rtl/>
        </w:rPr>
        <w:t xml:space="preserve">חוק לביטול המג׳לה, התשמ"ד–1984;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 ולעיל פרק ג.3 לעניין ס׳ 80 לחוק הפרוצדורה האזרחית העות׳מאני.</w:t>
      </w:r>
    </w:p>
  </w:footnote>
  <w:footnote w:id="95">
    <w:p>
      <w:pPr>
        <w:bidi/>
        <w:spacing w:after="60"/>
        <w:jc w:val="both"/>
      </w:pPr>
      <w:r>
        <w:rPr>
          <w:rStyle w:val="FootnoteReference"/>
        </w:rPr>
        <w:footnoteRef/>
      </w:r>
      <w:r>
        <w:rPr>
          <w:rFonts w:ascii="David" w:cs="David" w:eastAsia="David" w:hAnsi="David"/>
          <w:noProof/>
          <w:sz w:val="20"/>
          <w:szCs w:val="20"/>
          <w:rtl/>
        </w:rPr>
        <w:t xml:space="preserve">ס׳ 837, 861–862, 866, 872 ו-879 למג׳לה; </w:t>
      </w:r>
      <w:r>
        <w:rPr>
          <w:rFonts w:ascii="Times New Roman" w:cs="Times New Roman" w:eastAsia="Times New Roman" w:hAnsi="Times New Roman"/>
          <w:smallCaps/>
          <w:noProof/>
          <w:sz w:val="20"/>
          <w:szCs w:val="20"/>
        </w:rPr>
        <w:t xml:space="preserve">Joseph Schacht, An Introduction to Islamic Law (1964)</w:t>
      </w:r>
      <w:r>
        <w:rPr>
          <w:rFonts w:ascii="Times New Roman" w:cs="Times New Roman" w:eastAsia="Times New Roman" w:hAnsi="Times New Roman"/>
          <w:noProof/>
          <w:sz w:val="20"/>
          <w:szCs w:val="20"/>
        </w:rPr>
        <w:t xml:space="preserve">; Y. Linant de Bellefonds, </w:t>
      </w:r>
      <w:r>
        <w:rPr>
          <w:rFonts w:ascii="Times New Roman" w:cs="Times New Roman" w:eastAsia="Times New Roman" w:hAnsi="Times New Roman"/>
          <w:i/>
          <w:iCs/>
          <w:noProof/>
          <w:sz w:val="20"/>
          <w:szCs w:val="20"/>
        </w:rPr>
        <w:t xml:space="preserve">Hiba</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The Encyclopaedia of Islam</w:t>
      </w:r>
      <w:r>
        <w:rPr>
          <w:rFonts w:ascii="Times New Roman" w:cs="Times New Roman" w:eastAsia="Times New Roman" w:hAnsi="Times New Roman"/>
          <w:noProof/>
          <w:sz w:val="20"/>
          <w:szCs w:val="20"/>
        </w:rPr>
        <w:t xml:space="preserve"> (2d ed.)</w:t>
      </w:r>
      <w:r>
        <w:rPr>
          <w:rFonts w:ascii="David" w:cs="David" w:eastAsia="David" w:hAnsi="David"/>
          <w:noProof/>
          <w:sz w:val="20"/>
          <w:szCs w:val="20"/>
          <w:rtl/>
        </w:rPr>
        <w:t xml:space="preserve">.</w:t>
      </w:r>
    </w:p>
  </w:footnote>
  <w:footnote w:id="96">
    <w:p>
      <w:pPr>
        <w:bidi/>
        <w:spacing w:after="60"/>
        <w:jc w:val="both"/>
      </w:pPr>
      <w:r>
        <w:rPr>
          <w:rStyle w:val="FootnoteReference"/>
        </w:rPr>
        <w:footnoteRef/>
      </w:r>
      <w:r>
        <w:rPr>
          <w:rFonts w:ascii="David" w:cs="David" w:eastAsia="David" w:hAnsi="David"/>
          <w:noProof/>
          <w:sz w:val="20"/>
          <w:szCs w:val="20"/>
          <w:rtl/>
        </w:rPr>
        <w:t xml:space="preserve">להוראת המעבר ראו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97">
    <w:p>
      <w:pPr>
        <w:bidi/>
        <w:spacing w:after="60"/>
        <w:jc w:val="both"/>
      </w:pPr>
      <w:r>
        <w:rPr>
          <w:rStyle w:val="FootnoteReference"/>
        </w:rPr>
        <w:footnoteRef/>
      </w:r>
      <w:r>
        <w:rPr>
          <w:rFonts w:ascii="David" w:cs="David" w:eastAsia="David" w:hAnsi="David"/>
          <w:noProof/>
          <w:sz w:val="20"/>
          <w:szCs w:val="20"/>
          <w:rtl/>
        </w:rPr>
        <w:t xml:space="preserve">ס׳ 1660, 1661 ו-1674 למג׳לה. ההקבלה לס׳ 2 לחוק ההתיישנות, התשי"ח–1958, גלויה לעין.</w:t>
      </w:r>
    </w:p>
  </w:footnote>
  <w:footnote w:id="98">
    <w:p>
      <w:pPr>
        <w:bidi/>
        <w:spacing w:after="60"/>
        <w:jc w:val="both"/>
      </w:pPr>
      <w:r>
        <w:rPr>
          <w:rStyle w:val="FootnoteReference"/>
        </w:rPr>
        <w:footnoteRef/>
      </w:r>
      <w:r>
        <w:rPr>
          <w:rFonts w:ascii="David" w:cs="David" w:eastAsia="David" w:hAnsi="David"/>
          <w:noProof/>
          <w:sz w:val="20"/>
          <w:szCs w:val="20"/>
          <w:rtl/>
        </w:rPr>
        <w:t xml:space="preserve">ס׳ 20 ו-78 לחוק הקרקעות העות׳מאני, 1858; </w:t>
      </w:r>
      <w:r>
        <w:rPr>
          <w:rFonts w:ascii="Times New Roman" w:cs="Times New Roman" w:eastAsia="Times New Roman" w:hAnsi="Times New Roman"/>
          <w:noProof/>
          <w:sz w:val="20"/>
          <w:szCs w:val="20"/>
        </w:rPr>
        <w:t xml:space="preserve">Ahmad Amara, </w:t>
      </w:r>
      <w:r>
        <w:rPr>
          <w:rFonts w:ascii="Times New Roman" w:cs="Times New Roman" w:eastAsia="Times New Roman" w:hAnsi="Times New Roman"/>
          <w:i/>
          <w:iCs/>
          <w:noProof/>
          <w:sz w:val="20"/>
          <w:szCs w:val="20"/>
        </w:rPr>
        <w:t xml:space="preserve">Dispossession by Law: How the Israeli Judicial System Utilizes Ottoman Land Law to Expel and Dispossess the Bedouins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J. Levantine Stud.</w:t>
      </w:r>
      <w:r>
        <w:rPr>
          <w:rFonts w:ascii="Times New Roman" w:cs="Times New Roman" w:eastAsia="Times New Roman" w:hAnsi="Times New Roman"/>
          <w:noProof/>
          <w:sz w:val="20"/>
          <w:szCs w:val="20"/>
        </w:rPr>
        <w:t xml:space="preserve"> (2015)</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99">
    <w:p>
      <w:pPr>
        <w:bidi/>
        <w:spacing w:after="60"/>
        <w:jc w:val="both"/>
      </w:pPr>
      <w:r>
        <w:rPr>
          <w:rStyle w:val="FootnoteReference"/>
        </w:rPr>
        <w:footnoteRef/>
      </w:r>
      <w:r>
        <w:rPr>
          <w:rFonts w:ascii="David" w:cs="David" w:eastAsia="David" w:hAnsi="David"/>
          <w:noProof/>
          <w:sz w:val="20"/>
          <w:szCs w:val="20"/>
          <w:rtl/>
        </w:rPr>
        <w:t xml:space="preserve">ס׳ 1521–1522 למג׳לה;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1241, 1244; ע"א 516/65 </w:t>
      </w:r>
      <w:r>
        <w:rPr>
          <w:rFonts w:ascii="David" w:cs="David" w:eastAsia="David" w:hAnsi="David"/>
          <w:b/>
          <w:bCs/>
          <w:noProof/>
          <w:sz w:val="20"/>
          <w:szCs w:val="20"/>
          <w:rtl/>
        </w:rPr>
        <w:t xml:space="preserve">ריעס נ׳ פורר</w:t>
      </w:r>
      <w:r>
        <w:rPr>
          <w:rFonts w:ascii="David" w:cs="David" w:eastAsia="David" w:hAnsi="David"/>
          <w:noProof/>
          <w:sz w:val="20"/>
          <w:szCs w:val="20"/>
          <w:rtl/>
        </w:rPr>
        <w:t xml:space="preserve">, פ"ד כ(3) 488 (1966). השליחות פוקעת ככלל במות השולח, כלל שהעמיד בסימן שאלה את ייפויי הכוח שנועדו לפעול "לאחר אריכות ימים".</w:t>
      </w:r>
    </w:p>
  </w:footnote>
  <w:footnote w:id="100">
    <w:p>
      <w:pPr>
        <w:bidi/>
        <w:spacing w:after="60"/>
        <w:jc w:val="both"/>
      </w:pPr>
      <w:r>
        <w:rPr>
          <w:rStyle w:val="FootnoteReference"/>
        </w:rPr>
        <w:footnoteRef/>
      </w:r>
      <w:r>
        <w:rPr>
          <w:rFonts w:ascii="Times New Roman" w:cs="Times New Roman" w:eastAsia="Times New Roman" w:hAnsi="Times New Roman"/>
          <w:smallCaps/>
          <w:noProof/>
          <w:sz w:val="20"/>
          <w:szCs w:val="20"/>
        </w:rPr>
        <w:t xml:space="preserve">N.J. Coulson, Succession in the Muslim Family (1971)</w:t>
      </w:r>
      <w:r>
        <w:rPr>
          <w:rFonts w:ascii="Times New Roman" w:cs="Times New Roman" w:eastAsia="Times New Roman" w:hAnsi="Times New Roman"/>
          <w:smallCaps/>
          <w:noProof/>
          <w:sz w:val="20"/>
          <w:szCs w:val="20"/>
        </w:rPr>
        <w:t xml:space="preserve">; Annelies Moors, Women, Property and Islam: Palestinian Experiences, 1920–1990 (1995)</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smallCaps/>
          <w:noProof/>
          <w:sz w:val="20"/>
          <w:szCs w:val="20"/>
        </w:rPr>
        <w:t xml:space="preserve">Aharon Layish, Women and Islamic Law in a Non-Muslim State (1975)</w:t>
      </w:r>
      <w:r>
        <w:rPr>
          <w:rFonts w:ascii="David" w:cs="David" w:eastAsia="David" w:hAnsi="David"/>
          <w:noProof/>
          <w:sz w:val="20"/>
          <w:szCs w:val="20"/>
          <w:rtl/>
        </w:rPr>
        <w:t xml:space="preserve">.</w:t>
      </w:r>
    </w:p>
  </w:footnote>
  <w:footnote w:id="101">
    <w:p>
      <w:pPr>
        <w:bidi/>
        <w:spacing w:after="60"/>
        <w:jc w:val="both"/>
      </w:pPr>
      <w:r>
        <w:rPr>
          <w:rStyle w:val="FootnoteReference"/>
        </w:rPr>
        <w:footnoteRef/>
      </w:r>
      <w:r>
        <w:rPr>
          <w:rFonts w:ascii="Times New Roman" w:cs="Times New Roman" w:eastAsia="Times New Roman" w:hAnsi="Times New Roman"/>
          <w:noProof/>
          <w:sz w:val="20"/>
          <w:szCs w:val="20"/>
        </w:rPr>
        <w:t xml:space="preserve">Ruth Kark, </w:t>
      </w:r>
      <w:r>
        <w:rPr>
          <w:rFonts w:ascii="Times New Roman" w:cs="Times New Roman" w:eastAsia="Times New Roman" w:hAnsi="Times New Roman"/>
          <w:i/>
          <w:iCs/>
          <w:noProof/>
          <w:sz w:val="20"/>
          <w:szCs w:val="20"/>
        </w:rPr>
        <w:t xml:space="preserve">Consequences of the Ottoman Land Law: Agrarian and Privatization Processes in Palestine, 1858–1918</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Societies, Social Inequalities and Marginalization</w:t>
      </w:r>
      <w:r>
        <w:rPr>
          <w:rFonts w:ascii="Times New Roman" w:cs="Times New Roman" w:eastAsia="Times New Roman" w:hAnsi="Times New Roman"/>
          <w:noProof/>
          <w:sz w:val="20"/>
          <w:szCs w:val="20"/>
        </w:rPr>
        <w:t xml:space="preserve"> 101 (R. Chand et al. eds., 2017)</w:t>
      </w:r>
      <w:r>
        <w:rPr>
          <w:rFonts w:ascii="David" w:cs="David" w:eastAsia="David" w:hAnsi="David"/>
          <w:noProof/>
          <w:sz w:val="20"/>
          <w:szCs w:val="20"/>
          <w:rtl/>
        </w:rPr>
        <w:t xml:space="preserve">; נדן, </w:t>
      </w:r>
      <w:r>
        <w:rPr>
          <w:rFonts w:ascii="David" w:cs="David" w:eastAsia="David" w:hAnsi="David"/>
          <w:noProof/>
          <w:sz w:val="20"/>
          <w:szCs w:val="20"/>
          <w:rtl/>
        </w:rPr>
        <w:t xml:space="preserve">לעיל ה"ש 15</w:t>
      </w:r>
      <w:r>
        <w:rPr>
          <w:rFonts w:ascii="David" w:cs="David" w:eastAsia="David" w:hAnsi="David"/>
          <w:noProof/>
          <w:sz w:val="20"/>
          <w:szCs w:val="20"/>
          <w:rtl/>
        </w:rPr>
        <w:t xml:space="preserve">.</w:t>
      </w:r>
    </w:p>
  </w:footnote>
  <w:footnote w:id="10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103">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104">
    <w:p>
      <w:pPr>
        <w:bidi/>
        <w:spacing w:after="60"/>
        <w:jc w:val="both"/>
      </w:pPr>
      <w:r>
        <w:rPr>
          <w:rStyle w:val="FootnoteReference"/>
        </w:rPr>
        <w:footnoteRef/>
      </w:r>
      <w:r>
        <w:rPr>
          <w:rFonts w:ascii="David" w:cs="David" w:eastAsia="David" w:hAnsi="David"/>
          <w:noProof/>
          <w:sz w:val="20"/>
          <w:szCs w:val="20"/>
          <w:rtl/>
        </w:rPr>
        <w:t xml:space="preserve">תמ"ש 18541-01-22,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105">
    <w:p>
      <w:pPr>
        <w:bidi/>
        <w:spacing w:after="60"/>
        <w:jc w:val="both"/>
      </w:pPr>
      <w:r>
        <w:rPr>
          <w:rStyle w:val="FootnoteReference"/>
        </w:rPr>
        <w:footnoteRef/>
      </w:r>
      <w:r>
        <w:rPr>
          <w:rFonts w:ascii="David" w:cs="David" w:eastAsia="David" w:hAnsi="David"/>
          <w:noProof/>
          <w:sz w:val="20"/>
          <w:szCs w:val="20"/>
          <w:rtl/>
        </w:rPr>
        <w:t xml:space="preserve">ראו </w:t>
      </w:r>
      <w:r>
        <w:rPr>
          <w:rFonts w:ascii="Times New Roman" w:cs="Times New Roman" w:eastAsia="Times New Roman" w:hAnsi="Times New Roman"/>
          <w:noProof/>
          <w:sz w:val="20"/>
          <w:szCs w:val="20"/>
        </w:rPr>
        <w:t xml:space="preserve">Guest v Guest</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80</w:t>
      </w:r>
      <w:r>
        <w:rPr>
          <w:rFonts w:ascii="David" w:cs="David" w:eastAsia="David" w:hAnsi="David"/>
          <w:noProof/>
          <w:sz w:val="20"/>
          <w:szCs w:val="20"/>
          <w:rtl/>
        </w:rPr>
        <w:t xml:space="preserve">.</w:t>
      </w:r>
    </w:p>
  </w:footnote>
  <w:footnote w:id="106">
    <w:p>
      <w:pPr>
        <w:bidi/>
        <w:spacing w:after="60"/>
        <w:jc w:val="both"/>
      </w:pPr>
      <w:r>
        <w:rPr>
          <w:rStyle w:val="FootnoteReference"/>
        </w:rPr>
        <w:footnoteRef/>
      </w:r>
      <w:r>
        <w:rPr>
          <w:rFonts w:ascii="David" w:cs="David" w:eastAsia="David" w:hAnsi="David"/>
          <w:noProof/>
          <w:sz w:val="20"/>
          <w:szCs w:val="20"/>
          <w:rtl/>
        </w:rPr>
        <w:t xml:space="preserve">לרפורמה המצרית ראו לעיל פרק ו.2.4.</w:t>
      </w:r>
    </w:p>
  </w:footnote>
  <w:footnote w:id="107">
    <w:p>
      <w:pPr>
        <w:bidi/>
        <w:spacing w:after="60"/>
        <w:jc w:val="both"/>
      </w:pPr>
      <w:r>
        <w:rPr>
          <w:rStyle w:val="FootnoteReference"/>
        </w:rPr>
        <w:footnoteRef/>
      </w:r>
      <w:r>
        <w:rPr>
          <w:rFonts w:ascii="David" w:cs="David" w:eastAsia="David" w:hAnsi="David"/>
          <w:noProof/>
          <w:sz w:val="20"/>
          <w:szCs w:val="20"/>
          <w:rtl/>
        </w:rPr>
        <w:t xml:space="preserve">להצעות ברוח זו השוו יפתחאל, קדר ואמארה, וכן לוין-שנור, הנזכרים לעיל בפרק ב.1.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noProof/>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2026-09-01T20:25:36.338Z</dcterms:created>
  <dcterms:modified xsi:type="dcterms:W3CDTF">2026-09-01T20:25:36.338Z</dcterms:modified>
</cp:coreProperties>
</file>

<file path=docProps/custom.xml><?xml version="1.0" encoding="utf-8"?>
<Properties xmlns="http://schemas.openxmlformats.org/officeDocument/2006/custom-properties" xmlns:vt="http://schemas.openxmlformats.org/officeDocument/2006/docPropsVTypes"/>
</file>