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כיצד מכריעים בתי המשפט בישראל בזכויות במקרקעין לא רשומים בסכסוכים פנים־משפחתיים בחברה הערבית, ומציבה את הדין הישראלי בהקשר השוואתי רחב: המשפט המקובל האנגלי, המשפט המצרי והמשפט השרעי האסלאמי. הבחירה בשלוש שיטות אלה אינה מקרית. המשפט המקובל הוא מקור היניקה ההיסטורי של דוקטרינת הזכויות שביושר במשפט הישראלי;</w:t>
      </w:r>
      <w:r>
        <w:rPr>
          <w:rStyle w:val="FootnoteReference"/>
        </w:rPr>
        <w:footnoteReference w:id="2"/>
      </w:r>
      <w:r>
        <w:rPr>
          <w:rFonts w:ascii="David" w:cs="David" w:eastAsia="David" w:hAnsi="David"/>
          <w:sz w:val="24"/>
          <w:szCs w:val="24"/>
          <w:rtl/>
        </w:rPr>
        <w:t xml:space="preserve"> המשפט המצרי מייצג שיטה ערבית מודרנית בת־זמננו המתמודדת עם שיעורי אי־רישום עצומים ועם פרקטיקה נפוצה של "מכר באמצעות ייפוי כוח"; והמשפט השרעי – שהמג׳לה העות׳מאנית היא גיבושו הקודיפיקטיבי הנודע – הוא התשתית ההיסטורית והתרבותית שעליה צמחו דפוסי ההחזקה וההעברה הבלתי פורמליים הרווחים עד היום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 ומבנה העבודה</w:t>
      </w:r>
    </w:p>
    <w:p>
      <w:pPr>
        <w:bidi/>
        <w:spacing w:after="160" w:line="360"/>
        <w:ind w:firstLine="420"/>
        <w:jc w:val="both"/>
      </w:pPr>
      <w:r>
        <w:rPr>
          <w:rFonts w:ascii="David" w:cs="David" w:eastAsia="David" w:hAnsi="David"/>
          <w:sz w:val="24"/>
          <w:szCs w:val="24"/>
          <w:rtl/>
        </w:rPr>
        <w:t xml:space="preserve">העבודה משלבת ניתוח דוקטרינרי של החקיקה והפסיקה הישראלית עם עיון משווה פונקציונלי. נקודת המוצא המתודולוגית היא כי שאלת "מה דינו של מי שקנה, קיבל במתנה או ירש מקרקעין אך לא נרשם" היא בעיה אוניברסלית, שכל שיטת משפט מודרנית נדרשת לה, וכי השוואת הפתרונות – ההשעיה האנגלית של הבעלות שביושר, ההפרדה המצרית בין החיוב לקניין, ודרישת התפיסה (קַבְּץ‏) השרעית – מאירה את הבחירות של המשפט הישראלי באור ביקורתי.</w:t>
      </w:r>
      <w:r>
        <w:rPr>
          <w:rStyle w:val="FootnoteReference"/>
        </w:rPr>
        <w:footnoteReference w:id="3"/>
      </w:r>
    </w:p>
    <w:p>
      <w:pPr>
        <w:bidi/>
        <w:spacing w:after="160" w:line="360"/>
        <w:ind w:firstLine="420"/>
        <w:jc w:val="both"/>
      </w:pPr>
      <w:r>
        <w:rPr>
          <w:rFonts w:ascii="David" w:cs="David" w:eastAsia="David" w:hAnsi="David"/>
          <w:sz w:val="24"/>
          <w:szCs w:val="24"/>
          <w:rtl/>
        </w:rPr>
        <w:t xml:space="preserve">פרק א מציג את הרקע הנורמטיבי והמוסדי: עקרון הרישום הקונסטיטוטיבי, ההבחנה בין מקרקעין מוסדרים לשאינם מוסדרים, ושורשי תופעת אי־הרישום בחברה הערבית. פרק ב מנתח את ארגז הכלים השיפוטי להכרעה בזכויות בלא רישום: התחייבות לעשות עסקה, דרישת הכתב וייפוי הכוח הבלתי חוזר, עקרון תום הלב, הזכות שביושר, דיני המתנה והרישיון במקרקעין. פרק ג עוסק בממשק שבין הרישום לבין המס – בתנאים הסטטוטוריים המתנים רישום בהסדרת חבויות מס ובהשלכותיהם הכלכליות על עסקאות היסטוריות. פרק ד בוחן את המשקל הראייתי של היתרי בנייה, תשלומי ארנונה וראיות נסיבתיות אחרות. פרק ה מוקדש למשפט המשווה – המשפט המקובל, המשפט המצרי והמשפט השרעי – ולניתוח השוואתי. הפרק המסכם מציע מסקנות והמלצות.</w:t>
      </w:r>
    </w:p>
    <w:p>
      <w:pPr>
        <w:bidi/>
        <w:spacing w:after="160" w:line="360"/>
        <w:ind w:firstLine="420"/>
        <w:jc w:val="both"/>
      </w:pPr>
      <w:r>
        <w:rPr>
          <w:rFonts w:ascii="David" w:cs="David" w:eastAsia="David" w:hAnsi="David"/>
          <w:sz w:val="24"/>
          <w:szCs w:val="24"/>
          <w:rtl/>
        </w:rPr>
        <w:t xml:space="preserve">הערה מקדימה אחת על היקף התופעה: תופעת אי־הרישום בחברה הערבית איננה שולית. היא פרי מפגש בין מורשת קרקעית עות׳מאנית ומנדטורית, הסדר זכויות שלא הושלם בחלק מן היישובים, דפוסי בעלות משפחתיים־קולקטיביים ("מוּשאע"), חשש היסטורי מרישום ומחבויות מס, ופרקטיקה מושרשת של העברות בתוך המשפחה שלא בדרך הפורמלית. על רקע זה, ההכרעה השיפוטית בסכסוך פנים־משפחתי אינה אך יישום טכני של דיני הקניין; היא הכרעה בין שיטת רישום מודרנית לבין סדר קנייני מסורתי חי ופעיל.</w:t>
      </w:r>
      <w:r>
        <w:rPr>
          <w:rStyle w:val="FootnoteReference"/>
        </w:rPr>
        <w:footnoteReference w:id="4"/>
      </w:r>
    </w:p>
    <w:p>
      <w:pPr>
        <w:pStyle w:val="Heading1"/>
        <w:bidi/>
        <w:spacing w:after="240" w:before="360"/>
      </w:pPr>
      <w:r>
        <w:rPr>
          <w:rFonts w:ascii="David" w:cs="David" w:eastAsia="David" w:hAnsi="David"/>
          <w:b/>
          <w:bCs/>
          <w:color w:val="000000"/>
          <w:sz w:val="32"/>
          <w:szCs w:val="32"/>
          <w:rtl/>
        </w:rPr>
        <w:t xml:space="preserve">פרק א: הרקע הנורמטיבי – רישום, הסדר ואי־רישום בחברה הערבית</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5"/>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6"/>
      </w:r>
      <w:r>
        <w:rPr>
          <w:rFonts w:ascii="David" w:cs="David" w:eastAsia="David" w:hAnsi="David"/>
          <w:sz w:val="24"/>
          <w:szCs w:val="24"/>
          <w:rtl/>
        </w:rPr>
        <w:t xml:space="preserve"> משמעות הדברים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תכליתו של מבנה זה כפולה: ודאות קניינית כלפי צדדים שלישיים, והעמדת מרשם אמין שעליו יכול הציבור להסתמך.</w:t>
      </w:r>
    </w:p>
    <w:p>
      <w:pPr>
        <w:bidi/>
        <w:spacing w:after="160" w:line="360"/>
        <w:ind w:firstLine="420"/>
        <w:jc w:val="both"/>
      </w:pPr>
      <w:r>
        <w:rPr>
          <w:rFonts w:ascii="David" w:cs="David" w:eastAsia="David" w:hAnsi="David"/>
          <w:sz w:val="24"/>
          <w:szCs w:val="24"/>
          <w:rtl/>
        </w:rPr>
        <w:t xml:space="preserve">ואולם, בצד הקשיחות הקניינית הכיר המחוקק עצמו בכלי ביניים המגשרים על הפער שבין החיוב לקניין. הבולט שבהם הוא הערת האזהרה: משהוכח כי בעל מקרקעין התחייב בכתב לעשות עסקה או להימנע מעשייתה, רשאי הרשם לרשום הערת אזהרה, ואין נפקא מינה אם ההתחייבות נכללה בהסכם, ב"הרשאה בלתי חוזרת" או במסמך אחר.</w:t>
      </w:r>
      <w:r>
        <w:rPr>
          <w:rStyle w:val="FootnoteReference"/>
        </w:rPr>
        <w:footnoteReference w:id="9"/>
      </w:r>
      <w:r>
        <w:rPr>
          <w:rFonts w:ascii="David" w:cs="David" w:eastAsia="David" w:hAnsi="David"/>
          <w:sz w:val="24"/>
          <w:szCs w:val="24"/>
          <w:rtl/>
        </w:rPr>
        <w:t xml:space="preserve"> משנרשמה ההערה, לא תירשם עסקה סותרת, ועיקול מאוחר לא יפגע בזכויות הזכאי.</w:t>
      </w:r>
      <w:r>
        <w:rPr>
          <w:rStyle w:val="FootnoteReference"/>
        </w:rPr>
        <w:footnoteReference w:id="10"/>
      </w:r>
      <w:r>
        <w:rPr>
          <w:rFonts w:ascii="David" w:cs="David" w:eastAsia="David" w:hAnsi="David"/>
          <w:sz w:val="24"/>
          <w:szCs w:val="24"/>
          <w:rtl/>
        </w:rPr>
        <w:t xml:space="preserve"> הערת האזהרה איננה שקולה לרישום הזכות עצמה, אך היא צמצמה במידה ניכרת את סיכוני הביניים – למי שטרח לרשמה. בסכסוכים הפנים־משפחתיים שבמוקד עבודה זו, על פי רוב, איש לא רשם דבר: לא זכות ולא הערה.</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של ההליך נערך לוח זכויות והזכויות נרשמות רישום ראשון. סעיף 81 לפקודת ההסדר מורה כי הרישום בעקבות ההסדר מבטל כל זכות הסותרת אותו, בכפוף לחריגים שבפקודה – הוראה דרמטית, שהפכה את אי־ההשתתפות בהליכי ההסדר לאובדן זכויות של ממש.</w:t>
      </w:r>
      <w:r>
        <w:rPr>
          <w:rStyle w:val="FootnoteReference"/>
        </w:rPr>
        <w:footnoteReference w:id="12"/>
      </w:r>
    </w:p>
    <w:p>
      <w:pPr>
        <w:bidi/>
        <w:spacing w:after="160" w:line="360"/>
        <w:ind w:firstLine="420"/>
        <w:jc w:val="both"/>
      </w:pPr>
      <w:r>
        <w:rPr>
          <w:rFonts w:ascii="David" w:cs="David" w:eastAsia="David" w:hAnsi="David"/>
          <w:sz w:val="24"/>
          <w:szCs w:val="24"/>
          <w:rtl/>
        </w:rPr>
        <w:t xml:space="preserve">חשיבות ההבחנה לענייננו כפולה. ראשית, ביישובים ערביים לא מעטים – בגליל, במשולש ובנגב – הליכי ההסדר לא הושלמו עד היום, או שהושלמו תוך רישום קרקעות על שם המדינה ורשות הפיתוח, באופן שהותיר תושבים המחזיקים בקרקע דורות בלא רישום על שמם. שנית, גם במקום שההסדר הושלם, הרישום ההיסטורי קפא לא אחת על שם אבי המשפחה או סבהּ, בעוד שבפועל חולקו החלקות בין הצאצאים בהסכמות פנימיות שלא באו זכר להן במרשם. בשני המצבים, המרשם אינו משקף את "האמת הקניינית" החיה של המשפחה, והפער הזה הוא חממת הסכסוכים.</w:t>
      </w:r>
      <w:r>
        <w:rPr>
          <w:rStyle w:val="FootnoteReference"/>
        </w:rPr>
        <w:footnoteReference w:id="13"/>
      </w:r>
    </w:p>
    <w:p>
      <w:pPr>
        <w:pStyle w:val="Heading2"/>
        <w:bidi/>
        <w:spacing w:after="180" w:before="280"/>
      </w:pPr>
      <w:r>
        <w:rPr>
          <w:rFonts w:ascii="David" w:cs="David" w:eastAsia="David" w:hAnsi="David"/>
          <w:b/>
          <w:bCs/>
          <w:color w:val="000000"/>
          <w:sz w:val="28"/>
          <w:szCs w:val="28"/>
          <w:rtl/>
        </w:rPr>
        <w:t xml:space="preserve">א.3 שורשי אי־הרישום בחברה הערבית: מן המוּשאע אל ייפוי הכוח</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4"/>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5"/>
      </w:r>
    </w:p>
    <w:p>
      <w:pPr>
        <w:bidi/>
        <w:spacing w:after="160" w:line="360"/>
        <w:ind w:firstLine="420"/>
        <w:jc w:val="both"/>
      </w:pPr>
      <w:r>
        <w:rPr>
          <w:rFonts w:ascii="David" w:cs="David" w:eastAsia="David" w:hAnsi="David"/>
          <w:sz w:val="24"/>
          <w:szCs w:val="24"/>
          <w:rtl/>
        </w:rPr>
        <w:t xml:space="preserve">על מצע היסטורי זה נשתלו, לאחר קום המדינה, שלושה גורמים מודרניים. הראשון – דיני המס: רישום עסקה מותנה, כפי שיפורט בפרק ג, בדיווח לרשויות מיסוי מקרקעין ובתשלום המסים הנגזרים, ובמשפחות שבהן העסקאות נעשו לפני עשרות שנים ולא דווחו, עלות ההסדרה (מס, ריבית, הצמדה וקנסות) מרתיעה מרישום עד עצם היום הזה.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המצטברת: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r>
        <w:rPr>
          <w:rFonts w:ascii="David" w:cs="David" w:eastAsia="David" w:hAnsi="David"/>
          <w:sz w:val="24"/>
          <w:szCs w:val="24"/>
          <w:rtl/>
        </w:rPr>
        <w:t xml:space="preserve"> בסכסוך פנים־משפחתי טיפוסי מתייצבים אפוא לפני בית המשפט צדדים שאיש מהם אינו רשום, או שהרשום הוא מוריש משותף שנפטר לפני עשרות שנים. כלי ההכרעה חייבים להילקח משכבות שונות של השיטה: דיני החוזים והקניין, דיני היושר, דיני המתנה והירושה, ודיני הראיות. אלה יידונו כעת.</w:t>
      </w:r>
    </w:p>
    <w:p>
      <w:pPr>
        <w:pStyle w:val="Heading1"/>
        <w:bidi/>
        <w:spacing w:after="240" w:before="360"/>
      </w:pPr>
      <w:r>
        <w:rPr>
          <w:rFonts w:ascii="David" w:cs="David" w:eastAsia="David" w:hAnsi="David"/>
          <w:b/>
          <w:bCs/>
          <w:color w:val="000000"/>
          <w:sz w:val="32"/>
          <w:szCs w:val="32"/>
          <w:rtl/>
        </w:rPr>
        <w:t xml:space="preserve">פרק ב: הכלים המשפטיים והראייתיים להכרעה בזכויות בלא רישום</w:t>
      </w:r>
    </w:p>
    <w:p>
      <w:pPr>
        <w:pStyle w:val="Heading2"/>
        <w:bidi/>
        <w:spacing w:after="180" w:before="280"/>
      </w:pPr>
      <w:r>
        <w:rPr>
          <w:rFonts w:ascii="David" w:cs="David" w:eastAsia="David" w:hAnsi="David"/>
          <w:b/>
          <w:bCs/>
          <w:color w:val="000000"/>
          <w:sz w:val="28"/>
          <w:szCs w:val="28"/>
          <w:rtl/>
        </w:rPr>
        <w:t xml:space="preserve">ב.1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8"/>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19"/>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0"/>
      </w:r>
    </w:p>
    <w:p>
      <w:pPr>
        <w:pStyle w:val="Heading2"/>
        <w:bidi/>
        <w:spacing w:after="180" w:before="280"/>
      </w:pPr>
      <w:r>
        <w:rPr>
          <w:rFonts w:ascii="David" w:cs="David" w:eastAsia="David" w:hAnsi="David"/>
          <w:b/>
          <w:bCs/>
          <w:color w:val="000000"/>
          <w:sz w:val="28"/>
          <w:szCs w:val="28"/>
          <w:rtl/>
        </w:rPr>
        <w:t xml:space="preserve">ב.2 דרישת הכתב וייפוי הכוח הבלתי חוזר</w:t>
      </w:r>
    </w:p>
    <w:p>
      <w:pPr>
        <w:bidi/>
        <w:spacing w:after="160" w:line="360"/>
        <w:ind w:firstLine="420"/>
        <w:jc w:val="both"/>
      </w:pPr>
      <w:r>
        <w:rPr>
          <w:rFonts w:ascii="David" w:cs="David" w:eastAsia="David" w:hAnsi="David"/>
          <w:sz w:val="24"/>
          <w:szCs w:val="24"/>
          <w:rtl/>
        </w:rPr>
        <w:t xml:space="preserve">סעיף 8 לחוק המקרקעין מציב דרישת צורה מהותית: התחייבות לעשות עסקה במקרקעין טעונה מסמך בכתב.</w:t>
      </w:r>
      <w:r>
        <w:rPr>
          <w:rStyle w:val="FootnoteReference"/>
        </w:rPr>
        <w:footnoteReference w:id="21"/>
      </w:r>
      <w:r>
        <w:rPr>
          <w:rFonts w:ascii="David" w:cs="David" w:eastAsia="David" w:hAnsi="David"/>
          <w:sz w:val="24"/>
          <w:szCs w:val="24"/>
          <w:rtl/>
        </w:rPr>
        <w:t xml:space="preserve"> בסכסוכים הפנים־משפחתיים שלפנינו,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דרישת סעיף 8 כאשר עולים ממנו הפרטים המהותיים של העסקה – זהות הצדדים, זיהוי הממכר, טיב העסקה והתמורה – ומשתקפת בו גמירות דעת.</w:t>
      </w:r>
      <w:r>
        <w:rPr>
          <w:rStyle w:val="FootnoteReference"/>
        </w:rPr>
        <w:footnoteReference w:id="22"/>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3"/>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4"/>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5"/>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6"/>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7"/>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28"/>
      </w:r>
    </w:p>
    <w:p>
      <w:pPr>
        <w:pStyle w:val="Heading2"/>
        <w:bidi/>
        <w:spacing w:after="180" w:before="280"/>
      </w:pPr>
      <w:r>
        <w:rPr>
          <w:rFonts w:ascii="David" w:cs="David" w:eastAsia="David" w:hAnsi="David"/>
          <w:b/>
          <w:bCs/>
          <w:color w:val="000000"/>
          <w:sz w:val="28"/>
          <w:szCs w:val="28"/>
          <w:rtl/>
        </w:rPr>
        <w:t xml:space="preserve">ב.3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29"/>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ודוק: הפסיקה הקפידה לשמור על חריגותה של ההלכה. נדרשות נסיבות עוצמתיות – ביצוע בפועל, הסתמכות ניכרת, חלוף זמן – ואין די בטענה בעלמא להסכמה משפחתית. בכך משורטט האיזון: דרישת הכתב ממשיכה למלא תפקיד הרתעתי־ראייתי, אך אין היא ניתנת לניצול כדי להתנער מהסכמות שהמשפחה חיה על פיהן דורות.</w:t>
      </w:r>
    </w:p>
    <w:p>
      <w:pPr>
        <w:pStyle w:val="Heading2"/>
        <w:bidi/>
        <w:spacing w:after="180" w:before="280"/>
      </w:pPr>
      <w:r>
        <w:rPr>
          <w:rFonts w:ascii="David" w:cs="David" w:eastAsia="David" w:hAnsi="David"/>
          <w:b/>
          <w:bCs/>
          <w:color w:val="000000"/>
          <w:sz w:val="28"/>
          <w:szCs w:val="28"/>
          <w:rtl/>
        </w:rPr>
        <w:t xml:space="preserve">ב.4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0"/>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1"/>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2"/>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3"/>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4"/>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ב.5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5"/>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6"/>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7"/>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w:t>
      </w:r>
    </w:p>
    <w:p>
      <w:pPr>
        <w:pStyle w:val="Heading2"/>
        <w:bidi/>
        <w:spacing w:after="180" w:before="280"/>
      </w:pPr>
      <w:r>
        <w:rPr>
          <w:rFonts w:ascii="David" w:cs="David" w:eastAsia="David" w:hAnsi="David"/>
          <w:b/>
          <w:bCs/>
          <w:color w:val="000000"/>
          <w:sz w:val="28"/>
          <w:szCs w:val="28"/>
          <w:rtl/>
        </w:rPr>
        <w:t xml:space="preserve">ב.6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38"/>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39"/>
      </w:r>
    </w:p>
    <w:p>
      <w:pPr>
        <w:pStyle w:val="Heading2"/>
        <w:bidi/>
        <w:spacing w:after="180" w:before="280"/>
      </w:pPr>
      <w:r>
        <w:rPr>
          <w:rFonts w:ascii="David" w:cs="David" w:eastAsia="David" w:hAnsi="David"/>
          <w:b/>
          <w:bCs/>
          <w:color w:val="000000"/>
          <w:sz w:val="28"/>
          <w:szCs w:val="28"/>
          <w:rtl/>
        </w:rPr>
        <w:t xml:space="preserve">ב.7 המערך הראייתי: כיצד מוכיחים עסקה בת חמישים?</w:t>
      </w:r>
    </w:p>
    <w:p>
      <w:pPr>
        <w:bidi/>
        <w:spacing w:after="160" w:line="360"/>
        <w:ind w:firstLine="420"/>
        <w:jc w:val="both"/>
      </w:pPr>
      <w:r>
        <w:rPr>
          <w:rFonts w:ascii="David" w:cs="David" w:eastAsia="David" w:hAnsi="David"/>
          <w:sz w:val="24"/>
          <w:szCs w:val="24"/>
          <w:rtl/>
        </w:rPr>
        <w:t xml:space="preserve">בצד הדוקטרינה פועלת מערכת ראייתית. תובע המבקש להוכיח זכות במקרקעין לא רשומים חייב לשכנע במאזן ההסתברויות כי נעשתה עסקה וכי קוימה. הדין מציב מכשול ראייתי נוסף, שכיח מאוד בסכסוכי ירושה: בתביעה נגד עיזבון אין לפסוק על סמך עדותו היחידה של בעל הדין בלא סיוע – שהרי המקנה המקורי אינו עוד בין החיים ואינו יכול להזים.</w:t>
      </w:r>
      <w:r>
        <w:rPr>
          <w:rStyle w:val="FootnoteReference"/>
        </w:rPr>
        <w:footnoteReference w:id="40"/>
      </w:r>
      <w:r>
        <w:rPr>
          <w:rFonts w:ascii="David" w:cs="David" w:eastAsia="David" w:hAnsi="David"/>
          <w:sz w:val="24"/>
          <w:szCs w:val="24"/>
          <w:rtl/>
        </w:rPr>
        <w:t xml:space="preserve"> בפועל נשקלים: המסמך הישן וגלגוליו (ייפוי כוח, קבלות, שטר מסורתי), רציפות ההחזקה והשימוש, עיבוד וגידור, בניית בית מגורים, ידיעת בני המשפחה והתנהגותם רבת־השנים, תשלומי מסים והיטלים, והתכתבויות עם הרשויות. פסיקת בתי המשפט לענייני משפחה בצפון הארץ משקפת את המלאכה: הכרעות המבוססות על צירוף של ייפוי כוח ותיק, עדויות זקני המשפחה, וראיות שימוש והחזקה מתמשכות.</w:t>
      </w:r>
      <w:r>
        <w:rPr>
          <w:rStyle w:val="FootnoteReference"/>
        </w:rPr>
        <w:footnoteReference w:id="41"/>
      </w:r>
      <w:r>
        <w:rPr>
          <w:rFonts w:ascii="David" w:cs="David" w:eastAsia="David" w:hAnsi="David"/>
          <w:sz w:val="24"/>
          <w:szCs w:val="24"/>
          <w:rtl/>
        </w:rPr>
        <w:t xml:space="preserve"> למשקלם המדויק של היתרי בנייה ותשלומי ארנונה יוקדש פרק ד.</w:t>
      </w:r>
    </w:p>
    <w:p>
      <w:pPr>
        <w:pStyle w:val="Heading1"/>
        <w:bidi/>
        <w:spacing w:after="240" w:before="360"/>
      </w:pPr>
      <w:r>
        <w:rPr>
          <w:rFonts w:ascii="David" w:cs="David" w:eastAsia="David" w:hAnsi="David"/>
          <w:b/>
          <w:bCs/>
          <w:color w:val="000000"/>
          <w:sz w:val="32"/>
          <w:szCs w:val="32"/>
          <w:rtl/>
        </w:rPr>
        <w:t xml:space="preserve">פרק ג: "התניית הרישום" במס – עסקאות היסטוריות שלא דווחו והשלכותיהן הכלכליות</w:t>
      </w:r>
    </w:p>
    <w:p>
      <w:pPr>
        <w:pStyle w:val="Heading2"/>
        <w:bidi/>
        <w:spacing w:after="180" w:before="280"/>
      </w:pPr>
      <w:r>
        <w:rPr>
          <w:rFonts w:ascii="David" w:cs="David" w:eastAsia="David" w:hAnsi="David"/>
          <w:b/>
          <w:bCs/>
          <w:color w:val="000000"/>
          <w:sz w:val="28"/>
          <w:szCs w:val="28"/>
          <w:rtl/>
        </w:rPr>
        <w:t xml:space="preserve">ג.1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הקנייני של העסקה ואת רישומה בהסדרת החבות. סעיף 16 לחוק קובע כי תוקפן של מכירת זכות במקרקעין ופעולה באיגוד מקרקעין מותנה במילוי חובות ההצהרה והתשלום, וכי עסקה לא תירשם בפנקסי המקרקעין אלא אם אישר המנהל שהיא פטורה ממס או שהמס המגיע שולם.</w:t>
      </w:r>
      <w:r>
        <w:rPr>
          <w:rStyle w:val="FootnoteReference"/>
        </w:rPr>
        <w:footnoteReference w:id="42"/>
      </w:r>
      <w:r>
        <w:rPr>
          <w:rFonts w:ascii="David" w:cs="David" w:eastAsia="David" w:hAnsi="David"/>
          <w:sz w:val="24"/>
          <w:szCs w:val="24"/>
          <w:rtl/>
        </w:rPr>
        <w:t xml:space="preserve"> לענייננו חשובה במיוחד ההוראה המכוונת אל הפרקטיקה של ייפויי הכוח: אין תוקף לפעולה שהיא ייפוי כוח לטובת הקונה או לפקודתו, אלא אם ייפוי הכוח – או העתק נוטריוני שלו – הופקד אצל מנהל מיסוי מקרקעין במועד הקבוע בחוק.</w:t>
      </w:r>
      <w:r>
        <w:rPr>
          <w:rStyle w:val="FootnoteReference"/>
        </w:rPr>
        <w:footnoteReference w:id="43"/>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44"/>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45"/>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די בהתחייבות מחייבת כדי להצמיח "יום מכירה" ולהעמיד את החבות במס על מכונה, אף שהקניין טרם עבר.</w:t>
      </w:r>
      <w:r>
        <w:rPr>
          <w:rStyle w:val="FootnoteReference"/>
        </w:rPr>
        <w:footnoteReference w:id="46"/>
      </w:r>
      <w:r>
        <w:rPr>
          <w:rFonts w:ascii="David" w:cs="David" w:eastAsia="David" w:hAnsi="David"/>
          <w:sz w:val="24"/>
          <w:szCs w:val="24"/>
          <w:rtl/>
        </w:rPr>
        <w:t xml:space="preserve"> התוצאה המבנית מרתקת: דווקא מפני שהמס "רואה" את העסקה הבלתי רשומה, נוצר פער בין שני מרשמים – מרשם הזכויות, שבו העסקה אינה קיימת, ומרשם המס, שבו היא הייתה אמורה להיות מדווחת זה מכבר.</w:t>
      </w:r>
    </w:p>
    <w:p>
      <w:pPr>
        <w:pStyle w:val="Heading2"/>
        <w:bidi/>
        <w:spacing w:after="180" w:before="280"/>
      </w:pPr>
      <w:r>
        <w:rPr>
          <w:rFonts w:ascii="David" w:cs="David" w:eastAsia="David" w:hAnsi="David"/>
          <w:b/>
          <w:bCs/>
          <w:color w:val="000000"/>
          <w:sz w:val="28"/>
          <w:szCs w:val="28"/>
          <w:rtl/>
        </w:rPr>
        <w:t xml:space="preserve">ג.2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47"/>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ריככה את הוראת סעיף 16 ופירשה אותה כך שהעדר דיווח משעה את תוקפה של המכירה אך אינו שולל אותו לצמיתות – ההצהרה ניתנת להגשה באיחור, והעסקה מבשילה למפרע.</w:t>
      </w:r>
      <w:r>
        <w:rPr>
          <w:rStyle w:val="FootnoteReference"/>
        </w:rPr>
        <w:footnoteReference w:id="48"/>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ג.3 ההשלכות הכלכליות: מעגל הקסמים של אי־הרישום</w:t>
      </w:r>
    </w:p>
    <w:p>
      <w:pPr>
        <w:bidi/>
        <w:spacing w:after="160" w:line="360"/>
        <w:ind w:firstLine="420"/>
        <w:jc w:val="both"/>
      </w:pPr>
      <w:r>
        <w:rPr>
          <w:rFonts w:ascii="David" w:cs="David" w:eastAsia="David" w:hAnsi="David"/>
          <w:sz w:val="24"/>
          <w:szCs w:val="24"/>
          <w:rtl/>
        </w:rPr>
        <w:t xml:space="preserve">התניית הרישום במס יוצרת תמריץ שלילי מובהק. ככל שחולף הזמן, עלות ההסדרה גדלה – החוב ההיסטורי צובר הצמדה וריבית,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דווקא המשפחות שהיו זקוקות ביותר לוודאות קניינית נדחקות אל מחוץ למרשם, וההון הקנייני שלהן נותר "הון מת" – נכסים שאינם ניתנים למשכון, לביטוח ולמימוש שוקי.</w:t>
      </w:r>
      <w:r>
        <w:rPr>
          <w:rStyle w:val="FootnoteReference"/>
        </w:rPr>
        <w:footnoteReference w:id="49"/>
      </w:r>
    </w:p>
    <w:p>
      <w:pPr>
        <w:bidi/>
        <w:spacing w:after="160" w:line="360"/>
        <w:ind w:firstLine="420"/>
        <w:jc w:val="both"/>
      </w:pPr>
      <w:r>
        <w:rPr>
          <w:rFonts w:ascii="David" w:cs="David" w:eastAsia="David" w:hAnsi="David"/>
          <w:sz w:val="24"/>
          <w:szCs w:val="24"/>
          <w:rtl/>
        </w:rPr>
        <w:t xml:space="preserve">למעגל הזה נודעת גם השלכה ראייתית ישירה על הסכסוך המשפחתי: אי־הדיווח ההיסטורי מקשה על הטוען לעסקה להציג את סממני האמינות שמערכת המס מספקת בדרך כלל – שומה עצמית מזמן אמת, אישורי תשלום, הצהרות חתומות. בהיעדרם, נאלץ בית המשפט להישען על הראיות הנסיבתיות שיידונו בפרק הבא. ומנגד, טענת יורש כי "אילו הייתה עסקה, הייתה מדווחת" – טענה שובת לב לכאורה – זוכה בפסיקה למשקל מוגבל, שכן אי־הדיווח היה, כמתואר, נורמה חברתית רחבה ולא אינדיקציה לפיקטיביות העסקה הקונקרטית.</w:t>
      </w:r>
      <w:r>
        <w:rPr>
          <w:rStyle w:val="FootnoteReference"/>
        </w:rPr>
        <w:footnoteReference w:id="50"/>
      </w:r>
      <w:r>
        <w:rPr>
          <w:rFonts w:ascii="David" w:cs="David" w:eastAsia="David" w:hAnsi="David"/>
          <w:sz w:val="24"/>
          <w:szCs w:val="24"/>
          <w:rtl/>
        </w:rPr>
        <w:t xml:space="preserve"> נשוב לשאלת המדיניות – האם ראוי לנתק את הרישום מן המס, כפי שעשתה מצרים ברפורמה של 2022 – בפרק ה ובסיכום.</w:t>
      </w:r>
    </w:p>
    <w:p>
      <w:pPr>
        <w:pStyle w:val="Heading1"/>
        <w:bidi/>
        <w:spacing w:after="240" w:before="360"/>
      </w:pPr>
      <w:r>
        <w:rPr>
          <w:rFonts w:ascii="David" w:cs="David" w:eastAsia="David" w:hAnsi="David"/>
          <w:b/>
          <w:bCs/>
          <w:color w:val="000000"/>
          <w:sz w:val="32"/>
          <w:szCs w:val="32"/>
          <w:rtl/>
        </w:rPr>
        <w:t xml:space="preserve">פרק ד: היתר בנייה, ארנונה וראיות נסיבתיות – משקלן בהוכחת הזכות</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1"/>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2"/>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53"/>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bidi/>
        <w:spacing w:after="160" w:line="360"/>
        <w:ind w:firstLine="420"/>
        <w:jc w:val="both"/>
      </w:pPr>
      <w:r>
        <w:rPr>
          <w:rFonts w:ascii="David" w:cs="David" w:eastAsia="David" w:hAnsi="David"/>
          <w:sz w:val="24"/>
          <w:szCs w:val="24"/>
          <w:rtl/>
        </w:rPr>
        <w:t xml:space="preserve">ההבחנה החדה עולה מסעיף 125 לחוק המקרקעין עצמו: במקרקעין מוסדרים הרישום הוא ראיה חותכת, ושום צבר של קבלות ארנונה והיתרים אינו יכול לגבור עליו במישור הקנייני הטהור – הוא יכול, לכל היותר, לבסס עילות שביושר, רישיון או התחייבות המקימות זכויות כלפי הרשום. במקרקעין לא מוסדרים, לעומת זאת, הרישום ניתן לסתירה, וראיות ההחזקה, העיבוד, הבנייה והתשלומים הן הזירה הראייתית המרכזית שבה מוכרעת השאלה מי הבעלים.</w:t>
      </w:r>
      <w:r>
        <w:rPr>
          <w:rStyle w:val="FootnoteReference"/>
        </w:rPr>
        <w:footnoteReference w:id="54"/>
      </w:r>
    </w:p>
    <w:p>
      <w:pPr>
        <w:pStyle w:val="Heading2"/>
        <w:bidi/>
        <w:spacing w:after="180" w:before="280"/>
      </w:pPr>
      <w:r>
        <w:rPr>
          <w:rFonts w:ascii="David" w:cs="David" w:eastAsia="David" w:hAnsi="David"/>
          <w:b/>
          <w:bCs/>
          <w:color w:val="000000"/>
          <w:sz w:val="28"/>
          <w:szCs w:val="28"/>
          <w:rtl/>
        </w:rPr>
        <w:t xml:space="preserve">ד.3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בסכסוך המשפחתי על מקרקעין לא רשומים.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55"/>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1"/>
        <w:bidi/>
        <w:spacing w:after="240" w:before="360"/>
      </w:pPr>
      <w:r>
        <w:rPr>
          <w:rFonts w:ascii="David" w:cs="David" w:eastAsia="David" w:hAnsi="David"/>
          <w:b/>
          <w:bCs/>
          <w:color w:val="000000"/>
          <w:sz w:val="32"/>
          <w:szCs w:val="32"/>
          <w:rtl/>
        </w:rPr>
        <w:t xml:space="preserve">פרק ה: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והפקיר את הרוכש הבלתי רשום למישור האובליגטורי, תוך שהפרקטיקה פיתחה מנגנוני עקיפה משוכללים; והמשפט השרעי, שקדם לרעיון המרשם המודרני, העמיד את התפיסה הפיזית – הקַבְּץ׳ – במרכז ההקניה. כל אחת מן השיטות מאירה פן אחר של הדין הישראלי.</w:t>
      </w:r>
    </w:p>
    <w:p>
      <w:pPr>
        <w:pStyle w:val="Heading2"/>
        <w:bidi/>
        <w:spacing w:after="180" w:before="280"/>
      </w:pPr>
      <w:r>
        <w:rPr>
          <w:rFonts w:ascii="David" w:cs="David" w:eastAsia="David" w:hAnsi="David"/>
          <w:b/>
          <w:bCs/>
          <w:color w:val="000000"/>
          <w:sz w:val="28"/>
          <w:szCs w:val="28"/>
          <w:rtl/>
        </w:rPr>
        <w:t xml:space="preserve">ה.1 המשפט המקובל (Common Law)</w:t>
      </w:r>
    </w:p>
    <w:p>
      <w:pPr>
        <w:pStyle w:val="Heading3"/>
        <w:bidi/>
        <w:spacing w:after="140" w:before="220"/>
      </w:pPr>
      <w:r>
        <w:rPr>
          <w:rFonts w:ascii="David" w:cs="David" w:eastAsia="David" w:hAnsi="David"/>
          <w:b/>
          <w:bCs/>
          <w:color w:val="000000"/>
          <w:sz w:val="26"/>
          <w:szCs w:val="26"/>
          <w:rtl/>
        </w:rPr>
        <w:t xml:space="preserve">ה.1.1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56"/>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57"/>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58"/>
      </w:r>
    </w:p>
    <w:p>
      <w:pPr>
        <w:pStyle w:val="Heading3"/>
        <w:bidi/>
        <w:spacing w:after="140" w:before="220"/>
      </w:pPr>
      <w:r>
        <w:rPr>
          <w:rFonts w:ascii="David" w:cs="David" w:eastAsia="David" w:hAnsi="David"/>
          <w:b/>
          <w:bCs/>
          <w:color w:val="000000"/>
          <w:sz w:val="26"/>
          <w:szCs w:val="26"/>
          <w:rtl/>
        </w:rPr>
        <w:t xml:space="preserve">ה.1.2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59"/>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0"/>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1"/>
      </w:r>
    </w:p>
    <w:p>
      <w:pPr>
        <w:pStyle w:val="Heading3"/>
        <w:bidi/>
        <w:spacing w:after="140" w:before="220"/>
      </w:pPr>
      <w:r>
        <w:rPr>
          <w:rFonts w:ascii="David" w:cs="David" w:eastAsia="David" w:hAnsi="David"/>
          <w:b/>
          <w:bCs/>
          <w:color w:val="000000"/>
          <w:sz w:val="26"/>
          <w:szCs w:val="26"/>
          <w:rtl/>
        </w:rPr>
        <w:t xml:space="preserve">ה.1.3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2"/>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64"/>
      </w:r>
      <w:r>
        <w:rPr>
          <w:rFonts w:ascii="David" w:cs="David" w:eastAsia="David" w:hAnsi="David"/>
          <w:sz w:val="24"/>
          <w:szCs w:val="24"/>
          <w:rtl/>
        </w:rPr>
        <w:t xml:space="preserve">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ו"זעקת ההגינות" הן, מבחינה פונקציונלית, השתק קנייני ללא השם.</w:t>
      </w:r>
    </w:p>
    <w:p>
      <w:pPr>
        <w:pStyle w:val="Heading3"/>
        <w:bidi/>
        <w:spacing w:after="140" w:before="220"/>
      </w:pPr>
      <w:r>
        <w:rPr>
          <w:rFonts w:ascii="David" w:cs="David" w:eastAsia="David" w:hAnsi="David"/>
          <w:b/>
          <w:bCs/>
          <w:color w:val="000000"/>
          <w:sz w:val="26"/>
          <w:szCs w:val="26"/>
          <w:rtl/>
        </w:rPr>
        <w:t xml:space="preserve">ה.1.4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65"/>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66"/>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67"/>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68"/>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זהו שיעור ראשון במחיר שגובה חסם רישומי: מקום שהרישום קל – ההון המשפטי זורם אליו; מקום שהוא יקר ומסורבל – הוא זורם לעוקפיו.</w:t>
      </w:r>
    </w:p>
    <w:p>
      <w:pPr>
        <w:pStyle w:val="Heading2"/>
        <w:bidi/>
        <w:spacing w:after="180" w:before="280"/>
      </w:pPr>
      <w:r>
        <w:rPr>
          <w:rFonts w:ascii="David" w:cs="David" w:eastAsia="David" w:hAnsi="David"/>
          <w:b/>
          <w:bCs/>
          <w:color w:val="000000"/>
          <w:sz w:val="28"/>
          <w:szCs w:val="28"/>
          <w:rtl/>
        </w:rPr>
        <w:t xml:space="preserve">ה.2 המשפט המצרי</w:t>
      </w:r>
    </w:p>
    <w:p>
      <w:pPr>
        <w:pStyle w:val="Heading3"/>
        <w:bidi/>
        <w:spacing w:after="140" w:before="220"/>
      </w:pPr>
      <w:r>
        <w:rPr>
          <w:rFonts w:ascii="David" w:cs="David" w:eastAsia="David" w:hAnsi="David"/>
          <w:b/>
          <w:bCs/>
          <w:color w:val="000000"/>
          <w:sz w:val="26"/>
          <w:szCs w:val="26"/>
          <w:rtl/>
        </w:rPr>
        <w:t xml:space="preserve">ה.2.1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69"/>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0"/>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1"/>
      </w:r>
    </w:p>
    <w:p>
      <w:pPr>
        <w:pStyle w:val="Heading3"/>
        <w:bidi/>
        <w:spacing w:after="140" w:before="220"/>
      </w:pPr>
      <w:r>
        <w:rPr>
          <w:rFonts w:ascii="David" w:cs="David" w:eastAsia="David" w:hAnsi="David"/>
          <w:b/>
          <w:bCs/>
          <w:color w:val="000000"/>
          <w:sz w:val="26"/>
          <w:szCs w:val="26"/>
          <w:rtl/>
        </w:rPr>
        <w:t xml:space="preserve">ה.2.2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2"/>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73"/>
      </w:r>
      <w:r>
        <w:rPr>
          <w:rFonts w:ascii="David" w:cs="David" w:eastAsia="David" w:hAnsi="David"/>
          <w:sz w:val="24"/>
          <w:szCs w:val="24"/>
          <w:rtl/>
        </w:rPr>
        <w:t xml:space="preserve"> סימס אף מרחיק לכת וטוען כי מערכת התחליפים הזו מספקת בפועל ביטחון קנייני סביר – טענה מאלפת לענייננו, שכן היא מזכירה כי השאלה האמיתית אינה "רישום או כאוס" אלא איזו רמת ודאות מספקים מוסדות התחליף.</w:t>
      </w:r>
    </w:p>
    <w:p>
      <w:pPr>
        <w:pStyle w:val="Heading3"/>
        <w:bidi/>
        <w:spacing w:after="140" w:before="220"/>
      </w:pPr>
      <w:r>
        <w:rPr>
          <w:rFonts w:ascii="David" w:cs="David" w:eastAsia="David" w:hAnsi="David"/>
          <w:b/>
          <w:bCs/>
          <w:color w:val="000000"/>
          <w:sz w:val="26"/>
          <w:szCs w:val="26"/>
          <w:rtl/>
        </w:rPr>
        <w:t xml:space="preserve">ה.2.3 הרפורמה של 2020–2022: ניתוק הרישום מן המס</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74"/>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75"/>
      </w:r>
      <w:r>
        <w:rPr>
          <w:rFonts w:ascii="David" w:cs="David" w:eastAsia="David" w:hAnsi="David"/>
          <w:sz w:val="24"/>
          <w:szCs w:val="24"/>
          <w:rtl/>
        </w:rPr>
        <w:t xml:space="preserve"> זהו ניסוי מדיניות בעל חשיבות ישירה לישראל: מצרים אבחנה כי צימוד הרישום למס – המנגנון שסעיף 16 הישראלי משכללו – הוא עצמו מנוע מרכזי של אי־הרישום, ובחרה לוותר על מנוף הגבייה כדי להציל את המרשם. על הלקח הזה נעמוד בסיכום.</w:t>
      </w:r>
    </w:p>
    <w:p>
      <w:pPr>
        <w:pStyle w:val="Heading3"/>
        <w:bidi/>
        <w:spacing w:after="140" w:before="220"/>
      </w:pPr>
      <w:r>
        <w:rPr>
          <w:rFonts w:ascii="David" w:cs="David" w:eastAsia="David" w:hAnsi="David"/>
          <w:b/>
          <w:bCs/>
          <w:color w:val="000000"/>
          <w:sz w:val="26"/>
          <w:szCs w:val="26"/>
          <w:rtl/>
        </w:rPr>
        <w:t xml:space="preserve">ה.2.4 מקומה של השריעה במשפט המצרי</w:t>
      </w:r>
    </w:p>
    <w:p>
      <w:pPr>
        <w:bidi/>
        <w:spacing w:after="160" w:line="360"/>
        <w:ind w:firstLine="420"/>
        <w:jc w:val="both"/>
      </w:pPr>
      <w:r>
        <w:rPr>
          <w:rFonts w:ascii="David" w:cs="David" w:eastAsia="David" w:hAnsi="David"/>
          <w:sz w:val="24"/>
          <w:szCs w:val="24"/>
          <w:rtl/>
        </w:rPr>
        <w:t xml:space="preserve">כינויו של המשפט המצרי בפי רבים "משפט שרעי" מדויק רק בחלקו. חוקת מצרים קובעת אמנם כי "עקרונות השריעה האסלאמית הם המקור הראשי לחקיקה",</w:t>
      </w:r>
      <w:r>
        <w:rPr>
          <w:rStyle w:val="FootnoteReference"/>
        </w:rPr>
        <w:footnoteReference w:id="76"/>
      </w:r>
      <w:r>
        <w:rPr>
          <w:rFonts w:ascii="David" w:cs="David" w:eastAsia="David" w:hAnsi="David"/>
          <w:sz w:val="24"/>
          <w:szCs w:val="24"/>
          <w:rtl/>
        </w:rPr>
        <w:t xml:space="preserve"> וסעיף 1 לקוד האזרחי מציב את עקרונות השריעה כמקור שיורי – לאחר החקיקה והמנהג – להשלמת חסרים.</w:t>
      </w:r>
      <w:r>
        <w:rPr>
          <w:rStyle w:val="FootnoteReference"/>
        </w:rPr>
        <w:footnoteReference w:id="77"/>
      </w:r>
      <w:r>
        <w:rPr>
          <w:rFonts w:ascii="David" w:cs="David" w:eastAsia="David" w:hAnsi="David"/>
          <w:sz w:val="24"/>
          <w:szCs w:val="24"/>
          <w:rtl/>
        </w:rPr>
        <w:t xml:space="preserve"> אך דיני הקניין והחיובים המצריים הם ביסודם קונטיננטליים־צרפתיים בעיצובו של אל־סנהורי, שביקש להניח תשתית אזרחית מודרנית העולה בקנה אחד עם השריעה בלא להיות כפופה לה. השריעה שולטת שליטה מלאה בתחום אחד הקריטי לענייננו – הירושה: חוק הירושה המצרי (חוק מס׳ 77 לשנת 1943) הוא קודיפיקציה של דיני הפַרַאאִץ׳ השרעיים, על מנות היורשים הקבועות שבהם.</w:t>
      </w:r>
      <w:r>
        <w:rPr>
          <w:rStyle w:val="FootnoteReference"/>
        </w:rPr>
        <w:footnoteReference w:id="78"/>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ה.3 המשפט השרעי האסלאמי</w:t>
      </w:r>
    </w:p>
    <w:p>
      <w:pPr>
        <w:pStyle w:val="Heading3"/>
        <w:bidi/>
        <w:spacing w:after="140" w:before="220"/>
      </w:pPr>
      <w:r>
        <w:rPr>
          <w:rFonts w:ascii="David" w:cs="David" w:eastAsia="David" w:hAnsi="David"/>
          <w:b/>
          <w:bCs/>
          <w:color w:val="000000"/>
          <w:sz w:val="26"/>
          <w:szCs w:val="26"/>
          <w:rtl/>
        </w:rPr>
        <w:t xml:space="preserve">ה.3.1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79"/>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ה.3.2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0"/>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81"/>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82"/>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83"/>
      </w:r>
    </w:p>
    <w:p>
      <w:pPr>
        <w:pStyle w:val="Heading3"/>
        <w:bidi/>
        <w:spacing w:after="140" w:before="220"/>
      </w:pPr>
      <w:r>
        <w:rPr>
          <w:rFonts w:ascii="David" w:cs="David" w:eastAsia="David" w:hAnsi="David"/>
          <w:b/>
          <w:bCs/>
          <w:color w:val="000000"/>
          <w:sz w:val="26"/>
          <w:szCs w:val="26"/>
          <w:rtl/>
        </w:rPr>
        <w:t xml:space="preserve">ה.3.3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8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85"/>
      </w:r>
      <w:r>
        <w:rPr>
          <w:rFonts w:ascii="David" w:cs="David" w:eastAsia="David" w:hAnsi="David"/>
          <w:sz w:val="24"/>
          <w:szCs w:val="24"/>
          <w:rtl/>
        </w:rPr>
        <w:t xml:space="preserve"> על רקע זה התפתחו בחברות המוסלמיות דפוסים חברתיים מתעדים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86"/>
      </w:r>
      <w:r>
        <w:rPr>
          <w:rFonts w:ascii="David" w:cs="David" w:eastAsia="David" w:hAnsi="David"/>
          <w:sz w:val="24"/>
          <w:szCs w:val="24"/>
          <w:rtl/>
        </w:rPr>
        <w:t xml:space="preserve"> ובמישור הקרקעי, חוק הקרקעות העות׳מאני משנת 1858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8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ה.4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w:t>
      </w:r>
      <w:r>
        <w:rPr>
          <w:rFonts w:ascii="David" w:cs="David" w:eastAsia="David" w:hAnsi="David"/>
          <w:sz w:val="24"/>
          <w:szCs w:val="24"/>
          <w:rtl/>
        </w:rPr>
        <w:t xml:space="preserve">מרתק לגלות ששלוש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88"/>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ההכרעה השיפוטית הטיפוסית אינה נשענת על כלי יחיד אלא על הצטברות קוהרנטית של מסמך ותיק, ביצוע ממושך וראיות נסיבתיות.</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(סעיף 16 לחוק מיסוי מקרקעין וסעיף 324 לפקודת העיריות) פועל על עסקאות היסטוריות כמס רטרואקטיבי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ככל שההסדרה נדחית היא מתייקרת, וככל שהיא מתייקרת – היא נדחית.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העבודה חשפה רצף גנאלוגי אחד: מן הקַבְּץ׳ השרעי,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אפוא,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מן הראוי לחתום בשלוש המלצות מדיניות. </w:t>
      </w:r>
      <w:r>
        <w:rPr>
          <w:rFonts w:ascii="David" w:cs="David" w:eastAsia="David" w:hAnsi="David"/>
          <w:b/>
          <w:bCs/>
          <w:sz w:val="24"/>
          <w:szCs w:val="24"/>
          <w:rtl/>
        </w:rPr>
        <w:t xml:space="preserve">ראשית</w:t>
      </w:r>
      <w:r>
        <w:rPr>
          <w:rFonts w:ascii="David" w:cs="David" w:eastAsia="David" w:hAnsi="David"/>
          <w:sz w:val="24"/>
          <w:szCs w:val="24"/>
          <w:rtl/>
        </w:rPr>
        <w:t xml:space="preserve">, יש לשקול – בעקבות מצרים – ריכוך ממוקד של צימוד המרשם והמס לגבי עסקאות פנים־משפחתיות היסטוריות: הוראת שעה של הקלה בקנסות ובריבית, או מסלול "הסדרה מוזלת", שתמריץ רישום במקום להענישו. </w:t>
      </w:r>
      <w:r>
        <w:rPr>
          <w:rFonts w:ascii="David" w:cs="David" w:eastAsia="David" w:hAnsi="David"/>
          <w:b/>
          <w:bCs/>
          <w:sz w:val="24"/>
          <w:szCs w:val="24"/>
          <w:rtl/>
        </w:rPr>
        <w:t xml:space="preserve">שנית</w:t>
      </w:r>
      <w:r>
        <w:rPr>
          <w:rFonts w:ascii="David" w:cs="David" w:eastAsia="David" w:hAnsi="David"/>
          <w:sz w:val="24"/>
          <w:szCs w:val="24"/>
          <w:rtl/>
        </w:rPr>
        <w:t xml:space="preserve">, ראוי להשלים את הליכי הסדר הזכויות ביישובים הערביים שבהם לא הושלמו, בשיתוף הקהילות ובהכרה בראיות ההחזקה המסורתיות – שאם לא כן יוסיף כל דור להוריש לדור הבא סכסוך גדול משהוריש לו קודמו. </w:t>
      </w:r>
      <w:r>
        <w:rPr>
          <w:rFonts w:ascii="David" w:cs="David" w:eastAsia="David" w:hAnsi="David"/>
          <w:b/>
          <w:bCs/>
          <w:sz w:val="24"/>
          <w:szCs w:val="24"/>
          <w:rtl/>
        </w:rPr>
        <w:t xml:space="preserve">שלישית</w:t>
      </w:r>
      <w:r>
        <w:rPr>
          <w:rFonts w:ascii="David" w:cs="David" w:eastAsia="David" w:hAnsi="David"/>
          <w:sz w:val="24"/>
          <w:szCs w:val="24"/>
          <w:rtl/>
        </w:rPr>
        <w:t xml:space="preserve">, במישור השיפוטי, מוצע לעגן בגלוי את המדרג הראייתי שהותווה בפרק ד, ולהכיר בכך שבסכסוכים אלה "היעדר מסמכים" איננו חשד אלא נורמה תרבותית־היסטורית – כפי שעשה הדין האנגלי בפתחו את ההשתק הקנייני לסכסוכי המשק המשפחתי.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i w:val="false"/>
          <w:iCs w:val="false"/>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על דפוסי הקרקע והמושאע ראו להלן פרק א.3 והמקורות הנזכרים שם.</w:t>
      </w:r>
    </w:p>
  </w:footnote>
  <w:footnote w:id="5">
    <w:p>
      <w:pPr>
        <w:bidi/>
        <w:spacing w:after="60"/>
      </w:pPr>
      <w:r>
        <w:rPr>
          <w:rStyle w:val="FootnoteReference"/>
        </w:rPr>
        <w:footnoteRef/>
      </w:r>
      <w:r>
        <w:rPr>
          <w:rFonts w:ascii="David" w:cs="David" w:eastAsia="David" w:hAnsi="David"/>
          <w:sz w:val="20"/>
          <w:szCs w:val="20"/>
          <w:rtl/>
        </w:rPr>
        <w:t xml:space="preserve">ס׳ 6 לחוק המקרקעין, התשכ"ט-1969 (להלן: חוק המקרקעין).</w:t>
      </w:r>
    </w:p>
  </w:footnote>
  <w:footnote w:id="6">
    <w:p>
      <w:pPr>
        <w:bidi/>
        <w:spacing w:after="60"/>
      </w:pPr>
      <w:r>
        <w:rPr>
          <w:rStyle w:val="FootnoteReference"/>
        </w:rPr>
        <w:footnoteRef/>
      </w:r>
      <w:r>
        <w:rPr>
          <w:rFonts w:ascii="David" w:cs="David" w:eastAsia="David" w:hAnsi="David"/>
          <w:sz w:val="20"/>
          <w:szCs w:val="20"/>
          <w:rtl/>
        </w:rPr>
        <w:t xml:space="preserve">ס׳ 7 לחוק המקרקעין.</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 לחוק המקרקעין. לניתוח מוסדי של ההערה ראו אוריאל רייכמן "הערת האזהרה – מהות, יצירה והגנה כנגד עסקות נוגדות" עיוני משפט י 297 (1984).</w:t>
      </w:r>
    </w:p>
  </w:footnote>
  <w:footnote w:id="10">
    <w:p>
      <w:pPr>
        <w:bidi/>
        <w:spacing w:after="60"/>
      </w:pPr>
      <w:r>
        <w:rPr>
          <w:rStyle w:val="FootnoteReference"/>
        </w:rPr>
        <w:footnoteRef/>
      </w:r>
      <w:r>
        <w:rPr>
          <w:rFonts w:ascii="David" w:cs="David" w:eastAsia="David" w:hAnsi="David"/>
          <w:sz w:val="20"/>
          <w:szCs w:val="20"/>
          <w:rtl/>
        </w:rPr>
        <w:t xml:space="preserve">ס׳ 127 לחוק המקרקעין.</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4">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ה.3 לדיון בקטגוריות אלה ובמורשתן.</w:t>
      </w:r>
    </w:p>
  </w:footnote>
  <w:footnote w:id="15">
    <w:p>
      <w:pPr>
        <w:bidi/>
        <w:spacing w:after="60"/>
      </w:pPr>
      <w:r>
        <w:rPr>
          <w:rStyle w:val="FootnoteReference"/>
        </w:rPr>
        <w:footnoteRef/>
      </w:r>
      <w:r>
        <w:rPr>
          <w:rFonts w:ascii="David" w:cs="David" w:eastAsia="David" w:hAnsi="David"/>
          <w:sz w:val="20"/>
          <w:szCs w:val="20"/>
          <w:rtl/>
        </w:rPr>
        <w:t xml:space="preserve">לתיאור המושאע והשפעתו על דיני הקרקעות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w:t>
      </w:r>
    </w:p>
  </w:footnote>
  <w:footnote w:id="19">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0">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1">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22">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24">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5">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6">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7">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2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29">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0">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1">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30</w:t>
      </w:r>
      <w:r>
        <w:rPr>
          <w:rFonts w:ascii="David" w:cs="David" w:eastAsia="David" w:hAnsi="David"/>
          <w:sz w:val="20"/>
          <w:szCs w:val="20"/>
          <w:rtl/>
        </w:rPr>
        <w:t xml:space="preserve">, בעמ׳ 344 ואילך.</w:t>
      </w:r>
    </w:p>
  </w:footnote>
  <w:footnote w:id="32">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30</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3">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4">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30</w:t>
      </w:r>
      <w:r>
        <w:rPr>
          <w:rFonts w:ascii="David" w:cs="David" w:eastAsia="David" w:hAnsi="David"/>
          <w:sz w:val="20"/>
          <w:szCs w:val="20"/>
          <w:rtl/>
        </w:rPr>
        <w:t xml:space="preserve">, בעמ׳ 333–337; להשלמת מתנה בקבלת החזקה ראו גם להלן פרק ה.3 לעניין דרישת הקַבְּץ׳ (התפיסה) במשפט השרעי.</w:t>
      </w:r>
    </w:p>
  </w:footnote>
  <w:footnote w:id="35">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6">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7">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w:t>
      </w:r>
    </w:p>
  </w:footnote>
  <w:footnote w:id="38">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39">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38</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35</w:t>
      </w:r>
      <w:r>
        <w:rPr>
          <w:rFonts w:ascii="David" w:cs="David" w:eastAsia="David" w:hAnsi="David"/>
          <w:sz w:val="20"/>
          <w:szCs w:val="20"/>
          <w:rtl/>
        </w:rPr>
        <w:t xml:space="preserve">, לעניין היחס בין רישיון לחזקה.</w:t>
      </w:r>
    </w:p>
  </w:footnote>
  <w:footnote w:id="40">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1">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25</w:t>
      </w:r>
      <w:r>
        <w:rPr>
          <w:rFonts w:ascii="David" w:cs="David" w:eastAsia="David" w:hAnsi="David"/>
          <w:sz w:val="20"/>
          <w:szCs w:val="20"/>
          <w:rtl/>
        </w:rPr>
        <w:t xml:space="preserve">.</w:t>
      </w:r>
    </w:p>
  </w:footnote>
  <w:footnote w:id="42">
    <w:p>
      <w:pPr>
        <w:bidi/>
        <w:spacing w:after="60"/>
      </w:pPr>
      <w:r>
        <w:rPr>
          <w:rStyle w:val="FootnoteReference"/>
        </w:rPr>
        <w:footnoteRef/>
      </w:r>
      <w:r>
        <w:rPr>
          <w:rFonts w:ascii="David" w:cs="David" w:eastAsia="David" w:hAnsi="David"/>
          <w:sz w:val="20"/>
          <w:szCs w:val="20"/>
          <w:rtl/>
        </w:rPr>
        <w:t xml:space="preserve">ס׳ 16 לחוק מיסוי מקרקעין (שבח ורכישה), התשכ"ג-1963 (להלן: חוק מיסוי מקרקעין).</w:t>
      </w:r>
    </w:p>
  </w:footnote>
  <w:footnote w:id="43">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44">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45">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46">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ולעקרון המהות הכלכלית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פרק ראשון (2017).</w:t>
      </w:r>
    </w:p>
  </w:footnote>
  <w:footnote w:id="47">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לפרשנות המרככת של ס׳ 16 ראו גורמן ואהרונוביץ׳, </w:t>
      </w:r>
      <w:r>
        <w:rPr>
          <w:rFonts w:ascii="David" w:cs="David" w:eastAsia="David" w:hAnsi="David"/>
          <w:sz w:val="20"/>
          <w:szCs w:val="20"/>
          <w:rtl/>
        </w:rPr>
        <w:t xml:space="preserve">לעיל ה"ש 46</w:t>
      </w:r>
      <w:r>
        <w:rPr>
          <w:rFonts w:ascii="David" w:cs="David" w:eastAsia="David" w:hAnsi="David"/>
          <w:sz w:val="20"/>
          <w:szCs w:val="20"/>
          <w:rtl/>
        </w:rPr>
        <w:t xml:space="preserve">, והפסיקה הנסקרת שם.</w:t>
      </w:r>
    </w:p>
  </w:footnote>
  <w:footnote w:id="4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ה.2.</w:t>
      </w:r>
    </w:p>
  </w:footnote>
  <w:footnote w:id="5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 שבו לא נזקפה ההתנהלות הבלתי פורמלית רבת-השנים לחובת הרוכשת.</w:t>
      </w:r>
    </w:p>
  </w:footnote>
  <w:footnote w:id="51">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2">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41</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36</w:t>
      </w:r>
      <w:r>
        <w:rPr>
          <w:rFonts w:ascii="David" w:cs="David" w:eastAsia="David" w:hAnsi="David"/>
          <w:sz w:val="20"/>
          <w:szCs w:val="20"/>
          <w:rtl/>
        </w:rPr>
        <w:t xml:space="preserve">.</w:t>
      </w:r>
    </w:p>
  </w:footnote>
  <w:footnote w:id="53">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54">
    <w:p>
      <w:pPr>
        <w:bidi/>
        <w:spacing w:after="60"/>
      </w:pPr>
      <w:r>
        <w:rPr>
          <w:rStyle w:val="FootnoteReference"/>
        </w:rPr>
        <w:footnoteRef/>
      </w:r>
      <w:r>
        <w:rPr>
          <w:rFonts w:ascii="David" w:cs="David" w:eastAsia="David" w:hAnsi="David"/>
          <w:sz w:val="20"/>
          <w:szCs w:val="20"/>
          <w:rtl/>
        </w:rPr>
        <w:t xml:space="preserve">ס׳ 125 לחוק המקרקעין; שקד, </w:t>
      </w:r>
      <w:r>
        <w:rPr>
          <w:rFonts w:ascii="David" w:cs="David" w:eastAsia="David" w:hAnsi="David"/>
          <w:sz w:val="20"/>
          <w:szCs w:val="20"/>
          <w:rtl/>
        </w:rPr>
        <w:t xml:space="preserve">לעיל ה"ש 38</w:t>
      </w:r>
      <w:r>
        <w:rPr>
          <w:rFonts w:ascii="David" w:cs="David" w:eastAsia="David" w:hAnsi="David"/>
          <w:sz w:val="20"/>
          <w:szCs w:val="20"/>
          <w:rtl/>
        </w:rPr>
        <w:t xml:space="preserve">, לעניין הוכחת החזקה ושימוש רב-שנים.</w:t>
      </w:r>
    </w:p>
  </w:footnote>
  <w:footnote w:id="55">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56">
    <w:p>
      <w:pPr>
        <w:bidi/>
        <w:spacing w:after="60"/>
      </w:pPr>
      <w:r>
        <w:rPr>
          <w:rStyle w:val="FootnoteReference"/>
        </w:rPr>
        <w:footnoteRef/>
      </w:r>
      <w:r>
        <w:rPr>
          <w:rFonts w:ascii="Times New Roman" w:cs="Times New Roman" w:eastAsia="Times New Roman" w:hAnsi="Times New Roman"/>
          <w:i w:val="false"/>
          <w:iCs w:val="false"/>
          <w:sz w:val="20"/>
          <w:szCs w:val="20"/>
        </w:rPr>
        <w:t xml:space="preserve">Lysaght v Edwards (1876) 2 Ch D 499 (Ch)</w:t>
      </w:r>
      <w:r>
        <w:rPr>
          <w:rFonts w:ascii="David" w:cs="David" w:eastAsia="David" w:hAnsi="David"/>
          <w:sz w:val="20"/>
          <w:szCs w:val="20"/>
          <w:rtl/>
        </w:rPr>
        <w:t xml:space="preserve">.</w:t>
      </w:r>
    </w:p>
  </w:footnote>
  <w:footnote w:id="57">
    <w:p>
      <w:pPr>
        <w:bidi/>
        <w:spacing w:after="60"/>
      </w:pPr>
      <w:r>
        <w:rPr>
          <w:rStyle w:val="FootnoteReference"/>
        </w:rPr>
        <w:footnoteRef/>
      </w:r>
      <w:r>
        <w:rPr>
          <w:rFonts w:ascii="Times New Roman" w:cs="Times New Roman" w:eastAsia="Times New Roman" w:hAnsi="Times New Roman"/>
          <w:i w:val="false"/>
          <w:iCs w:val="false"/>
          <w:sz w:val="20"/>
          <w:szCs w:val="20"/>
        </w:rPr>
        <w:t xml:space="preserve">Walsh v Lonsdale (1882) 21 Ch D 9 (CA)</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18</w:t>
      </w:r>
      <w:r>
        <w:rPr>
          <w:rFonts w:ascii="David" w:cs="David" w:eastAsia="David" w:hAnsi="David"/>
          <w:sz w:val="20"/>
          <w:szCs w:val="20"/>
          <w:rtl/>
        </w:rPr>
        <w:t xml:space="preserve">.</w:t>
      </w:r>
    </w:p>
  </w:footnote>
  <w:footnote w:id="59">
    <w:p>
      <w:pPr>
        <w:bidi/>
        <w:spacing w:after="60"/>
      </w:pPr>
      <w:r>
        <w:rPr>
          <w:rStyle w:val="FootnoteReference"/>
        </w:rPr>
        <w:footnoteRef/>
      </w:r>
      <w:r>
        <w:rPr>
          <w:rFonts w:ascii="Times New Roman" w:cs="Times New Roman" w:eastAsia="Times New Roman" w:hAnsi="Times New Roman"/>
          <w:i w:val="false"/>
          <w:iCs w:val="false"/>
          <w:sz w:val="20"/>
          <w:szCs w:val="20"/>
        </w:rPr>
        <w:t xml:space="preserve">Land Registration Act 2002, s 27</w:t>
      </w:r>
      <w:r>
        <w:rPr>
          <w:rFonts w:ascii="David" w:cs="David" w:eastAsia="David" w:hAnsi="David"/>
          <w:sz w:val="20"/>
          <w:szCs w:val="20"/>
          <w:rtl/>
        </w:rPr>
        <w:t xml:space="preserve">.</w:t>
      </w:r>
    </w:p>
  </w:footnote>
  <w:footnote w:id="60">
    <w:p>
      <w:pPr>
        <w:bidi/>
        <w:spacing w:after="60"/>
      </w:pPr>
      <w:r>
        <w:rPr>
          <w:rStyle w:val="FootnoteReference"/>
        </w:rPr>
        <w:footnoteRef/>
      </w:r>
      <w:r>
        <w:rPr>
          <w:rFonts w:ascii="Times New Roman" w:cs="Times New Roman" w:eastAsia="Times New Roman" w:hAnsi="Times New Roman"/>
          <w:i w:val="false"/>
          <w:iCs w:val="false"/>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i w:val="false"/>
          <w:iCs w:val="false"/>
          <w:sz w:val="20"/>
          <w:szCs w:val="20"/>
        </w:rPr>
        <w:t xml:space="preserve">Land Registration Act 2002, sch 3, para 2</w:t>
      </w:r>
      <w:r>
        <w:rPr>
          <w:rFonts w:ascii="David" w:cs="David" w:eastAsia="David" w:hAnsi="David"/>
          <w:sz w:val="20"/>
          <w:szCs w:val="20"/>
          <w:rtl/>
        </w:rPr>
        <w:t xml:space="preserve">.</w:t>
      </w:r>
    </w:p>
  </w:footnote>
  <w:footnote w:id="61">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i w:val="false"/>
          <w:iCs w:val="false"/>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2">
    <w:p>
      <w:pPr>
        <w:bidi/>
        <w:spacing w:after="60"/>
      </w:pPr>
      <w:r>
        <w:rPr>
          <w:rStyle w:val="FootnoteReference"/>
        </w:rPr>
        <w:footnoteRef/>
      </w:r>
      <w:r>
        <w:rPr>
          <w:rFonts w:ascii="Times New Roman" w:cs="Times New Roman" w:eastAsia="Times New Roman" w:hAnsi="Times New Roman"/>
          <w:i w:val="false"/>
          <w:iCs w:val="false"/>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3">
    <w:p>
      <w:pPr>
        <w:bidi/>
        <w:spacing w:after="60"/>
      </w:pPr>
      <w:r>
        <w:rPr>
          <w:rStyle w:val="FootnoteReference"/>
        </w:rPr>
        <w:footnoteRef/>
      </w:r>
      <w:r>
        <w:rPr>
          <w:rFonts w:ascii="Times New Roman" w:cs="Times New Roman" w:eastAsia="Times New Roman" w:hAnsi="Times New Roman"/>
          <w:i w:val="false"/>
          <w:iCs w:val="false"/>
          <w:sz w:val="20"/>
          <w:szCs w:val="20"/>
        </w:rPr>
        <w:t xml:space="preserve">Thorner v Major [2009] UKHL 18, [2009] 1 WLR 776</w:t>
      </w:r>
      <w:r>
        <w:rPr>
          <w:rFonts w:ascii="David" w:cs="David" w:eastAsia="David" w:hAnsi="David"/>
          <w:sz w:val="20"/>
          <w:szCs w:val="20"/>
          <w:rtl/>
        </w:rPr>
        <w:t xml:space="preserve">.</w:t>
      </w:r>
    </w:p>
  </w:footnote>
  <w:footnote w:id="64">
    <w:p>
      <w:pPr>
        <w:bidi/>
        <w:spacing w:after="60"/>
      </w:pPr>
      <w:r>
        <w:rPr>
          <w:rStyle w:val="FootnoteReference"/>
        </w:rPr>
        <w:footnoteRef/>
      </w:r>
      <w:r>
        <w:rPr>
          <w:rFonts w:ascii="Times New Roman" w:cs="Times New Roman" w:eastAsia="Times New Roman" w:hAnsi="Times New Roman"/>
          <w:i w:val="false"/>
          <w:iCs w:val="false"/>
          <w:sz w:val="20"/>
          <w:szCs w:val="20"/>
        </w:rPr>
        <w:t xml:space="preserve">Guest v Guest [2022] UKSC 27, [2022] 3 WLR 911</w:t>
      </w:r>
      <w:r>
        <w:rPr>
          <w:rFonts w:ascii="David" w:cs="David" w:eastAsia="David" w:hAnsi="David"/>
          <w:sz w:val="20"/>
          <w:szCs w:val="20"/>
          <w:rtl/>
        </w:rPr>
        <w:t xml:space="preserve">. לניתוח ראו </w:t>
      </w:r>
      <w:r>
        <w:rPr>
          <w:rFonts w:ascii="Times New Roman" w:cs="Times New Roman" w:eastAsia="Times New Roman" w:hAnsi="Times New Roman"/>
          <w:i w:val="false"/>
          <w:iCs w:val="false"/>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65">
    <w:p>
      <w:pPr>
        <w:bidi/>
        <w:spacing w:after="60"/>
      </w:pPr>
      <w:r>
        <w:rPr>
          <w:rStyle w:val="FootnoteReference"/>
        </w:rPr>
        <w:footnoteRef/>
      </w:r>
      <w:r>
        <w:rPr>
          <w:rFonts w:ascii="Times New Roman" w:cs="Times New Roman" w:eastAsia="Times New Roman" w:hAnsi="Times New Roman"/>
          <w:i w:val="false"/>
          <w:iCs w:val="false"/>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30</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66">
    <w:p>
      <w:pPr>
        <w:bidi/>
        <w:spacing w:after="60"/>
      </w:pPr>
      <w:r>
        <w:rPr>
          <w:rStyle w:val="FootnoteReference"/>
        </w:rPr>
        <w:footnoteRef/>
      </w:r>
      <w:r>
        <w:rPr>
          <w:rFonts w:ascii="Times New Roman" w:cs="Times New Roman" w:eastAsia="Times New Roman" w:hAnsi="Times New Roman"/>
          <w:i w:val="false"/>
          <w:iCs w:val="false"/>
          <w:sz w:val="20"/>
          <w:szCs w:val="20"/>
        </w:rPr>
        <w:t xml:space="preserve">Re Rose [1952] Ch 499 (CA)</w:t>
      </w:r>
      <w:r>
        <w:rPr>
          <w:rFonts w:ascii="David" w:cs="David" w:eastAsia="David" w:hAnsi="David"/>
          <w:sz w:val="20"/>
          <w:szCs w:val="20"/>
          <w:rtl/>
        </w:rPr>
        <w:t xml:space="preserve">.</w:t>
      </w:r>
    </w:p>
  </w:footnote>
  <w:footnote w:id="67">
    <w:p>
      <w:pPr>
        <w:bidi/>
        <w:spacing w:after="60"/>
      </w:pPr>
      <w:r>
        <w:rPr>
          <w:rStyle w:val="FootnoteReference"/>
        </w:rPr>
        <w:footnoteRef/>
      </w:r>
      <w:r>
        <w:rPr>
          <w:rFonts w:ascii="Times New Roman" w:cs="Times New Roman" w:eastAsia="Times New Roman" w:hAnsi="Times New Roman"/>
          <w:i w:val="false"/>
          <w:iCs w:val="false"/>
          <w:sz w:val="20"/>
          <w:szCs w:val="20"/>
        </w:rPr>
        <w:t xml:space="preserve">Pennington v Waine [2002] EWCA Civ 227, [2002] 1 WLR 2075</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i w:val="false"/>
          <w:iCs w:val="false"/>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69">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0">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1">
    <w:p>
      <w:pPr>
        <w:bidi/>
        <w:spacing w:after="60"/>
      </w:pPr>
      <w:r>
        <w:rPr>
          <w:rStyle w:val="FootnoteReference"/>
        </w:rPr>
        <w:footnoteRef/>
      </w:r>
      <w:r>
        <w:rPr>
          <w:rFonts w:ascii="Times New Roman" w:cs="Times New Roman" w:eastAsia="Times New Roman" w:hAnsi="Times New Roman"/>
          <w:i w:val="false"/>
          <w:iCs w:val="false"/>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7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i w:val="false"/>
          <w:iCs w:val="false"/>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74">
    <w:p>
      <w:pPr>
        <w:bidi/>
        <w:spacing w:after="60"/>
      </w:pPr>
      <w:r>
        <w:rPr>
          <w:rStyle w:val="FootnoteReference"/>
        </w:rPr>
        <w:footnoteRef/>
      </w:r>
      <w:r>
        <w:rPr>
          <w:rFonts w:ascii="Times New Roman" w:cs="Times New Roman" w:eastAsia="Times New Roman" w:hAnsi="Times New Roman"/>
          <w:i w:val="false"/>
          <w:iCs w:val="false"/>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i w:val="false"/>
          <w:iCs w:val="false"/>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i w:val="false"/>
          <w:iCs w:val="false"/>
          <w:sz w:val="20"/>
          <w:szCs w:val="20"/>
        </w:rPr>
        <w:t xml:space="preserve">Shalakany Law Office, “New Amendments to Real Estate Registration Law” (2022)</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2 לחוקת מצרים משנת 2014.</w:t>
      </w:r>
    </w:p>
  </w:footnote>
  <w:footnote w:id="77">
    <w:p>
      <w:pPr>
        <w:bidi/>
        <w:spacing w:after="60"/>
      </w:pPr>
      <w:r>
        <w:rPr>
          <w:rStyle w:val="FootnoteReference"/>
        </w:rPr>
        <w:footnoteRef/>
      </w:r>
      <w:r>
        <w:rPr>
          <w:rFonts w:ascii="David" w:cs="David" w:eastAsia="David" w:hAnsi="David"/>
          <w:sz w:val="20"/>
          <w:szCs w:val="20"/>
          <w:rtl/>
        </w:rPr>
        <w:t xml:space="preserve">ס׳ 1 לקוד האזרחי המצרי. יושם אל לב: המנהג קודם לשריעה במדרג המקורות השיורי.</w:t>
      </w:r>
    </w:p>
  </w:footnote>
  <w:footnote w:id="78">
    <w:p>
      <w:pPr>
        <w:bidi/>
        <w:spacing w:after="60"/>
      </w:pPr>
      <w:r>
        <w:rPr>
          <w:rStyle w:val="FootnoteReference"/>
        </w:rPr>
        <w:footnoteRef/>
      </w:r>
      <w:r>
        <w:rPr>
          <w:rFonts w:ascii="David" w:cs="David" w:eastAsia="David" w:hAnsi="David"/>
          <w:sz w:val="20"/>
          <w:szCs w:val="20"/>
          <w:rtl/>
        </w:rPr>
        <w:t xml:space="preserve">חוק הירושה המצרי, חוק מס׳ 77 לשנת 1943; לצוואות – חוק מס׳ 71 לשנת 1946, המגביל את חופש הציווי לשליש העיזבון.</w:t>
      </w:r>
    </w:p>
  </w:footnote>
  <w:footnote w:id="79">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i w:val="false"/>
          <w:iCs w:val="false"/>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0">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i w:val="false"/>
          <w:iCs w:val="false"/>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82">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i w:val="false"/>
          <w:iCs w:val="false"/>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83">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30</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i w:val="false"/>
          <w:iCs w:val="false"/>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84">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i w:val="false"/>
          <w:iCs w:val="false"/>
          <w:sz w:val="20"/>
          <w:szCs w:val="20"/>
        </w:rPr>
        <w:t xml:space="preserve">AAOIFI, Shari’ah Standard No. 23: Agency (2015)</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i w:val="false"/>
          <w:iCs w:val="false"/>
          <w:sz w:val="20"/>
          <w:szCs w:val="20"/>
        </w:rPr>
        <w:t xml:space="preserve">N.J. Coulson, Succession in the Muslim Family (1971)</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i w:val="false"/>
          <w:iCs w:val="false"/>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i w:val="false"/>
          <w:iCs w:val="false"/>
          <w:sz w:val="20"/>
          <w:szCs w:val="20"/>
        </w:rPr>
        <w:t xml:space="preserve">Aharon Layish, Women and Islamic Law in a Non-Muslim State (1975)</w:t>
      </w:r>
      <w:r>
        <w:rPr>
          <w:rFonts w:ascii="David" w:cs="David" w:eastAsia="David" w:hAnsi="David"/>
          <w:sz w:val="20"/>
          <w:szCs w:val="20"/>
          <w:rtl/>
        </w:rPr>
        <w:t xml:space="preserve">.</w:t>
      </w:r>
    </w:p>
  </w:footnote>
  <w:footnote w:id="87">
    <w:p>
      <w:pPr>
        <w:bidi/>
        <w:spacing w:after="60"/>
      </w:pPr>
      <w:r>
        <w:rPr>
          <w:rStyle w:val="FootnoteReference"/>
        </w:rPr>
        <w:footnoteRef/>
      </w:r>
      <w:r>
        <w:rPr>
          <w:rFonts w:ascii="Times New Roman" w:cs="Times New Roman" w:eastAsia="Times New Roman" w:hAnsi="Times New Roman"/>
          <w:i w:val="false"/>
          <w:iCs w:val="false"/>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15</w:t>
      </w:r>
      <w:r>
        <w:rPr>
          <w:rFonts w:ascii="David" w:cs="David" w:eastAsia="David" w:hAnsi="David"/>
          <w:sz w:val="20"/>
          <w:szCs w:val="20"/>
          <w:rtl/>
        </w:rPr>
        <w:t xml:space="preserve">.</w:t>
      </w:r>
    </w:p>
  </w:footnote>
  <w:footnote w:id="88">
    <w:p>
      <w:pPr>
        <w:bidi/>
        <w:spacing w:after="60"/>
      </w:pPr>
      <w:r>
        <w:rPr>
          <w:rStyle w:val="FootnoteReference"/>
        </w:rPr>
        <w:footnoteRef/>
      </w:r>
      <w:r>
        <w:rPr>
          <w:rFonts w:ascii="David" w:cs="David" w:eastAsia="David" w:hAnsi="David"/>
          <w:sz w:val="20"/>
          <w:szCs w:val="20"/>
          <w:rtl/>
        </w:rPr>
        <w:t xml:space="preserve">ראו לעיל פרק ה.2.3; והשוו </w:t>
      </w:r>
      <w:r>
        <w:rPr>
          <w:rFonts w:ascii="Times New Roman" w:cs="Times New Roman" w:eastAsia="Times New Roman" w:hAnsi="Times New Roman"/>
          <w:i w:val="false"/>
          <w:iCs w:val="false"/>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2026-08-27T22:37:27.872Z</dcterms:created>
  <dcterms:modified xsi:type="dcterms:W3CDTF">2026-08-27T22:37:27.872Z</dcterms:modified>
</cp:coreProperties>
</file>

<file path=docProps/custom.xml><?xml version="1.0" encoding="utf-8"?>
<Properties xmlns="http://schemas.openxmlformats.org/officeDocument/2006/custom-properties" xmlns:vt="http://schemas.openxmlformats.org/officeDocument/2006/docPropsVTypes"/>
</file>