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200"/>
        <w:jc w:val="center"/>
      </w:pPr>
      <w:r>
        <w:rPr>
          <w:b w:val="0"/>
          <w:i w:val="0"/>
          <w:sz w:val="24"/>
        </w:rPr>
        <w:t>CAS Stratégie et organisation – MRHC</w:t>
      </w:r>
    </w:p>
    <w:p>
      <w:pPr>
        <w:spacing w:before="0"/>
        <w:jc w:val="center"/>
      </w:pPr>
      <w:r>
        <w:rPr>
          <w:b w:val="0"/>
          <w:i w:val="0"/>
          <w:sz w:val="24"/>
        </w:rPr>
        <w:t>Université de Lausanne</w:t>
      </w:r>
    </w:p>
    <w:p>
      <w:pPr>
        <w:spacing w:before="1800"/>
        <w:jc w:val="center"/>
      </w:pPr>
      <w:r>
        <w:rPr>
          <w:b/>
          <w:i w:val="0"/>
          <w:sz w:val="36"/>
        </w:rPr>
        <w:t>ORCHESTRATION STRATÉGIQUE RH</w:t>
      </w:r>
    </w:p>
    <w:p>
      <w:pPr>
        <w:spacing w:before="240"/>
        <w:jc w:val="center"/>
      </w:pPr>
      <w:r>
        <w:rPr>
          <w:b w:val="0"/>
          <w:i w:val="0"/>
          <w:sz w:val="30"/>
        </w:rPr>
        <w:t>Audit organisationnel de l'orchestration stratégique RH</w:t>
      </w:r>
    </w:p>
    <w:p>
      <w:pPr>
        <w:spacing w:before="0"/>
        <w:jc w:val="center"/>
      </w:pPr>
      <w:r>
        <w:rPr>
          <w:b w:val="0"/>
          <w:i/>
          <w:sz w:val="26"/>
        </w:rPr>
        <w:t>La Centrale téléphonique des médecins de garde (CTMG) – Unisanté</w:t>
      </w:r>
    </w:p>
    <w:p>
      <w:pPr>
        <w:spacing w:before="240"/>
        <w:jc w:val="center"/>
      </w:pPr>
      <w:r>
        <w:rPr>
          <w:b w:val="0"/>
          <w:i/>
          <w:sz w:val="22"/>
        </w:rPr>
        <w:t>Première version complète</w:t>
      </w:r>
    </w:p>
    <w:p>
      <w:pPr>
        <w:spacing w:before="1800"/>
        <w:jc w:val="center"/>
      </w:pPr>
      <w:r>
        <w:rPr>
          <w:b w:val="0"/>
          <w:i w:val="0"/>
          <w:sz w:val="24"/>
        </w:rPr>
        <w:t>Dr Joëlle BÉDAT</w:t>
      </w:r>
    </w:p>
    <w:p>
      <w:pPr>
        <w:spacing w:before="1200"/>
        <w:jc w:val="center"/>
      </w:pPr>
      <w:r>
        <w:rPr>
          <w:b/>
          <w:i w:val="0"/>
          <w:sz w:val="26"/>
        </w:rPr>
        <w:t>Azdine ZARGUI-NAJI</w:t>
      </w:r>
    </w:p>
    <w:p>
      <w:pPr>
        <w:spacing w:before="120"/>
        <w:jc w:val="center"/>
      </w:pPr>
      <w:r>
        <w:rPr>
          <w:b w:val="0"/>
          <w:i w:val="0"/>
          <w:sz w:val="24"/>
        </w:rPr>
        <w:t>Septembre 2026</w:t>
      </w:r>
    </w:p>
    <w:p>
      <w:pPr>
        <w:sectPr>
          <w:headerReference w:type="default" r:id="rId9"/>
          <w:footerReference w:type="default" r:id="rId10"/>
          <w:pgSz w:w="11906" w:h="16838"/>
          <w:pgMar w:top="1417" w:right="1417" w:bottom="1417" w:left="1417" w:header="720" w:footer="720" w:gutter="0"/>
          <w:cols w:space="720"/>
          <w:docGrid w:linePitch="360"/>
        </w:sectPr>
      </w:pPr>
    </w:p>
    <w:p>
      <w:r>
        <w:rPr>
          <w:b/>
          <w:color w:val="1F3A5F"/>
          <w:sz w:val="28"/>
        </w:rPr>
        <w:t>Table des matières</w:t>
      </w:r>
    </w:p>
    <w:p>
      <w:r>
        <w:fldChar w:fldCharType="begin"/>
        <w:instrText xml:space="preserve">TOC \o "1-2" \h \z \u</w:instrText>
        <w:fldChar w:fldCharType="separate"/>
        <w:fldChar w:fldCharType="end"/>
      </w:r>
    </w:p>
    <w:p>
      <w:r>
        <w:br w:type="page"/>
      </w:r>
    </w:p>
    <w:p>
      <w:pPr>
        <w:pStyle w:val="Heading1"/>
      </w:pPr>
      <w:r>
        <w:t>Introduction et démarche</w:t>
      </w:r>
    </w:p>
    <w:p>
      <w:r>
        <w:t>Depuis son rattachement à Unisanté en juillet 2024, la Centrale téléphonique des médecins de garde (CTMG) semble avoir retrouvé une stabilité institutionnelle. Elle est sortie d'une crise, elle a une nouvelle tutelle et son encadrement est renouvelé. Vue du terrain, la situation est pourtant moins apaisée. Des départs se sont succédé, et Unisanté a jugé nécessaire de conduire un audit interne. Les collaborateurs n'en ont pas connu les conclusions. Ils ont en revanche reçu, peu après, un message des ressources humaines exprimant leur confiance envers la direction du service. L'un des chefs de salle interrogés résume ainsi la situation : « aujourd'hui les structures existent […]. Mais ce qui manque encore, c'est la confiance entre ces différents niveaux » (E1).</w:t>
      </w:r>
    </w:p>
    <w:p>
      <w:r>
        <w:t xml:space="preserve">C'est de ce décalage que part le présent audit. Le problème n'est pas l'absence d'organes, de procédures ou d'acteurs RH : tous sont en place. Le problème tient à la manière dont l'information humaine circule, ou ne circule pas, entre le terrain et les instances qui gouvernent. La question qui guide le travail est donc la suivante : </w:t>
      </w:r>
      <w:r>
        <w:rPr>
          <w:b/>
        </w:rPr>
        <w:t>en quoi la structure de gouvernance, la délégation de la fonction RH et les filtres cognitifs des décideurs limitent-ils la prise en compte des enjeux humains à la CTMG, et de quels leviers le Conseil d'Unisanté dispose-t-il pour y remédier ?</w:t>
      </w:r>
    </w:p>
    <w:p>
      <w:r>
        <w:t>Nous suivons la grille d'audit proposée dans le module (Bédat, 2026) : configuration organisationnelle, structure de gouvernance, acteurs clés, biais cognitifs, enjeux de délégation, puis diagnostic et recommandations.</w:t>
      </w:r>
    </w:p>
    <w:p>
      <w:r>
        <w:rPr>
          <w:b/>
        </w:rPr>
        <w:t>Position de l'auteur et zones d'ombre.</w:t>
      </w:r>
      <w:r>
        <w:t xml:space="preserve"> Nous occupons la fonction de chef de salle à la CTMG. Cette position est à la fois la force et la limite du travail, et nous préférons l'énoncer d'emblée. Un chef de salle voit l'activité en temps réel et reçoit une grande partie de ce que les collègues n'expriment pas ailleurs. Il n'a en revanche aucun accès aux informations internes du service des ressources humaines d'Unisanté : dossiers, statistiques de rotation du personnel et d'absentéisme, entretiens de départ. Il n'a pas accès non plus au rapport de l'audit interne, ni aux délibérations du Conseil, de la direction générale ou de la direction du service. Nous ne pouvons donc produire aucune donnée interne chiffrée. Le turnover et l'absentéisme dont il sera question sont observés sur le terrain : départs successifs, remplacements à organiser, périodes de sous-effectif. Ils ne sont pas mesurés, et nous les présentons comme tels.</w:t>
      </w:r>
    </w:p>
    <w:p>
      <w:r>
        <w:t>Le matériau mobilisé est donc celui qui est accessible depuis cette position. Il comprend nos observations de terrain et deux entretiens semi-directifs avec des collaborateurs de première ligne. Le premier a été mené avec un chef de salle, également infirmier régulateur, en septembre 2026 (E1). Le second a été conduit avec une régulatrice sanitaire, praticienne formatrice, en novembre 2024 pour un travail antérieur du cursus, le module 002, et il est réutilisé ici avec son autorisation (E2). S'y ajoutent des sources institutionnelles publiques pour les éléments factuels. Ce choix découle d'une contrainte, mais il a aussi un intérêt propre : l'information de terrain est précisément celle dont nous faisons l'hypothèse qu'elle ne parvient pas jusqu'aux organes de gouvernance. Le fait qu'un chef de salle ne puisse pas savoir ce que l'audit interne a conclu constitue déjà, en soi, une observation sur l'asymétrie d'information que nous analyserons plus loin.</w:t>
      </w:r>
    </w:p>
    <w:p>
      <w:r>
        <w:t>Cette proximité expose aussi à des biais. Les deux personnes interrogées appartiennent à notre environnement professionnel, et notre propre lecture de la situation peut orienter l'interprétation dans le sens de ce que nous pensions déjà, c'est-à-dire un biais de confirmation. Pour limiter ce risque, nous avons recoupé les faits avec des sources publiques chaque fois que c'était possible. Nous formulons comme des hypothèses les interprétations qui portent sur des acteurs non interrogés : la direction, les RH, le Conseil. Nous avons aussi retenu les éléments qui nuancent le diagnostic, et E1 en apporte plusieurs. Toutes les personnes sont anonymisées, et nous désignons les fonctions plutôt que les individus. Un audit adressé à un conseil a vocation à décrire des mécanismes, non à instruire un dossier contre des personnes.</w:t>
      </w:r>
    </w:p>
    <w:p>
      <w:pPr>
        <w:pStyle w:val="Heading1"/>
      </w:pPr>
      <w:r>
        <w:t>1. Présentation de l'organisation</w:t>
      </w:r>
    </w:p>
    <w:p>
      <w:pPr>
        <w:pStyle w:val="Heading2"/>
      </w:pPr>
      <w:r>
        <w:t>1.1 Mission et statut</w:t>
      </w:r>
    </w:p>
    <w:p>
      <w:r>
        <w:t>La CTMG est une ligne téléphonique publique, financée par le contribuable, au service de la population des cantons de Vaud et de Neuchâtel, qui la mandatent. Elle constitue l'un des éléments du dispositif d'urgence et de santé communautaire de ces deux cantons (Unisanté, s.d.-c). Elle reçoit les demandes d'aide médicale et de détresse psychologique qui ne relèvent pas de l'urgence vitale. Les situations sont évaluées puis orientées vers la ressource la plus adaptée : médecin de garde, service d'urgence, centrale 144, médecin traitant ou simple conseil. La CTMG est aussi l'interlocutrice de nombreux partenaires sanitaires et sociaux : centrale 144, médecins de garde, hôpitaux, centres médico-sociaux, établissements médico-sociaux, police.</w:t>
      </w:r>
    </w:p>
    <w:p>
      <w:r>
        <w:t>Depuis le 1er juillet 2024, la CTMG est un secteur du Département urgences et santé communautaires (DUSC) d'Unisanté (Unisanté, s.d.-c). Unisanté est un établissement autonome de droit public vaudois, doté d'une personnalité juridique propre, placé sous la surveillance du Département de la santé et de l'action sociale (DSAS) et de l'Université de Lausanne (Unisanté, 2022). La CTMG relève donc pleinement de la sphère publique, et cela conditionne sa gouvernance comme sa gestion des ressources humaines (voir section 3).</w:t>
      </w:r>
    </w:p>
    <w:p>
      <w:pPr>
        <w:pStyle w:val="Heading2"/>
      </w:pPr>
      <w:r>
        <w:t>1.2 Une trajectoire institutionnelle récente et agitée</w:t>
      </w:r>
    </w:p>
    <w:p>
      <w:r>
        <w:t>La situation actuelle ne se comprend pas sans son histoire proche. Jusqu'en 2024, la CTMG était gérée, comme la centrale 144, par la Fondation Urgences Santé. Après des travaux engagés à l'été 2022 sous l'égide du DSAS, le Conseil d'État vaudois a décidé de rattacher les deux centrales à deux entités distinctes : le 144 au CHUV, la CTMG à Unisanté. Ce choix a conduit à la dissolution de fait de la Fondation (CHUV, s.d. ; État de Vaud, s.d.-a). Pendant cette transition, conduite entre 2022 et 2024, la centrale a été placée sous la tutelle de l'État-major cantonal de conduite (EMCC), selon les collaborateurs (E1). À l'interne, le poste de cheffe de service a été créé et pourvu en septembre 2022. Les trois cadres de proximité de l'époque ont démissionné successivement et ont été remplacés.</w:t>
      </w:r>
    </w:p>
    <w:p>
      <w:r>
        <w:t>Le témoignage de E1 invite à distinguer trois temps. Le premier est la crise de la Fondation, qui opposait selon lui les anciens cadres au conseil d'administration : « à cette époque, je ne me souviens pas d'un problème particulier de confiance entre les collaborateurs et leur hiérarchie ». Le deuxième est la période de tutelle, pendant laquelle la nouvelle cheffe de service est arrivée. Le troisième commence après le rattachement : « progressivement, la confiance s'est dégradée », avec « des tensions, des départs et des situations managériales que des collègues ont mal vécues » (E1). Cette chronologie a son importance pour l'audit. La crise de confiance actuelle n'est pas un héritage de la Fondation. Elle est apparue dans le nouveau cadre institutionnel, et c'est donc dans ce cadre qu'il faut en chercher les ressorts.</w:t>
      </w:r>
    </w:p>
    <w:p>
      <w:pPr>
        <w:pStyle w:val="Heading2"/>
      </w:pPr>
      <w:r>
        <w:t>1.3 Organisation interne</w:t>
      </w:r>
    </w:p>
    <w:p>
      <w:r>
        <w:t>La CTMG compte une cheffe de service, trois cadres, une médecin responsable, sept chefs de salle, une équipe administrative de deux personnes, une équipe de médecins formateurs, seize agents de front-office et trente-trois régulateurs sanitaires. Ces effectifs proviennent de l'organigramme que nous avons établi à partir de notre connaissance du service (annexe A). Les régulateurs, de formation infirmière, évaluent le degré d'urgence et orientent les appels. Les agents de front-office assurent la première réponse à la population et écartent l'urgence vitale. Les chefs de salle sont eux-mêmes régulateurs et assurent à tour de rôle la coordination de la centrale en temps réel : appels complexes, incidents techniques, organisation de l'équipe du jour. Ils font aussi le lien avec l'encadrement, sans exercer d'autorité hiérarchique. Des praticiens formateurs, issus des régulateurs, assurent la formation des nouveaux collaborateurs, qui dure jusqu'à trois mois pour un régulateur (E2).</w:t>
      </w:r>
    </w:p>
    <w:p>
      <w:r>
        <w:t>Deux lignes coexistent dans cette organisation. La première est managériale : cheffe de service, cadres, chefs de salle. La seconde est médicale : médecin responsable, médecins formateurs, validation de l'autonomie des régulateurs. Nous y reviendrons à propos de la structure dualiste de la gouvernance (section 4).</w:t>
      </w:r>
    </w:p>
    <w:p>
      <w:pPr>
        <w:pStyle w:val="Heading2"/>
      </w:pPr>
      <w:r>
        <w:t>1.4 Enjeux stratégiques</w:t>
      </w:r>
    </w:p>
    <w:p>
      <w:r>
        <w:t>L'enjeu principal de la CTMG est la continuité et la qualité d'une prestation de santé publique qui fonctionne jour et nuit. Or cette prestation repose presque entièrement sur une ressource : le jugement clinique de régulateurs expérimentés, capables d'évaluer à distance des situations très variées. E2 en donne un exemple frappant. Il s'agit d'une patiente jugée « cinglée » par plusieurs interlocuteurs, chez qui la régulatrice reconnaît, grâce à son expérience en Afrique de l'Ouest, une parasitose tropicale, et pour qui elle obtient une consultation spécialisée. Ce type de compétence s'acquiert lentement et se transmet mal. Pour la CTMG, la fidélisation des collaborateurs conditionne donc directement la réalisation de la mission.</w:t>
      </w:r>
    </w:p>
    <w:p>
      <w:pPr>
        <w:pStyle w:val="Heading1"/>
      </w:pPr>
      <w:r>
        <w:t>2. Cadre d'analyse</w:t>
      </w:r>
    </w:p>
    <w:p>
      <w:r>
        <w:t>La notion d'orchestration stratégique RH, telle qu'elle est développée dans le module, invite à ne pas réduire la fonction RH à un service. Elle la situe au croisement de plusieurs niveaux (individus, équipes, organisation, environnement) et de plusieurs acteurs, dont les décisions s'articulent plus ou moins bien (Bédat, 2026). Trois cadres théoriques structurent notre lecture.</w:t>
      </w:r>
    </w:p>
    <w:p>
      <w:r>
        <w:t xml:space="preserve">Le premier est la </w:t>
      </w:r>
      <w:r>
        <w:rPr>
          <w:b/>
        </w:rPr>
        <w:t>gouvernance d'entreprise comportementale</w:t>
      </w:r>
      <w:r>
        <w:t xml:space="preserve"> proposée par Charreaux (2005). Les approches disciplinaires de la gouvernance, issues de la théorie de l'agence, conçoivent les mécanismes de gouvernance comme des moyens de contrôler les dirigeants et de réduire l'asymétrie d'information entre ceux qui délèguent et ceux qui exécutent (Fama &amp; Jensen, 1983 ; Jensen &amp; Meckling, 1976). Les approches cognitives insistent, elles, sur la capacité de la gouvernance à produire de la connaissance, à faire apprendre l'organisation et à orienter ses choix stratégiques. Charreaux propose d'y ajouter une dimension comportementale : dirigeants et administrateurs sont soumis à des biais, et les mécanismes de gouvernance peuvent soit les corriger, soit les amplifier. Cette grille nous servira à poser une hypothèse centrale. À la CTMG, les leviers disciplinaires de la gouvernance (indicateurs, contrôle de l'activité, procédures) semblent l'emporter nettement sur les leviers cognitifs, alors que la difficulté observée est de nature cognitive : l'institution ne sait pas, ou ne veut pas savoir, ce qui se passe sur le terrain.</w:t>
      </w:r>
    </w:p>
    <w:p>
      <w:r>
        <w:t xml:space="preserve">Le deuxième cadre est celui des </w:t>
      </w:r>
      <w:r>
        <w:rPr>
          <w:b/>
        </w:rPr>
        <w:t>perspectives fondées sur les ressources</w:t>
      </w:r>
      <w:r>
        <w:t>. Prévot, Brulhart et Guieu (2010) en proposent une synthèse. Selon Barney (1991), une ressource est source d'avantage durable lorsqu'elle est précieuse, rare, difficilement imitable et non substituable. L'expertise des régulateurs répond largement à ces critères, notamment parce qu'elle est en grande partie tacite. Sirmon et al. (2011) ajoutent qu'il ne suffit pas de posséder des ressources : encore faut-il les structurer, les combiner et les mobiliser, ce qu'ils nomment l'orchestration des ressources. Dans une organisation publique, l'enjeu n'est pas un avantage concurrentiel, mais la même logique vaut : une expertise qui s'en va avec les personnes qui partent n'est plus orchestrée, elle est perdue.</w:t>
      </w:r>
    </w:p>
    <w:p>
      <w:r>
        <w:t xml:space="preserve">Le troisième cadre concerne le </w:t>
      </w:r>
      <w:r>
        <w:rPr>
          <w:b/>
        </w:rPr>
        <w:t>rôle attendu de la fonction RH</w:t>
      </w:r>
      <w:r>
        <w:t>. Walker (2026) rappelle aux jeunes professionnels que les RH ne sont pas un médiateur neutre chargé de régler les différends entre collaborateurs et hiérarchie : elles agissent d'abord pour l'organisation. Ce rappel éclaire un point sensible de nos entretiens. E1 aurait attendu des RH qu'elles offrent « un espace neutre », et c'est précisément sur ce terrain qu'elles ont perdu une partie de leur crédibilité auprès des équipes (voir section 5).</w:t>
      </w:r>
    </w:p>
    <w:p>
      <w:pPr>
        <w:pStyle w:val="Heading1"/>
      </w:pPr>
      <w:r>
        <w:t>3. Configuration organisationnelle et facteurs environnementaux</w:t>
      </w:r>
    </w:p>
    <w:p>
      <w:pPr>
        <w:pStyle w:val="Heading2"/>
      </w:pPr>
      <w:r>
        <w:t>3.1 Une configuration d'administration publique hybride</w:t>
      </w:r>
    </w:p>
    <w:p>
      <w:r>
        <w:t>La CTMG relève d'une configuration d'administration publique. Le module en a souligné plusieurs spécificités suisses : fédéralisme, démocratie directe, système consociatif. Il a aussi insisté sur le caractère hybride des organisations publiques issues des réformes de la nouvelle gestion publique, qui combinent règles bureaucratiques et outils managériaux importés du privé (Emery &amp; Giauque, 2014). La CTMG en est un exemple. Elle est publique par son financement et sa mission, rattachée à un établissement autonome, mandatée par deux cantons, et pilotée au moyen d'indicateurs d'activité.</w:t>
      </w:r>
    </w:p>
    <w:p>
      <w:r>
        <w:rPr>
          <w:b/>
        </w:rPr>
        <w:t>Une pluralité de principaux.</w:t>
      </w:r>
      <w:r>
        <w:t xml:space="preserve"> Waterman et Meier (1998) ont montré que la relation d'agence, dans le secteur public, ne se limite pas à un couple principal-agent. Elle s'étend sur une chaîne de délégations dans laquelle chaque agent répond à plusieurs principaux, aux attentes pas toujours convergentes. Dans le cas de la CTMG, cette chaîne est longue. Elle part de la population des deux cantons, passe par les cantons mandants et par les autorités de tutelle d'Unisanté (DSAS, Université), puis par le Conseil d'Unisanté, la direction générale et le DUSC, pour aboutir à la direction du service et à ses équipes. Chaque maillon supplémentaire augmente le risque d'asymétrie d'information : ce que sait le terrain arrive au sommet, s'il y arrive, après plusieurs filtrages successifs. Par ailleurs, le Canton de Neuchâtel est mandant, mais il n'a pas de lien de gouvernance direct avec Unisanté. On retrouve ici la dispersion des responsabilités qui accompagne la délégation de missions publiques à des entités autonomes (Giauque, 2024).</w:t>
      </w:r>
    </w:p>
    <w:p>
      <w:r>
        <w:rPr>
          <w:b/>
        </w:rPr>
        <w:t>Une gouvernance à distance par les indicateurs.</w:t>
      </w:r>
      <w:r>
        <w:t xml:space="preserve"> Giauque (2024) décrit une « gouvernance à distance », dans laquelle les autorités, éloignées des lieux où le service est produit, recentralisent l'information au moyen d'indicateurs de plus en plus nombreux. Emery et Giauque (2019) en soulignent les paradoxes : les indicateurs rendent certaines dimensions de l'activité très visibles et en laissent d'autres dans l'ombre. À la CTMG, l'activité est d'abord suivie par des volumes : nombre d'appels, prises en charge adultes et pédiatriques, taux d'activité. Les entretiens montrent comment cette logique est perçue. E2 regrette que, lors des briefings, « la seule chose positive qu'on balance, c'est que c'est des bons chiffres », et ajoute : « je ne suis pas là pour faire du chiffre ». Elle ne rejette pas le principe des indicateurs (« ça ne me choque pas qu'on demande un minimum de chiffre »), mais le fait qu'ils soient présentés sans le reste : « pour expliquer les chiffres, il faut expliquer le reste ». Elle observe aussi que les chefs de salle rendent compte des volumes, mais jamais du nombre d'appels au cours desquels les régulateurs se sont fait insulter. Le module parle ici de « myopie de l'efficience » (Bédat, 2026) : l'attention portée au rendement de court terme finit par masquer l'efficacité et la soutenabilité de la prestation.</w:t>
      </w:r>
    </w:p>
    <w:p>
      <w:r>
        <w:rPr>
          <w:b/>
        </w:rPr>
        <w:t>Le paradoxe entre autonomie et contrôle.</w:t>
      </w:r>
      <w:r>
        <w:t xml:space="preserve"> Giauque (2003) a montré que les réformes managériales du secteur public produisaient une « bureaucratie libérale ». Les agents y sont appelés à davantage d'autonomie, tandis que les dispositifs de contrôle se resserrent. La CTMG illustre bien ce paradoxe. Les régulateurs disposent d'une autonomie clinique réelle, que E2 considère comme l'un des attraits du métier : « on reste assez autonomes dans nos décisions. Ça c'est quelque chose qu'on a assez peu dans notre métier d'infirmier ». Mais leur travail est suivi de près par des indicateurs de productivité, jusqu'au « petit côté flicage » qu'elle associe au suivi du taux d'activité par les chefs de salle (E2). Ce décalage alimente ce qu'Emery et Giauque (2003) appellent des injonctions contradictoires : on attend des professionnels du jugement, et on les évalue sur du débit.</w:t>
      </w:r>
    </w:p>
    <w:p>
      <w:r>
        <w:rPr>
          <w:b/>
        </w:rPr>
        <w:t>Une tension entre valeurs.</w:t>
      </w:r>
      <w:r>
        <w:t xml:space="preserve"> Les régulateurs sont, pour la plupart, des infirmiers venus des soins. Ce qui les motive relève largement de la motivation de service public, c'est-à-dire l'attachement à l'intérêt général et le désir d'aider autrui (Ritz, 2009 ; Vandenabeele et al., 2014). E2 le dit simplement : « ce qui me motive le plus dans mon travail, ça reste d'aider les gens ». Une communication managériale centrée sur les chiffres heurte ces valeurs de front. Cette tension dépasse le registre individuel. Ritz (2009) a montré, à propos de l'administration fédérale suisse, que la motivation de service public est associée à la performance organisationnelle perçue. La négliger comporte donc un coût pour l'organisation elle-même.</w:t>
      </w:r>
    </w:p>
    <w:p>
      <w:pPr>
        <w:pStyle w:val="Heading2"/>
      </w:pPr>
      <w:r>
        <w:t>3.2 Une trajectoire de transition encore active</w:t>
      </w:r>
    </w:p>
    <w:p>
      <w:r>
        <w:t>Stinchcombe (1965) a montré que les organisations gardent durablement l'empreinte des conditions dans lesquelles elles ont été formées. L'encadrement actuel de la CTMG s'est constitué pendant une période de crise et de tutelle. Il fallait alors stabiliser un service fragilisé, remplacer des cadres démissionnaires et restaurer un fonctionnement sous le regard de l'État. Dans un tel contexte, privilégier le contrôle, les procédures et les indicateurs était sans doute rationnel. L'hypothèse que nous formulons est que cette logique de gestion de crise s'est maintenue au-delà de la crise elle-même. Le contexte s'est stabilisé avec le rattachement à Unisanté, mais le mode de pilotage n'a pas changé de nature. C'est ce que suggère E1 lorsqu'il distingue une amélioration de la forme, car la communication est devenue « plus mesuré[e], plus calme », de la stabilité du fond : « la manière dont les décisions sont prises, la place donnée aux remontées du terrain ou la confiance envers les collaborateurs, je trouve que ça reste assez similaire ».</w:t>
      </w:r>
    </w:p>
    <w:p>
      <w:r>
        <w:t>Ce premier niveau d'analyse montre que les difficultés de la CTMG ne s'expliquent pas seulement par des comportements individuels, comme le travail du module 002 pouvait le laisser penser. Elles s'inscrivent dans une configuration qui favorise la distance, la mesure et le contrôle. La section suivante examine la structure de gouvernance qui encadre ce fonctionnement.</w:t>
      </w:r>
    </w:p>
    <w:p>
      <w:pPr>
        <w:pStyle w:val="Heading1"/>
      </w:pPr>
      <w:r>
        <w:t>4. Structure de gouvernance : une architecture de type dualiste</w:t>
      </w:r>
    </w:p>
    <w:p>
      <w:pPr>
        <w:pStyle w:val="Heading2"/>
      </w:pPr>
      <w:r>
        <w:t>4.1 Les organes et leurs compétences</w:t>
      </w:r>
    </w:p>
    <w:p>
      <w:r>
        <w:t>La CTMG est soumise à la gouvernance d'Unisanté, qui s'organise autour de deux organes distincts. Le Conseil d'Unisanté compte sept à huit membres, désignés par le Conseil d'État vaudois pour la législature 2022-2027. Il adopte le plan stratégique, qui doit ensuite être ratifié par le Conseil d'État, ainsi que le budget, les objectifs annuels et les comptes. Il valide aussi le contrat de prestations conclu avec le Département de la santé et de l'action sociale (DSAS). Parmi ses membres figure la directrice générale de la santé ad interim, c'est-à-dire un représentant de l'administration de tutelle (État de Vaud, s.d.-c ; Unisanté, s.d.-b). La direction générale est, elle aussi, désignée par le Conseil d'État (État de Vaud, s.d.-b). Le directeur général préside un comité de direction qui réunit les directions transversales (finances, ressources humaines, direction médicale, direction des soins) et les chefs des sept départements, dont le DUSC auquel appartient la CTMG (Unisanté, s.d.-a).</w:t>
      </w:r>
    </w:p>
    <w:p>
      <w:pPr>
        <w:pStyle w:val="Heading2"/>
      </w:pPr>
      <w:r>
        <w:t>4.2 Une logique proche du modèle dualiste</w:t>
      </w:r>
    </w:p>
    <w:p>
      <w:r>
        <w:t>Jungmann (2006) distingue deux grands systèmes de conseil. Le système moniste (</w:t>
      </w:r>
      <w:r>
        <w:rPr>
          <w:i/>
        </w:rPr>
        <w:t>one-tier</w:t>
      </w:r>
      <w:r>
        <w:t>) réunit dans un même organe la surveillance et la direction. Le système dualiste (</w:t>
      </w:r>
      <w:r>
        <w:rPr>
          <w:i/>
        </w:rPr>
        <w:t>two-tier</w:t>
      </w:r>
      <w:r>
        <w:t>), dont le modèle allemand est la référence, sépare un organe de surveillance d'un organe de direction, sans cumul de mandats entre les deux. Le droit suisse de la société anonyme relève du premier modèle, mais il permet au conseil d'administration de déléguer la gestion à une direction. Cela autorise, dans les faits, des configurations variées (Kunz, 2010), et la question de la séparation entre présidence et direction générale y reste débattue (Schmid &amp; Zimmermann, 2008).</w:t>
      </w:r>
    </w:p>
    <w:p>
      <w:r>
        <w:t>Unisanté n'est pas une société anonyme, et la comparaison a donc une valeur d'analogie plutôt que juridique. Son architecture se rapproche néanmoins nettement de la logique dualiste. Le Conseil oriente et contrôle, la direction générale et son comité de direction exécutent, et aucun des membres du Conseil identifiés dans les sources publiques n'appartient à la direction. La séparation entre surveillance et gestion est organique, et non seulement fonctionnelle. Cette qualification a des conséquences directes sur la manière dont les questions humaines peuvent, ou non, atteindre l'organe de surveillance.</w:t>
      </w:r>
    </w:p>
    <w:p>
      <w:pPr>
        <w:pStyle w:val="Heading2"/>
      </w:pPr>
      <w:r>
        <w:t>4.3 Ce que cette architecture fait à l'orchestration RH</w:t>
      </w:r>
    </w:p>
    <w:p>
      <w:r>
        <w:rPr>
          <w:b/>
        </w:rPr>
        <w:t>Un contrôle indépendant, mais dépendant de l'information.</w:t>
      </w:r>
      <w:r>
        <w:t xml:space="preserve"> L'atout classique du dualisme est l'indépendance de l'organe de surveillance, qui n'a pas à contrôler ses propres décisions. Sa limite est symétrique : ne participant pas à la gestion, il dépend de ce que la direction lui transmet. Forbes et Milliken (1999) décrivent le conseil comme un groupe de décision qui se réunit de manière épisodique. Son efficacité tient moins à sa composition formelle qu'à ses processus : l'effort consenti, la capacité à mobiliser les connaissances de ses membres et l'existence d'un débat contradictoire. Un conseil peut être parfaitement constitué et rester aveugle sur ce qu'on ne lui présente pas. Dans le cas de la CTMG, l'information chemine de l'équipe au service, puis au DUSC, au comité de direction et enfin au Conseil. Chaque étape la résume et la sélectionne. Il est peu probable que la dégradation du climat décrite par les collaborateurs parvienne au Conseil autrement que sous une forme très filtrée, par exemple à travers des indicateurs d'activité ou un compte rendu de la direction.</w:t>
      </w:r>
    </w:p>
    <w:p>
      <w:r>
        <w:rPr>
          <w:b/>
        </w:rPr>
        <w:t>Un double principal.</w:t>
      </w:r>
      <w:r>
        <w:t xml:space="preserve"> Le Conseil d'Unisanté ne nomme pas le directeur général : le Conseil d'État le désigne. Le levier disciplinaire le plus fort dont dispose un organe de surveillance, la capacité de choisir et de remplacer la direction, se trouve ainsi hors de sa portée. Le Conseil d'État intervient en outre à deux niveaux, puisqu'il désigne les membres du Conseil et ratifie le plan stratégique. On retrouve la pluralité des principaux décrite par Waterman et Meier (1998). La direction répond à plusieurs instances, dont les attentes et les moyens de contrôle ne se recouvrent pas entièrement. La présence de l'administration de tutelle au sein même du Conseil ajoute une ambiguïté. Elle peut faciliter la circulation de l'information entre l'État et l'établissement, mais elle brouille la frontière entre surveillance et tutelle que le modèle dualiste est censé garantir.</w:t>
      </w:r>
    </w:p>
    <w:p>
      <w:r>
        <w:rPr>
          <w:b/>
        </w:rPr>
        <w:t>Une fonction RH située du côté de l'exécutif.</w:t>
      </w:r>
      <w:r>
        <w:t xml:space="preserve"> La direction des ressources humaines siège au comité de direction, et donc à l'échelon exécutif. Les informations publiques que nous avons consultées ne font état d'aucune commission du Conseil consacrée aux ressources humaines. Hilb (2016) plaide précisément pour que les questions de personnel soient intégrées au travail du conseil lui-même. Lima et Galleli (2021) ainsi que Martin et al. (2016) montrent que l'articulation entre gouvernance et GRH stratégique peut prendre des formes très différentes selon la place que la gouvernance accorde au capital humain. Petrovic et al. (2018) voient dans la gouvernance le « chaînon manquant » entre les pratiques RH et la performance. La configuration observée à Unisanté place la GRH du côté de la mise en œuvre. Les questions humaines ne deviennent un objet de gouvernance que si l'exécutif choisit de les porter devant le Conseil. Les travaux de Bédat (2024), qui portent justement sur l'influence des conseils d'administration sur la stratégie RH dans le contexte suisse, invitent à interroger ce point plutôt qu'à le tenir pour acquis.</w:t>
      </w:r>
    </w:p>
    <w:p>
      <w:r>
        <w:rPr>
          <w:b/>
        </w:rPr>
        <w:t>Un dualisme qui se répète dans le service.</w:t>
      </w:r>
      <w:r>
        <w:t xml:space="preserve"> La même séparation se retrouve, à une autre échelle, au sein de la CTMG. Une ligne managériale (cheffe de service, cadres, chefs de salle) coexiste avec une ligne médicale (médecin responsable, médecins formateurs, validation clinique de l'autonomie des régulateurs). Les chefs de salle se trouvent à l'intersection de ces deux lignes. Ils coordonnent le travail médical en temps réel et rendent compte de l'activité à l'encadrement, sans avoir d'autorité dans aucune des deux.</w:t>
      </w:r>
    </w:p>
    <w:p>
      <w:r>
        <w:t>En résumé, la structure de gouvernance protège l'indépendance du contrôle, mais elle rend le Conseil dépendant d'une information que produit l'exécutif, et elle place la fonction RH du même côté que cet exécutif. Nous ne l'interprétons pas comme une défaillance de conception. Nous y voyons une vulnérabilité : tout dépend alors de la qualité de la remontée d'information. La section suivante examine comment les acteurs en situation l'assurent.</w:t>
      </w:r>
    </w:p>
    <w:p>
      <w:pPr>
        <w:pStyle w:val="Heading1"/>
      </w:pPr>
      <w:r>
        <w:t>5. Acteurs clés, délégation et jeux de pouvoir</w:t>
      </w:r>
    </w:p>
    <w:p>
      <w:pPr>
        <w:pStyle w:val="Heading2"/>
      </w:pPr>
      <w:r>
        <w:t>5.1 La chaîne des délégations</w:t>
      </w:r>
    </w:p>
    <w:p>
      <w:r>
        <w:t>Le module présente l'orchestration comme une succession de délégations, de l'assemblée générale au management intermédiaire (Bédat, 2026). Transposée à la CTMG, cette chaîne va du Conseil d'État au Conseil d'Unisanté, puis à la direction générale et à son comité de direction, au DUSC, à la cheffe de service, aux cadres, et enfin aux chefs de salle et aux équipes. Le tableau suivant confronte le rôle formel de chaque acteur à ce qu'en perçoivent les collaborateurs de terrain. Pour les acteurs que nous n'avons pas interrogés, la colonne de droite décrit une perception, et non un fait établi.</w:t>
      </w:r>
    </w:p>
    <w:tbl>
      <w:tblPr>
        <w:tblStyle w:val="TableGrid"/>
        <w:tblW w:type="auto" w:w="0"/>
        <w:jc w:val="center"/>
        <w:tblLook w:firstColumn="1" w:firstRow="1" w:lastColumn="0" w:lastRow="0" w:noHBand="0" w:noVBand="1" w:val="04A0"/>
      </w:tblPr>
      <w:tblGrid>
        <w:gridCol w:w="3024"/>
        <w:gridCol w:w="3024"/>
        <w:gridCol w:w="3024"/>
      </w:tblGrid>
      <w:tr>
        <w:tc>
          <w:tcPr>
            <w:tcW w:type="dxa" w:w="1928"/>
            <w:shd w:val="clear" w:color="auto" w:fill="DCE3EC"/>
          </w:tcPr>
          <w:p>
            <w:pPr>
              <w:spacing w:line="240" w:lineRule="auto" w:after="40"/>
              <w:jc w:val="left"/>
            </w:pPr>
            <w:r>
              <w:rPr>
                <w:b/>
                <w:sz w:val="20"/>
              </w:rPr>
              <w:t>Acteur</w:t>
            </w:r>
          </w:p>
        </w:tc>
        <w:tc>
          <w:tcPr>
            <w:tcW w:type="dxa" w:w="2835"/>
            <w:shd w:val="clear" w:color="auto" w:fill="DCE3EC"/>
          </w:tcPr>
          <w:p>
            <w:pPr>
              <w:spacing w:line="240" w:lineRule="auto" w:after="40"/>
              <w:jc w:val="left"/>
            </w:pPr>
            <w:r>
              <w:rPr>
                <w:b/>
                <w:sz w:val="20"/>
              </w:rPr>
              <w:t>Rôle formel</w:t>
            </w:r>
          </w:p>
        </w:tc>
        <w:tc>
          <w:tcPr>
            <w:tcW w:type="dxa" w:w="4309"/>
            <w:shd w:val="clear" w:color="auto" w:fill="DCE3EC"/>
          </w:tcPr>
          <w:p>
            <w:pPr>
              <w:spacing w:line="240" w:lineRule="auto" w:after="40"/>
              <w:jc w:val="left"/>
            </w:pPr>
            <w:r>
              <w:rPr>
                <w:b/>
                <w:sz w:val="20"/>
              </w:rPr>
              <w:t>Rôle perçu depuis le terrain</w:t>
            </w:r>
          </w:p>
        </w:tc>
      </w:tr>
      <w:tr>
        <w:tc>
          <w:tcPr>
            <w:tcW w:type="dxa" w:w="1928"/>
          </w:tcPr>
          <w:p>
            <w:pPr>
              <w:spacing w:line="240" w:lineRule="auto" w:after="40"/>
              <w:jc w:val="left"/>
            </w:pPr>
            <w:r>
              <w:rPr>
                <w:sz w:val="20"/>
              </w:rPr>
              <w:t>Conseil d'Unisanté</w:t>
            </w:r>
          </w:p>
        </w:tc>
        <w:tc>
          <w:tcPr>
            <w:tcW w:type="dxa" w:w="2835"/>
          </w:tcPr>
          <w:p>
            <w:pPr>
              <w:spacing w:line="240" w:lineRule="auto" w:after="40"/>
              <w:jc w:val="left"/>
            </w:pPr>
            <w:r>
              <w:rPr>
                <w:sz w:val="20"/>
              </w:rPr>
              <w:t>Orienter, surveiller, adopter le plan et les objectifs</w:t>
            </w:r>
          </w:p>
        </w:tc>
        <w:tc>
          <w:tcPr>
            <w:tcW w:type="dxa" w:w="4309"/>
          </w:tcPr>
          <w:p>
            <w:pPr>
              <w:spacing w:line="240" w:lineRule="auto" w:after="40"/>
              <w:jc w:val="left"/>
            </w:pPr>
            <w:r>
              <w:rPr>
                <w:sz w:val="20"/>
              </w:rPr>
              <w:t>Absent des récits : aucune trace de son action n'est visible depuis le service</w:t>
            </w:r>
          </w:p>
        </w:tc>
      </w:tr>
      <w:tr>
        <w:tc>
          <w:tcPr>
            <w:tcW w:type="dxa" w:w="1928"/>
          </w:tcPr>
          <w:p>
            <w:pPr>
              <w:spacing w:line="240" w:lineRule="auto" w:after="40"/>
              <w:jc w:val="left"/>
            </w:pPr>
            <w:r>
              <w:rPr>
                <w:sz w:val="20"/>
              </w:rPr>
              <w:t>Direction générale, DUSC</w:t>
            </w:r>
          </w:p>
        </w:tc>
        <w:tc>
          <w:tcPr>
            <w:tcW w:type="dxa" w:w="2835"/>
          </w:tcPr>
          <w:p>
            <w:pPr>
              <w:spacing w:line="240" w:lineRule="auto" w:after="40"/>
              <w:jc w:val="left"/>
            </w:pPr>
            <w:r>
              <w:rPr>
                <w:sz w:val="20"/>
              </w:rPr>
              <w:t>Conduire l'établissement et le département</w:t>
            </w:r>
          </w:p>
        </w:tc>
        <w:tc>
          <w:tcPr>
            <w:tcW w:type="dxa" w:w="4309"/>
          </w:tcPr>
          <w:p>
            <w:pPr>
              <w:spacing w:line="240" w:lineRule="auto" w:after="40"/>
              <w:jc w:val="left"/>
            </w:pPr>
            <w:r>
              <w:rPr>
                <w:sz w:val="20"/>
              </w:rPr>
              <w:t>Commanditaire de l'audit interne, dont les conclusions ne sont pas communiquées</w:t>
            </w:r>
          </w:p>
        </w:tc>
      </w:tr>
      <w:tr>
        <w:tc>
          <w:tcPr>
            <w:tcW w:type="dxa" w:w="1928"/>
          </w:tcPr>
          <w:p>
            <w:pPr>
              <w:spacing w:line="240" w:lineRule="auto" w:after="40"/>
              <w:jc w:val="left"/>
            </w:pPr>
            <w:r>
              <w:rPr>
                <w:sz w:val="20"/>
              </w:rPr>
              <w:t>Direction des RH</w:t>
            </w:r>
          </w:p>
        </w:tc>
        <w:tc>
          <w:tcPr>
            <w:tcW w:type="dxa" w:w="2835"/>
          </w:tcPr>
          <w:p>
            <w:pPr>
              <w:spacing w:line="240" w:lineRule="auto" w:after="40"/>
              <w:jc w:val="left"/>
            </w:pPr>
            <w:r>
              <w:rPr>
                <w:sz w:val="20"/>
              </w:rPr>
              <w:t>Politique RH, appui aux services</w:t>
            </w:r>
          </w:p>
        </w:tc>
        <w:tc>
          <w:tcPr>
            <w:tcW w:type="dxa" w:w="4309"/>
          </w:tcPr>
          <w:p>
            <w:pPr>
              <w:spacing w:line="240" w:lineRule="auto" w:after="40"/>
              <w:jc w:val="left"/>
            </w:pPr>
            <w:r>
              <w:rPr>
                <w:sz w:val="20"/>
              </w:rPr>
              <w:t>Distante (« un RH vient une matinée par semaine »), perçue comme proche de la direction (E1)</w:t>
            </w:r>
          </w:p>
        </w:tc>
      </w:tr>
      <w:tr>
        <w:tc>
          <w:tcPr>
            <w:tcW w:type="dxa" w:w="1928"/>
          </w:tcPr>
          <w:p>
            <w:pPr>
              <w:spacing w:line="240" w:lineRule="auto" w:after="40"/>
              <w:jc w:val="left"/>
            </w:pPr>
            <w:r>
              <w:rPr>
                <w:sz w:val="20"/>
              </w:rPr>
              <w:t>Cheffe de service</w:t>
            </w:r>
          </w:p>
        </w:tc>
        <w:tc>
          <w:tcPr>
            <w:tcW w:type="dxa" w:w="2835"/>
          </w:tcPr>
          <w:p>
            <w:pPr>
              <w:spacing w:line="240" w:lineRule="auto" w:after="40"/>
              <w:jc w:val="left"/>
            </w:pPr>
            <w:r>
              <w:rPr>
                <w:sz w:val="20"/>
              </w:rPr>
              <w:t>Piloter le service, interface avec Unisanté</w:t>
            </w:r>
          </w:p>
        </w:tc>
        <w:tc>
          <w:tcPr>
            <w:tcW w:type="dxa" w:w="4309"/>
          </w:tcPr>
          <w:p>
            <w:pPr>
              <w:spacing w:line="240" w:lineRule="auto" w:after="40"/>
              <w:jc w:val="left"/>
            </w:pPr>
            <w:r>
              <w:rPr>
                <w:sz w:val="20"/>
              </w:rPr>
              <w:t>Pilotage centré sur l'activité, communication plus mesurée depuis un accompagnement managérial (E1)</w:t>
            </w:r>
          </w:p>
        </w:tc>
      </w:tr>
      <w:tr>
        <w:tc>
          <w:tcPr>
            <w:tcW w:type="dxa" w:w="1928"/>
          </w:tcPr>
          <w:p>
            <w:pPr>
              <w:spacing w:line="240" w:lineRule="auto" w:after="40"/>
              <w:jc w:val="left"/>
            </w:pPr>
            <w:r>
              <w:rPr>
                <w:sz w:val="20"/>
              </w:rPr>
              <w:t>Cadres</w:t>
            </w:r>
          </w:p>
        </w:tc>
        <w:tc>
          <w:tcPr>
            <w:tcW w:type="dxa" w:w="2835"/>
          </w:tcPr>
          <w:p>
            <w:pPr>
              <w:spacing w:line="240" w:lineRule="auto" w:after="40"/>
              <w:jc w:val="left"/>
            </w:pPr>
            <w:r>
              <w:rPr>
                <w:sz w:val="20"/>
              </w:rPr>
              <w:t>Encadrement du personnel, gestion RH courante</w:t>
            </w:r>
          </w:p>
        </w:tc>
        <w:tc>
          <w:tcPr>
            <w:tcW w:type="dxa" w:w="4309"/>
          </w:tcPr>
          <w:p>
            <w:pPr>
              <w:spacing w:line="240" w:lineRule="auto" w:after="40"/>
              <w:jc w:val="left"/>
            </w:pPr>
            <w:r>
              <w:rPr>
                <w:sz w:val="20"/>
              </w:rPr>
              <w:t>« Entre la cheffe de service et les équipes », identifiés à la ligne hiérarchique (E1)</w:t>
            </w:r>
          </w:p>
        </w:tc>
      </w:tr>
      <w:tr>
        <w:tc>
          <w:tcPr>
            <w:tcW w:type="dxa" w:w="1928"/>
          </w:tcPr>
          <w:p>
            <w:pPr>
              <w:spacing w:line="240" w:lineRule="auto" w:after="40"/>
              <w:jc w:val="left"/>
            </w:pPr>
            <w:r>
              <w:rPr>
                <w:sz w:val="20"/>
              </w:rPr>
              <w:t>Chefs de salle</w:t>
            </w:r>
          </w:p>
        </w:tc>
        <w:tc>
          <w:tcPr>
            <w:tcW w:type="dxa" w:w="2835"/>
          </w:tcPr>
          <w:p>
            <w:pPr>
              <w:spacing w:line="240" w:lineRule="auto" w:after="40"/>
              <w:jc w:val="left"/>
            </w:pPr>
            <w:r>
              <w:rPr>
                <w:sz w:val="20"/>
              </w:rPr>
              <w:t>Coordination en temps réel, relais</w:t>
            </w:r>
          </w:p>
        </w:tc>
        <w:tc>
          <w:tcPr>
            <w:tcW w:type="dxa" w:w="4309"/>
          </w:tcPr>
          <w:p>
            <w:pPr>
              <w:spacing w:line="240" w:lineRule="auto" w:after="40"/>
              <w:jc w:val="left"/>
            </w:pPr>
            <w:r>
              <w:rPr>
                <w:sz w:val="20"/>
              </w:rPr>
              <w:t>Confidents du terrain : « on n'a pas vraiment de pouvoir de décision » (E1)</w:t>
            </w:r>
          </w:p>
        </w:tc>
      </w:tr>
    </w:tbl>
    <w:p>
      <w:pPr>
        <w:spacing w:after="0"/>
      </w:pPr>
    </w:p>
    <w:p>
      <w:pPr>
        <w:pStyle w:val="Heading2"/>
      </w:pPr>
      <w:r>
        <w:t>5.2 Une fonction RH déléguée et à distance</w:t>
      </w:r>
    </w:p>
    <w:p>
      <w:r>
        <w:t>Reichel et Lazarova (2013) distinguent deux mouvements qui transforment la position des départements RH : l'externalisation de certaines activités et la délégation de la gestion quotidienne du personnel aux managers de ligne. Gooderham et al. (2015) montrent que cette délégation dépend autant de facteurs nationaux que de choix propres à l'organisation. À la CTMG, la configuration relève clairement de la délégation. Les RH d'Unisanté sont centralisées et ne travaillent pas dans le service. La gestion courante des collaborateurs repose sur les cadres de proximité, et la présence RH sur place se limite à une matinée par semaine, dont, selon E1, peu de collègues se saisissent.</w:t>
      </w:r>
    </w:p>
    <w:p>
      <w:r>
        <w:t>Cette organisation n'est pas problématique en soi. Elle le devient lorsque le relais managérial ne fonctionne pas. Le cas des deux praticiennes formatrices rapporté par E2 en est une illustration. Sélectionnées pour cette fonction et en poste depuis juillet 2024, elles ont exercé cinq mois sans contrat ni ajustement salarial, malgré des relances orales auprès de leur hiérarchie directe (« oui, oui t'inquiète pas, ça va venir »). La situation ne s'est débloquée qu'après l'envoi d'un courrier écrit, rédigé sur le conseil d'un chef de salle. La régularisation a alors été rapide et rétroactive. Le circuit formel existe donc, mais c'est un détour informel qui l'a activé. E2 le résume sans détour : « ce n'est pas l'institution qui m'a aidé ».</w:t>
      </w:r>
    </w:p>
    <w:p>
      <w:r>
        <w:t>Les cadres se trouvent dans la position paradoxale que le module attribue aux cadres intermédiaires du secteur public (Bédat, 2026). Chargés de relayer les décisions et de porter la gestion RH courante, ils sont perçus par les équipes comme l'incarnation de la ligne hiérarchique, et subissent par conséquent la baisse de confiance envers la direction : « quand la confiance envers la direction baisse, ça finit forcément par avoir un effet sur eux aussi » (E1). E1 refuse d'ailleurs de « tous les mettre dans le même panier », ce qui rappelle que la difficulté tient à la position plus qu'aux personnes.</w:t>
      </w:r>
    </w:p>
    <w:p>
      <w:r>
        <w:t xml:space="preserve">Les chefs de salle occupent une place singulière. Sans lien hiérarchique avec leurs collègues, ils reçoivent ce qui ne se dit pas ailleurs : « les collègues viennent souvent nous parler de manière informelle » (E1). E2 explique que c'est justement l'absence de lien hiérarchique qui a rendu possible une discussion ouverte, alors que la même question adressée aux cadres « était vécue comme une agression ». Les chefs de salle jouent ainsi un rôle d'intermédiaire entre deux mondes, comparable à celui que le module décrit pour les </w:t>
      </w:r>
      <w:r>
        <w:rPr>
          <w:i/>
        </w:rPr>
        <w:t>boundary spanners</w:t>
      </w:r>
      <w:r>
        <w:t>, ces acteurs qui traduisent d'une logique à l'autre (Bonnet et al., 2017). Mais ce rôle n'est ni reconnu ni outillé. Ce que les chefs de salle transmettent formellement à l'encadrement, ce sont des volumes d'appels. Les signaux humains qu'ils recueillent restent à leur niveau.</w:t>
      </w:r>
    </w:p>
    <w:p>
      <w:pPr>
        <w:pStyle w:val="Heading2"/>
      </w:pPr>
      <w:r>
        <w:t>5.3 Pouvoir, crédibilité et silence</w:t>
      </w:r>
    </w:p>
    <w:p>
      <w:r>
        <w:t>La fonction RH ne dispose pas seulement d'un pouvoir formel. Son influence repose aussi sur sa crédibilité auprès des différents acteurs (Aldrich et al., 2015 ; Sheehan et al., 2014). Or l'épisode qui a suivi l'audit interne a entamé cette crédibilité auprès des équipes. Les collaborateurs avaient exprimé leurs difficultés, et ils n'ont reçu aucun retour sur les conclusions. Ils ont en revanche reçu un message des RH exprimant leur confiance envers la direction. E1 précise que la réaction négative ne venait pas d'une attente de prise de position contre la direction. Elle venait du sentiment que « leur parole n'avait pas vraiment de poids ». Depuis, une partie des collaborateurs « perçoit les RH comme étant plus proches de la direction que des équipes » (E1).</w:t>
      </w:r>
    </w:p>
    <w:p>
      <w:r>
        <w:t>Walker (2026) rappelle que les RH ne sont pas un médiateur neutre, et qu'il serait naïf de l'attendre d'elles. Le problème, à la CTMG, n'est pas que les RH soutiennent l'organisation, ce qui relève de leur rôle. Le problème est que, faute d'autre canal, les collaborateurs espéraient d'elles cet « espace neutre » (E1) que rien d'autre dans le dispositif ne leur offre. Cet espoir déçu a renforcé le repli vers les canaux informels : « même si le RH est présent, certains vont plutôt parler à un collègue ou à un chef de salle » (E1).</w:t>
      </w:r>
    </w:p>
    <w:p>
      <w:r>
        <w:t>Le pouvoir s'exerce aussi, comme l'a montré Hardy (1996), par le contrôle des processus et du sens, c'est-à-dire par ce qui peut être dit, où et par qui. Les entretiens décrivent un apprentissage progressif du silence. E1 observe que « certains ont commencé à faire attention à ce qu'ils disaient et à qui ils le disaient ». E2 rapporte qu'une collègue a été reprise pendant une demi-heure dans un bureau après avoir posé en public une question sur le calcul des horaires, et elle en tire une règle de conduite personnelle : « je ne veux pas m'attirer les foudres ». Nous ne pouvons pas vérifier la manière dont ces épisodes ont été vécus de l'autre côté. Leur effet sur le comportement des collaborateurs est en revanche clairement exprimé : on se tait, ou on parle seulement entre pairs (Pfeffer, 1992).</w:t>
      </w:r>
    </w:p>
    <w:p>
      <w:r>
        <w:t>Au terme de cette analyse des acteurs, le mécanisme se précise. La structure de gouvernance rend le Conseil dépendant de l'information transmise par l'exécutif. La délégation RH confie la remontée des difficultés à une ligne managériale qui les vit comme des mises en cause. Les chefs de salle, qui recueillent cette information, n'ont ni le mandat ni les outils pour la faire remonter. Enfin, la perte de crédibilité des RH ferme le dernier canal possible. Il reste à comprendre pourquoi les décideurs, placés en haut de cette chaîne, ne cherchent pas à combler ce vide. C'est l'objet de l'analyse des biais cognitifs.</w:t>
      </w:r>
    </w:p>
    <w:p>
      <w:pPr>
        <w:pStyle w:val="Heading1"/>
      </w:pPr>
      <w:r>
        <w:t>6. Biais cognitifs et filtres de décision</w:t>
      </w:r>
    </w:p>
    <w:p>
      <w:r>
        <w:t>Les sections précédentes décrivent un circuit d'information défaillant. Elles n'expliquent pas pourquoi ceux qui se trouvent en haut de la chaîne ne cherchent pas davantage à le réparer. Charreaux (2005) invite à prendre au sérieux cette question : les dirigeants et les administrateurs ne sont pas des décideurs parfaitement rationnels, et leurs biais font partie des mécanismes de gouvernance eux-mêmes. Les décideurs concernés (direction du service, DUSC, RH, Conseil) n'ont pas été interrogés. Les biais présentés ici sont donc des hypothèses construites à partir de ce qui est observable depuis le terrain, et non des diagnostics posés sur des personnes. Pour chacun, nous indiquons ce qui dans les données le suggère, le mécanisme en jeu et ce qu'il produit sur l'orchestration RH.</w:t>
      </w:r>
    </w:p>
    <w:p>
      <w:pPr>
        <w:pStyle w:val="Heading2"/>
      </w:pPr>
      <w:r>
        <w:t>6.1 Ce qui capte l'attention : la vue fondée sur l'attention</w:t>
      </w:r>
    </w:p>
    <w:p>
      <w:r>
        <w:t>Ocasio (1997) propose de comprendre le comportement des organisations à partir de la manière dont elles distribuent l'attention de leurs décideurs. L'attention est une ressource rare. Ce sur quoi elle se porte dépend moins des préférences individuelles que des canaux, des règles et des procédures que l'organisation met à disposition. Une question qui ne dispose d'aucun canal pour atteindre les décideurs a peu de chances de retenir leur attention, quelle que soit son importance.</w:t>
      </w:r>
    </w:p>
    <w:p>
      <w:r>
        <w:t>À la CTMG, les canaux existants transportent surtout des volumes. Les chefs de salle rendent compte des appels traités, adultes et pédiatriques. Il existe une procédure structurée pour déclarer les événements indésirables techniques (« quoi, où, comment, qu'est-ce qui l'a déclenché »), mais aucune pour ce qui relève du managérial ou de la charge vécue : « on ne l'a pas pour tout ce qui est d'ordre managérial » (E2). Nul ne demande combien d'appels agressifs ont été reçus, ni ce qu'il advient d'un régulateur qui vient de vivre le suicide d'un appelant en ligne. E2 rapporte que la consigne se résume alors à « prends ta pause plus tôt ». Dans une telle architecture, la direction ne choisit pas délibérément d'ignorer l'humain : l'organisation de l'attention le rend invisible. C'est un point important pour le Conseil, car il fait passer le problème du registre du comportement individuel à celui de la conception des dispositifs, qui relève de la gouvernance.</w:t>
      </w:r>
    </w:p>
    <w:p>
      <w:pPr>
        <w:pStyle w:val="Heading2"/>
      </w:pPr>
      <w:r>
        <w:t>6.2 Juger sur ce qui est disponible</w:t>
      </w:r>
    </w:p>
    <w:p>
      <w:r>
        <w:t>Tversky et Kahneman (1974) ont décrit l'heuristique de disponibilité : nous estimons l'importance ou la fréquence d'un phénomène selon la facilité avec laquelle des exemples nous viennent à l'esprit. Kahneman (2012) décrit un mode de pensée rapide et intuitif qui produit des jugements à partir de ce qui est immédiatement accessible, sans chercher spontanément ce qui manque. Appliqué à la gouvernance, ce mécanisme a une conséquence simple. Un organe qui ne reçoit ni plainte formelle, ni alerte, ni indicateur dégradé conclura assez naturellement que la situation est maîtrisée. Or l'absence de plainte, à la CTMG, n'est pas un signe de satisfaction : elle résulte en partie du silence décrit en section 5.3. Les décideurs risquent ainsi de tirer une conclusion rassurante d'une information dont l'absence est elle-même produite par le problème.</w:t>
      </w:r>
    </w:p>
    <w:p>
      <w:pPr>
        <w:pStyle w:val="Heading2"/>
      </w:pPr>
      <w:r>
        <w:t>6.3 Confirmer son choix : biais de confirmation et escalade d'engagement</w:t>
      </w:r>
    </w:p>
    <w:p>
      <w:r>
        <w:t>L'épisode de l'audit interne est le plus délicat à interpréter, et le plus important. Unisanté a lancé un audit, ce qui témoigne d'une volonté réelle de comprendre. Les conclusions n'ont pas été communiquées aux collaborateurs, et les RH ont ensuite exprimé leur confiance envers la direction du service (E1).</w:t>
      </w:r>
    </w:p>
    <w:p>
      <w:r>
        <w:t>Schwenk (1988) recense parmi les biais les plus fréquents de la décision stratégique la tendance à interpréter les informations nouvelles à la lumière des croyances préalables, en retenant ce qui les confirme. Simonson et Staw (1992) montrent de leur côté comment les décideurs persistent dans une voie engagée lorsqu'ils s'en sentent personnellement responsables, et comment certaines techniques, comme fixer à l'avance des seuils d'alerte ou évaluer les décideurs sur la qualité de leur processus plutôt que sur l'issue, réduisent cette escalade. L'hypothèse que nous formulons est la suivante. La fonction de cheffe de service a été créée et pourvue par l'institution pendant la tutelle, dans un contexte de crise. Remettre en cause la manière dont le service est dirigé reviendrait, pour l'institution, à réexaminer ses propres choix. Le risque est alors de lire les résultats d'un audit dans le sens le plus compatible avec la décision initiale, et de réaffirmer publiquement son engagement plutôt que d'ouvrir la question.</w:t>
      </w:r>
    </w:p>
    <w:p>
      <w:r>
        <w:t>Cette hypothèse doit être tenue à distance, car d'autres explications sont plausibles. L'audit peut n'avoir rien révélé qui justifie un changement. Les RH peuvent être tenues à un devoir de réserve sur son contenu. L'accompagnement managérial dont la direction a bénéficié, que E1 a appris de manière informelle, peut être la réponse que l'institution a jugée proportionnée, et il a d'ailleurs produit des effets visibles sur la communication. Mais c'est précisément parce que plusieurs lectures sont possibles que l'absence de restitution pose problème. Faute d'information, les collaborateurs retiennent la plus défavorable : leur parole « n'avait pas vraiment de poids » (E1).</w:t>
      </w:r>
    </w:p>
    <w:p>
      <w:pPr>
        <w:pStyle w:val="Heading2"/>
      </w:pPr>
      <w:r>
        <w:t>6.4 Attribuer aux personnes ce qui relève du système</w:t>
      </w:r>
    </w:p>
    <w:p>
      <w:r>
        <w:t>L'erreur fondamentale d'attribution désigne la tendance à expliquer les comportements d'autrui par ses dispositions personnelles plutôt que par la situation. McCormick et Martinko (2004) ont montré que les attributions causales que font les leaders sur la performance de leurs collaborateurs orientent directement leurs réactions. Barker et Barr (2002) observent que les dirigeants qui attribuent un déclin à des causes internes sont plus enclins à engager une réorientation que ceux qui l'attribuent à des causes extérieures à leur propre action.</w:t>
      </w:r>
    </w:p>
    <w:p>
      <w:r>
        <w:t>Les entretiens suggèrent des attributions de ce type. Un arrêt maladie de cinq jours est traité comme un manquement individuel à une procédure, et non comme le signe possible d'une charge de travail en période de sous-effectif (E2). Une collaboratrice décrite comme « dans la revendication » finit par partir, et son départ est vécu par ses collègues comme l'aboutissement d'une mise à l'écart, alors que, selon E2, elle disait « des choses qui pouvaient être vraies ». Si chaque départ est lu comme un cas particulier (une personnalité difficile, un projet personnel, une inadaptation au poste), la série des départs ne devient jamais un phénomène organisationnel. Pour reprendre Barker et Barr, l'absence d'attribution interne rend la réorientation improbable. Le même mécanisme peut jouer au niveau du Conseil, dont l'évaluation de la direction dépend des attributions qu'il fait des difficultés qu'on lui rapporte (Haleblian &amp; Rajagopalan, 2006).</w:t>
      </w:r>
    </w:p>
    <w:p>
      <w:pPr>
        <w:pStyle w:val="Heading2"/>
      </w:pPr>
      <w:r>
        <w:t>6.5 Faire front : le risque de pensée de groupe</w:t>
      </w:r>
    </w:p>
    <w:p>
      <w:r>
        <w:t>Janis (1972) a décrit la pensée de groupe comme la tendance d'un groupe soudé, sous pression, à privilégier l'unanimité au détriment de l'examen critique. Parmi ses symptômes figurent l'illusion d'unanimité, l'autocensure des voix divergentes et l'apparition de « gardiens » qui protègent le groupe des informations dérangeantes. Nous ne disposons d'aucune donnée sur le fonctionnement interne de la direction du service, du DUSC ou des RH, et il serait abusif d'affirmer que ce mécanisme y est à l'œuvre. Relevons seulement que les conditions qui le favorisent sont réunies : une coalition dirigeante constituée dans une période de crise, soucieuse de stabilité, et exposée à des critiques venant du terrain. Le message de soutien adressé par les RH, qui présente la ligne dirigeante comme unie, est compatible avec cette lecture sans en constituer une preuve.</w:t>
      </w:r>
    </w:p>
    <w:p>
      <w:pPr>
        <w:pStyle w:val="Heading2"/>
      </w:pPr>
      <w:r>
        <w:t>6.6 Changer la forme sans changer le fond</w:t>
      </w:r>
    </w:p>
    <w:p>
      <w:r>
        <w:t>E1 fait une distinction qui résume bien la situation. Depuis l'accompagnement managérial, la communication est « plus mesuré[e], plus calme, certaines choses sont mieux formulées ». Mais « sur le fond », il ne voit « pas encore de changement majeur dans la gouvernance ». Gioia et Chittipeddi (1991) ont décrit le travail de production de sens (</w:t>
      </w:r>
      <w:r>
        <w:rPr>
          <w:i/>
        </w:rPr>
        <w:t>sensegiving</w:t>
      </w:r>
      <w:r>
        <w:t>) par lequel les dirigeants cherchent à orienter la manière dont les autres interprètent une situation. Weick (1995) rappelle que chacun construit le sens de ce qu'il vit à partir d'indices, et que les collaborateurs interprètent aussi bien les silences que les messages. Ici, l'effort porte sur la formulation, alors que ce qui est interprété par les équipes, ce sont les actes.</w:t>
      </w:r>
    </w:p>
    <w:p>
      <w:r>
        <w:t>Meyer et Rowan (1977) offrent la lecture la plus éclairante de cet épisode. Ils ont montré que les organisations adoptent des structures formelles qui répondent aux attentes de leur environnement institutionnel, et les découplent parfois de leur fonctionnement réel. Ce découplage s'accompagne d'une « logique de confiance » : on affirme sa confiance dans les acteurs et on évite l'inspection approfondie de ce qui se passe réellement. Un audit sans restitution, suivi d'un message de confiance, correspond presque terme à terme à cette description. L'audit remplit sa fonction de légitimité, puisque l'institution a agi, sans produire l'apprentissage qu'on pouvait en attendre.</w:t>
      </w:r>
    </w:p>
    <w:p>
      <w:pPr>
        <w:pStyle w:val="Heading2"/>
      </w:pPr>
      <w:r>
        <w:t>6.7 Une boucle qui s'entretient</w:t>
      </w:r>
    </w:p>
    <w:p>
      <w:r>
        <w:t>Côté terrain, les collaborateurs ont appris à se taire (section 5.3). Ce silence alimente directement les biais décrits plus haut : les décideurs raisonnent sur une information déjà filtrée, jugent la situation maîtrisée et attribuent les difficultés résiduelles à des cas individuels. Les départs se poursuivent, sans que les indicateurs suivis ne les rendent visibles comme un phénomène d'ensemble. La boucle se referme ainsi. Des canaux centrés sur le volume structurent l'attention, l'humain reste invisible, les difficultés sont attribuées aux personnes et l'engagement initial est confirmé, la parole se tait, et les indicateurs continuent de ne rien montrer.</w:t>
      </w:r>
    </w:p>
    <w:p>
      <w:r>
        <w:t>Une précaution s'impose au terme de cette section. Tetlock (2000) a montré que la détection des biais dépend aussi du point de vue de celui qui les observe : ce que l'un qualifie de biais, l'autre peut le considérer comme une prudence légitime. Notre position de chef de salle nous rend plus attentif aux biais des décideurs qu'aux nôtres. C'est une raison supplémentaire pour présenter ces analyses comme des hypothèses que seule une démarche contradictoire, incluant la direction et les RH, permettrait de confirmer.</w:t>
      </w:r>
    </w:p>
    <w:p>
      <w:pPr>
        <w:pStyle w:val="Heading1"/>
      </w:pPr>
      <w:r>
        <w:t>7. Facteurs facilitant ou limitant le positionnement stratégique de la fonction RH</w:t>
      </w:r>
    </w:p>
    <w:p>
      <w:r>
        <w:t>Boxall (1996) distingue deux sources d'avantage liées aux ressources humaines : la qualité du capital humain dont dispose l'organisation, et la qualité des processus par lesquels elle le mobilise. Le module l'a résumé par une formule : le capital humain qualifié « reste stérile s'il n'est pas managé par des pratiques RH structurées, initiées par la gouvernance » (Bédat, 2026). La CTMG illustre bien ce décalage entre les deux sources.</w:t>
      </w:r>
    </w:p>
    <w:p>
      <w:r>
        <w:rPr>
          <w:b/>
        </w:rPr>
        <w:t>Du côté des facteurs facilitants</w:t>
      </w:r>
      <w:r>
        <w:t>, le capital humain est l'atout principal. Les régulateurs sont des infirmiers expérimentés, dotés d'une autonomie clinique réelle et souvent d'un parcours riche, comme le montre l'exemple de la parasitose tropicale (E2). Au sens de Barney et Wright (1998), c'est là une ressource précieuse, rare et difficile à imiter. Les solidarités entre collègues constituent un deuxième appui. C'est grâce à elles que le problème contractuel des praticiennes formatrices a été résolu, et c'est vers elles que les collaborateurs se tournent en priorité. Plusieurs éléments institutionnels vont aussi dans le bon sens. Un audit a été commandé, ce qui montre que l'institution est capable de se saisir d'un signal. La communication de la direction s'est améliorée, et E1 le reconnaît. Un représentant des RH est présent chaque semaine sur le site, ce qui constitue une base sur laquelle bâtir. Enfin, le rattachement à Unisanté, institution universitaire dont l'un des départements est consacré à la santé au travail, donne accès à une expertise que peu de services publics de cette taille peuvent mobiliser.</w:t>
      </w:r>
    </w:p>
    <w:p>
      <w:r>
        <w:rPr>
          <w:b/>
        </w:rPr>
        <w:t>Du côté des facteurs limitants</w:t>
      </w:r>
      <w:r>
        <w:t>, on retrouve les mécanismes analysés précédemment. La fonction RH est éloignée du terrain et désormais perçue comme alignée sur la direction. La gouvernance par les indicateurs de volume ne donne aucune visibilité à la dimension humaine. La chaîne d'agence est longue, et la fonction RH n'est pas représentée au niveau du Conseil. Il n'existe aucun espace d'écoute institutionnalisé : pas de débriefing après les appels difficiles, pas de canal de remontée managériale comparable à celui qui existe pour les incidents techniques. Les circuits contractuels sont lents lorsqu'ils ne sont pas relancés par des voies informelles. Enfin, le mode de pilotage reste marqué par l'empreinte de la période de crise.</w:t>
      </w:r>
    </w:p>
    <w:p>
      <w:r>
        <w:t>Brandl et Pohler (2010) ont montré que le rôle attribué au département RH dépend largement des attentes que la direction générale nourrit à son égard. À la CTMG, rien n'indique que la fonction RH soit attendue comme partenaire stratégique du service : elle intervient comme instance administrative et, dans l'épisode de l'audit, comme soutien de la ligne hiérarchique. Or les travaux menés dans le secteur public suisse montrent que les pratiques RH agissent sur la performance notamment par l'intermédiaire de la motivation intrinsèque des agents (Giauque et al., 2013). Dans un service dont la ressource principale est la motivation de soignants, la faiblesse du positionnement RH n'est donc pas un problème secondaire.</w:t>
      </w:r>
    </w:p>
    <w:p>
      <w:pPr>
        <w:pStyle w:val="Heading1"/>
      </w:pPr>
      <w:r>
        <w:t>8. Risques, enjeux éthiques et points de vigilance</w:t>
      </w:r>
    </w:p>
    <w:p>
      <w:pPr>
        <w:pStyle w:val="Heading2"/>
      </w:pPr>
      <w:r>
        <w:t>8.1 Les risques</w:t>
      </w:r>
    </w:p>
    <w:p>
      <w:r>
        <w:rPr>
          <w:b/>
        </w:rPr>
        <w:t>Un risque de perte de capital humain.</w:t>
      </w:r>
      <w:r>
        <w:t xml:space="preserve"> L'expertise des régulateurs est en grande partie tacite : elle relève de ce que Polanyi (1966) décrivait comme un savoir que l'on possède sans pouvoir entièrement l'énoncer. Elle se transmet par la pratique partagée et le compagnonnage bien plus que par des procédures (Nonaka &amp; Takeuchi, 1995 ; Lamari, 2010). Chaque départ emporte une part de ce savoir, et chaque arrivée impose une formation qui peut durer trois mois (E2), assurée par des praticiens formateurs eux-mêmes régulateurs. Le turnover que nous observons sur le terrain, sans pouvoir le chiffrer, a donc un coût cumulatif : il épuise ceux qui restent et qui forment, et il réduit progressivement le niveau d'expertise moyen de la centrale.</w:t>
      </w:r>
    </w:p>
    <w:p>
      <w:r>
        <w:rPr>
          <w:b/>
        </w:rPr>
        <w:t>Un risque opérationnel et de sécurité des patients.</w:t>
      </w:r>
      <w:r>
        <w:t xml:space="preserve"> La CTMG évalue à distance des situations dont certaines peuvent se révéler graves. Une centrale en sous-effectif récurrent, dont les collaborateurs n'ont pas d'espace pour déposer la charge émotionnelle de leurs appels, voit augmenter le risque d'erreur d'orientation. E2 le formule à sa manière, en évoquant un « sac à dos » que l'on remplit sans jamais pouvoir le vider.</w:t>
      </w:r>
    </w:p>
    <w:p>
      <w:r>
        <w:rPr>
          <w:b/>
        </w:rPr>
        <w:t>Un risque de légitimité et de réputation.</w:t>
      </w:r>
      <w:r>
        <w:t xml:space="preserve"> La CTMG sort d'une crise institutionnelle qui a conduit à la dissolution de l'entité qui la gérait. Elle remplit une mission de santé publique financée par l'impôt, sous le regard de deux cantons. Une nouvelle crise, qu'elle soit liée au personnel ou à la qualité de la prestation, porterait atteinte non seulement à la CTMG mais aussi à Unisanté, qui a accepté de l'accueillir. La question de la résilience organisationnelle, entre agilité et rigidité, se pose ici avec acuité (Giovannini &amp; Giauque, 2023).</w:t>
      </w:r>
    </w:p>
    <w:p>
      <w:pPr>
        <w:pStyle w:val="Heading2"/>
      </w:pPr>
      <w:r>
        <w:t>8.2 Les enjeux éthiques</w:t>
      </w:r>
    </w:p>
    <w:p>
      <w:r>
        <w:t xml:space="preserve">Trois enjeux éthiques ressortent des entretiens. Le premier concerne la </w:t>
      </w:r>
      <w:r>
        <w:rPr>
          <w:b/>
        </w:rPr>
        <w:t>santé psychique au travail</w:t>
      </w:r>
      <w:r>
        <w:t xml:space="preserve">. L'absence de débriefing après des appels traumatiques, dans un métier que E2 compare aux soins intensifs sans les dispositifs de soutien qui y existent, expose les collaborateurs à une usure dont l'employeur porte la responsabilité. Le deuxième concerne la </w:t>
      </w:r>
      <w:r>
        <w:rPr>
          <w:b/>
        </w:rPr>
        <w:t>protection de la parole</w:t>
      </w:r>
      <w:r>
        <w:t xml:space="preserve">. Lorsque des collaborateurs disent craindre des représailles s'ils s'expriment, et qu'ils rapportent des épisodes qui alimentent cette crainte, la question dépasse le climat de travail et touche aux devoirs de l'employeur public. Nous n'avons pas vérifié ces épisodes, mais la perception elle-même est un fait organisationnel. Le troisième concerne la </w:t>
      </w:r>
      <w:r>
        <w:rPr>
          <w:b/>
        </w:rPr>
        <w:t>loyauté envers les personnes qui ont participé à l'audit interne</w:t>
      </w:r>
      <w:r>
        <w:t>. Des collaborateurs ont pris le risque de parler. Ne leur donner aucun retour, même partiel, revient à traiter leur parole comme une simple ressource d'information, sans reconnaître ce qu'elle a coûté.</w:t>
      </w:r>
    </w:p>
    <w:p>
      <w:pPr>
        <w:pStyle w:val="Heading2"/>
      </w:pPr>
      <w:r>
        <w:t>8.3 Les points de vigilance</w:t>
      </w:r>
    </w:p>
    <w:p>
      <w:r>
        <w:t xml:space="preserve">Deux points de vigilance doivent accompagner toute démarche. Le premier est de </w:t>
      </w:r>
      <w:r>
        <w:rPr>
          <w:b/>
        </w:rPr>
        <w:t>ne pas personnaliser le diagnostic</w:t>
      </w:r>
      <w:r>
        <w:t xml:space="preserve">. Le module 002 lisait la situation à travers le leadership de la cheffe de service. Le présent audit montre que les mécanismes en cause (canaux d'information, délégation RH, architecture de gouvernance, biais de confirmation) survivraient à un changement de personne s'ils n'étaient pas traités pour eux-mêmes. Le second est de </w:t>
      </w:r>
      <w:r>
        <w:rPr>
          <w:b/>
        </w:rPr>
        <w:t>garantir la confidentialité</w:t>
      </w:r>
      <w:r>
        <w:t xml:space="preserve"> de toute restitution ou de tout nouveau dispositif d'écoute. Dans une équipe d'une soixantaine de personnes, un verbatim ou un détail suffit à identifier son auteur.</w:t>
      </w:r>
    </w:p>
    <w:p>
      <w:pPr>
        <w:pStyle w:val="Heading1"/>
      </w:pPr>
      <w:r>
        <w:t>9. Diagnostic et recommandations au Conseil d'Unisanté</w:t>
      </w:r>
    </w:p>
    <w:p>
      <w:pPr>
        <w:pStyle w:val="Heading2"/>
      </w:pPr>
      <w:r>
        <w:t>9.1 Diagnostic</w:t>
      </w:r>
    </w:p>
    <w:p>
      <w:r>
        <w:t xml:space="preserve">La CTMG ne souffre pas d'un manque de structures. Elle dispose d'un Conseil, d'une direction générale, d'une direction de service, d'un encadrement, de relais de terrain et d'une fonction RH. Ce qui fait défaut, c'est un dispositif qui permette à la gouvernance de </w:t>
      </w:r>
      <w:r>
        <w:rPr>
          <w:b/>
        </w:rPr>
        <w:t>voir l'humain</w:t>
      </w:r>
      <w:r>
        <w:t>. Pour reprendre la distinction de Charreaux (2005), les leviers disciplinaires, c'est-à-dire les indicateurs, le contrôle de l'activité et les procédures, sont bien présents. Les leviers cognitifs, qui permettraient à l'institution d'apprendre de son terrain, sont presque absents. L'architecture dualiste rend le Conseil dépendant d'une information produite par l'exécutif. La délégation RH confie la remontée des difficultés à une ligne managériale qui les vit comme des critiques. Les chefs de salle, qui recueillent cette information, n'ont aucun moyen de la transmettre. Et les biais des décideurs, qu'il s'agisse de l'attention portée aux volumes, du jugement sur l'information disponible, de la confirmation des choix passés ou de l'attribution aux personnes, entretiennent une lecture rassurante de la situation.</w:t>
      </w:r>
    </w:p>
    <w:p>
      <w:r>
        <w:t>Le Conseil n'a pas vocation à gérer le service. Ses leviers passent par ses compétences propres : les objectifs annuels qu'il adopte, le plan stratégique, les comptes rendus qu'il est en droit d'exiger de la direction générale, et le contrat de prestations qu'il valide. Les recommandations qui suivent sont formulées dans ce cadre.</w:t>
      </w:r>
    </w:p>
    <w:p>
      <w:pPr>
        <w:pStyle w:val="Heading2"/>
      </w:pPr>
      <w:r>
        <w:t>9.2 Recommandations</w:t>
      </w:r>
    </w:p>
    <w:p>
      <w:r>
        <w:rPr>
          <w:b/>
        </w:rPr>
        <w:t>1. Demander une restitution de l'audit interne.</w:t>
      </w:r>
      <w:r>
        <w:t xml:space="preserve"> Le Conseil peut demander à la direction générale qu'une synthèse soit présentée aux collaborateurs : ce qui a été identifié, ce qui sera travaillé et selon quel calendrier. Il ne s'agit pas de publier le rapport, mais de trouver ce « juste milieu » entre « tout dire et ne rien dire » qu'évoque E1. C'est le moyen le plus direct de sortir de la logique de confiance décrite par Meyer et Rowan (1977) et de réactiver le levier cognitif de la gouvernance.</w:t>
      </w:r>
    </w:p>
    <w:p>
      <w:r>
        <w:rPr>
          <w:b/>
        </w:rPr>
        <w:t>2. Faire de la santé organisationnelle un objet de gouvernance.</w:t>
      </w:r>
      <w:r>
        <w:t xml:space="preserve"> Le Conseil peut inscrire dans les objectifs annuels un suivi d'indicateurs humains, présentés au même niveau que les volumes d'activité : taux de rotation, absentéisme, durée moyenne d'ancienneté, motifs de départ recueillis lors d'entretiens de sortie menés par une personne extérieure au service. C'est la réponse au filtre d'attention décrit en section 6.1 : ce qui dispose d'un canal peut enfin être vu (Ocasio, 1997). Cela rejoint aussi la proposition de Hilb (2016) d'intégrer les questions de personnel au travail du conseil.</w:t>
      </w:r>
    </w:p>
    <w:p>
      <w:r>
        <w:rPr>
          <w:b/>
        </w:rPr>
        <w:t>3. Créer un canal de remontée indépendant de la ligne hiérarchique.</w:t>
      </w:r>
      <w:r>
        <w:t xml:space="preserve"> Une personne de confiance extérieure au service, ou une enquête anonyme régulière dont les résultats sont communiqués, offrirait l'« espace neutre » que les collaborateurs attendaient des RH. Ce dispositif corrige directement l'autocensure décrite en sections 5.3 et 6.7, et rend l'information disponible pour les décideurs.</w:t>
      </w:r>
    </w:p>
    <w:p>
      <w:r>
        <w:rPr>
          <w:b/>
        </w:rPr>
        <w:t>4. Outiller les décisions touchant les personnes contre les biais.</w:t>
      </w:r>
      <w:r>
        <w:t xml:space="preserve"> Avant de réaffirmer une confiance ou de clore un dossier sensible, la direction générale et les RH pourraient recourir à des procédures simples. La grille de questions proposée par Kahneman, Lovallo et Sibony (2011) permet de vérifier si une recommandation a été examinée sous l'angle de la confirmation, de la disponibilité ou de l'attachement à des choix passés. L'analyse pré-mortem (Klein, 2007) consiste à imaginer que la décision a échoué et à en chercher les causes. Fixer à l'avance des seuils d'alerte, par exemple un niveau de départs au-delà duquel une revue externe est automatique, réduit le risque d'escalade (Simonson &amp; Staw, 1992).</w:t>
      </w:r>
    </w:p>
    <w:p>
      <w:r>
        <w:rPr>
          <w:b/>
        </w:rPr>
        <w:t>5. Clarifier et outiller la délégation RH.</w:t>
      </w:r>
      <w:r>
        <w:t xml:space="preserve"> Trois mesures sont concernées. D'abord, former les cadres de proximité à la gestion des personnes et à l'accueil de la critique, pour que les demandes des collaborateurs cessent d'être vécues comme des mises en cause. Ensuite, reconnaître formellement le rôle de relais des chefs de salle, en ajoutant à leurs comptes rendus une remontée qualitative sur la charge vécue et les incidents relationnels. Enfin, fixer des délais pour les décisions contractuelles, afin qu'une situation comme celle des praticiennes formatrices ne dépende plus d'une relance informelle.</w:t>
      </w:r>
    </w:p>
    <w:p>
      <w:r>
        <w:rPr>
          <w:b/>
        </w:rPr>
        <w:t>6. Institutionnaliser le débriefing.</w:t>
      </w:r>
      <w:r>
        <w:t xml:space="preserve"> Des temps de débriefing après les appels difficiles, et des séances régulières d'analyse de la pratique, pourraient s'appuyer sur les compétences disponibles au sein d'Unisanté, notamment en santé au travail. Cette mesure répond à l'enjeu éthique de santé psychique et contribue à la rétention de l'expertise.</w:t>
      </w:r>
    </w:p>
    <w:p>
      <w:r>
        <w:rPr>
          <w:b/>
        </w:rPr>
        <w:t>7. Évaluer après douze mois.</w:t>
      </w:r>
      <w:r>
        <w:t xml:space="preserve"> Le Conseil peut demander qu'un bilan de ces mesures soit réalisé par un tiers externe au service, et que ses conclusions soient, cette fois, restituées aux équipes. C'est à cette condition que la démarche pourra rétablir ce que E1 considère comme l'essentiel : que les collaborateurs « voient que leur parole peut réellement avoir un effet sur le fonctionnement du service ».</w:t>
      </w:r>
    </w:p>
    <w:p>
      <w:r>
        <w:t>Le tableau suivant synthétise ces recommandations.</w:t>
      </w:r>
    </w:p>
    <w:tbl>
      <w:tblPr>
        <w:tblStyle w:val="TableGrid"/>
        <w:tblW w:type="auto" w:w="0"/>
        <w:jc w:val="center"/>
        <w:tblLook w:firstColumn="1" w:firstRow="1" w:lastColumn="0" w:lastRow="0" w:noHBand="0" w:noVBand="1" w:val="04A0"/>
      </w:tblPr>
      <w:tblGrid>
        <w:gridCol w:w="3024"/>
        <w:gridCol w:w="3024"/>
        <w:gridCol w:w="3024"/>
      </w:tblGrid>
      <w:tr>
        <w:tc>
          <w:tcPr>
            <w:tcW w:type="dxa" w:w="1928"/>
            <w:shd w:val="clear" w:color="auto" w:fill="DCE3EC"/>
          </w:tcPr>
          <w:p>
            <w:pPr>
              <w:spacing w:line="240" w:lineRule="auto" w:after="40"/>
              <w:jc w:val="left"/>
            </w:pPr>
            <w:r>
              <w:rPr>
                <w:b/>
                <w:sz w:val="20"/>
              </w:rPr>
              <w:t>Recommandation</w:t>
            </w:r>
          </w:p>
        </w:tc>
        <w:tc>
          <w:tcPr>
            <w:tcW w:type="dxa" w:w="2835"/>
            <w:shd w:val="clear" w:color="auto" w:fill="DCE3EC"/>
          </w:tcPr>
          <w:p>
            <w:pPr>
              <w:spacing w:line="240" w:lineRule="auto" w:after="40"/>
              <w:jc w:val="left"/>
            </w:pPr>
            <w:r>
              <w:rPr>
                <w:b/>
                <w:sz w:val="20"/>
              </w:rPr>
              <w:t>Mécanisme visé</w:t>
            </w:r>
          </w:p>
        </w:tc>
        <w:tc>
          <w:tcPr>
            <w:tcW w:type="dxa" w:w="4309"/>
            <w:shd w:val="clear" w:color="auto" w:fill="DCE3EC"/>
          </w:tcPr>
          <w:p>
            <w:pPr>
              <w:spacing w:line="240" w:lineRule="auto" w:after="40"/>
              <w:jc w:val="left"/>
            </w:pPr>
            <w:r>
              <w:rPr>
                <w:b/>
                <w:sz w:val="20"/>
              </w:rPr>
              <w:t>Indicateur de suivi</w:t>
            </w:r>
          </w:p>
        </w:tc>
      </w:tr>
      <w:tr>
        <w:tc>
          <w:tcPr>
            <w:tcW w:type="dxa" w:w="1928"/>
          </w:tcPr>
          <w:p>
            <w:pPr>
              <w:spacing w:line="240" w:lineRule="auto" w:after="40"/>
              <w:jc w:val="left"/>
            </w:pPr>
            <w:r>
              <w:rPr>
                <w:sz w:val="20"/>
              </w:rPr>
              <w:t>1. Restituer l'audit</w:t>
            </w:r>
          </w:p>
        </w:tc>
        <w:tc>
          <w:tcPr>
            <w:tcW w:type="dxa" w:w="2835"/>
          </w:tcPr>
          <w:p>
            <w:pPr>
              <w:spacing w:line="240" w:lineRule="auto" w:after="40"/>
              <w:jc w:val="left"/>
            </w:pPr>
            <w:r>
              <w:rPr>
                <w:sz w:val="20"/>
              </w:rPr>
              <w:t>Découplage, logique de confiance</w:t>
            </w:r>
          </w:p>
        </w:tc>
        <w:tc>
          <w:tcPr>
            <w:tcW w:type="dxa" w:w="4309"/>
          </w:tcPr>
          <w:p>
            <w:pPr>
              <w:spacing w:line="240" w:lineRule="auto" w:after="40"/>
              <w:jc w:val="left"/>
            </w:pPr>
            <w:r>
              <w:rPr>
                <w:sz w:val="20"/>
              </w:rPr>
              <w:t>Restitution effectuée, perception des collaborateurs</w:t>
            </w:r>
          </w:p>
        </w:tc>
      </w:tr>
      <w:tr>
        <w:tc>
          <w:tcPr>
            <w:tcW w:type="dxa" w:w="1928"/>
          </w:tcPr>
          <w:p>
            <w:pPr>
              <w:spacing w:line="240" w:lineRule="auto" w:after="40"/>
              <w:jc w:val="left"/>
            </w:pPr>
            <w:r>
              <w:rPr>
                <w:sz w:val="20"/>
              </w:rPr>
              <w:t>2. Indicateurs humains au Conseil</w:t>
            </w:r>
          </w:p>
        </w:tc>
        <w:tc>
          <w:tcPr>
            <w:tcW w:type="dxa" w:w="2835"/>
          </w:tcPr>
          <w:p>
            <w:pPr>
              <w:spacing w:line="240" w:lineRule="auto" w:after="40"/>
              <w:jc w:val="left"/>
            </w:pPr>
            <w:r>
              <w:rPr>
                <w:sz w:val="20"/>
              </w:rPr>
              <w:t>Filtre d'attention, disponibilité</w:t>
            </w:r>
          </w:p>
        </w:tc>
        <w:tc>
          <w:tcPr>
            <w:tcW w:type="dxa" w:w="4309"/>
          </w:tcPr>
          <w:p>
            <w:pPr>
              <w:spacing w:line="240" w:lineRule="auto" w:after="40"/>
              <w:jc w:val="left"/>
            </w:pPr>
            <w:r>
              <w:rPr>
                <w:sz w:val="20"/>
              </w:rPr>
              <w:t>Tableau de bord présenté au Conseil chaque semestre</w:t>
            </w:r>
          </w:p>
        </w:tc>
      </w:tr>
      <w:tr>
        <w:tc>
          <w:tcPr>
            <w:tcW w:type="dxa" w:w="1928"/>
          </w:tcPr>
          <w:p>
            <w:pPr>
              <w:spacing w:line="240" w:lineRule="auto" w:after="40"/>
              <w:jc w:val="left"/>
            </w:pPr>
            <w:r>
              <w:rPr>
                <w:sz w:val="20"/>
              </w:rPr>
              <w:t>3. Canal neutre</w:t>
            </w:r>
          </w:p>
        </w:tc>
        <w:tc>
          <w:tcPr>
            <w:tcW w:type="dxa" w:w="2835"/>
          </w:tcPr>
          <w:p>
            <w:pPr>
              <w:spacing w:line="240" w:lineRule="auto" w:after="40"/>
              <w:jc w:val="left"/>
            </w:pPr>
            <w:r>
              <w:rPr>
                <w:sz w:val="20"/>
              </w:rPr>
              <w:t>Autocensure, asymétrie d'information</w:t>
            </w:r>
          </w:p>
        </w:tc>
        <w:tc>
          <w:tcPr>
            <w:tcW w:type="dxa" w:w="4309"/>
          </w:tcPr>
          <w:p>
            <w:pPr>
              <w:spacing w:line="240" w:lineRule="auto" w:after="40"/>
              <w:jc w:val="left"/>
            </w:pPr>
            <w:r>
              <w:rPr>
                <w:sz w:val="20"/>
              </w:rPr>
              <w:t>Taux de participation, suites données</w:t>
            </w:r>
          </w:p>
        </w:tc>
      </w:tr>
      <w:tr>
        <w:tc>
          <w:tcPr>
            <w:tcW w:type="dxa" w:w="1928"/>
          </w:tcPr>
          <w:p>
            <w:pPr>
              <w:spacing w:line="240" w:lineRule="auto" w:after="40"/>
              <w:jc w:val="left"/>
            </w:pPr>
            <w:r>
              <w:rPr>
                <w:sz w:val="20"/>
              </w:rPr>
              <w:t>4. Outils de débiaisage</w:t>
            </w:r>
          </w:p>
        </w:tc>
        <w:tc>
          <w:tcPr>
            <w:tcW w:type="dxa" w:w="2835"/>
          </w:tcPr>
          <w:p>
            <w:pPr>
              <w:spacing w:line="240" w:lineRule="auto" w:after="40"/>
              <w:jc w:val="left"/>
            </w:pPr>
            <w:r>
              <w:rPr>
                <w:sz w:val="20"/>
              </w:rPr>
              <w:t>Confirmation, escalade, attribution</w:t>
            </w:r>
          </w:p>
        </w:tc>
        <w:tc>
          <w:tcPr>
            <w:tcW w:type="dxa" w:w="4309"/>
          </w:tcPr>
          <w:p>
            <w:pPr>
              <w:spacing w:line="240" w:lineRule="auto" w:after="40"/>
              <w:jc w:val="left"/>
            </w:pPr>
            <w:r>
              <w:rPr>
                <w:sz w:val="20"/>
              </w:rPr>
              <w:t>Procédure appliquée aux décisions sensibles</w:t>
            </w:r>
          </w:p>
        </w:tc>
      </w:tr>
      <w:tr>
        <w:tc>
          <w:tcPr>
            <w:tcW w:type="dxa" w:w="1928"/>
          </w:tcPr>
          <w:p>
            <w:pPr>
              <w:spacing w:line="240" w:lineRule="auto" w:after="40"/>
              <w:jc w:val="left"/>
            </w:pPr>
            <w:r>
              <w:rPr>
                <w:sz w:val="20"/>
              </w:rPr>
              <w:t>5. Délégation RH outillée</w:t>
            </w:r>
          </w:p>
        </w:tc>
        <w:tc>
          <w:tcPr>
            <w:tcW w:type="dxa" w:w="2835"/>
          </w:tcPr>
          <w:p>
            <w:pPr>
              <w:spacing w:line="240" w:lineRule="auto" w:after="40"/>
              <w:jc w:val="left"/>
            </w:pPr>
            <w:r>
              <w:rPr>
                <w:sz w:val="20"/>
              </w:rPr>
              <w:t>Rôle paradoxal des cadres, relais sans mandat</w:t>
            </w:r>
          </w:p>
        </w:tc>
        <w:tc>
          <w:tcPr>
            <w:tcW w:type="dxa" w:w="4309"/>
          </w:tcPr>
          <w:p>
            <w:pPr>
              <w:spacing w:line="240" w:lineRule="auto" w:after="40"/>
              <w:jc w:val="left"/>
            </w:pPr>
            <w:r>
              <w:rPr>
                <w:sz w:val="20"/>
              </w:rPr>
              <w:t>Formation réalisée, délais contractuels respectés</w:t>
            </w:r>
          </w:p>
        </w:tc>
      </w:tr>
      <w:tr>
        <w:tc>
          <w:tcPr>
            <w:tcW w:type="dxa" w:w="1928"/>
          </w:tcPr>
          <w:p>
            <w:pPr>
              <w:spacing w:line="240" w:lineRule="auto" w:after="40"/>
              <w:jc w:val="left"/>
            </w:pPr>
            <w:r>
              <w:rPr>
                <w:sz w:val="20"/>
              </w:rPr>
              <w:t>6. Débriefing</w:t>
            </w:r>
          </w:p>
        </w:tc>
        <w:tc>
          <w:tcPr>
            <w:tcW w:type="dxa" w:w="2835"/>
          </w:tcPr>
          <w:p>
            <w:pPr>
              <w:spacing w:line="240" w:lineRule="auto" w:after="40"/>
              <w:jc w:val="left"/>
            </w:pPr>
            <w:r>
              <w:rPr>
                <w:sz w:val="20"/>
              </w:rPr>
              <w:t>Santé psychique, rétention</w:t>
            </w:r>
          </w:p>
        </w:tc>
        <w:tc>
          <w:tcPr>
            <w:tcW w:type="dxa" w:w="4309"/>
          </w:tcPr>
          <w:p>
            <w:pPr>
              <w:spacing w:line="240" w:lineRule="auto" w:after="40"/>
              <w:jc w:val="left"/>
            </w:pPr>
            <w:r>
              <w:rPr>
                <w:sz w:val="20"/>
              </w:rPr>
              <w:t>Fréquence des séances, absentéisme</w:t>
            </w:r>
          </w:p>
        </w:tc>
      </w:tr>
      <w:tr>
        <w:tc>
          <w:tcPr>
            <w:tcW w:type="dxa" w:w="1928"/>
          </w:tcPr>
          <w:p>
            <w:pPr>
              <w:spacing w:line="240" w:lineRule="auto" w:after="40"/>
              <w:jc w:val="left"/>
            </w:pPr>
            <w:r>
              <w:rPr>
                <w:sz w:val="20"/>
              </w:rPr>
              <w:t>7. Évaluation externe</w:t>
            </w:r>
          </w:p>
        </w:tc>
        <w:tc>
          <w:tcPr>
            <w:tcW w:type="dxa" w:w="2835"/>
          </w:tcPr>
          <w:p>
            <w:pPr>
              <w:spacing w:line="240" w:lineRule="auto" w:after="40"/>
              <w:jc w:val="left"/>
            </w:pPr>
            <w:r>
              <w:rPr>
                <w:sz w:val="20"/>
              </w:rPr>
              <w:t>Apprentissage organisationnel</w:t>
            </w:r>
          </w:p>
        </w:tc>
        <w:tc>
          <w:tcPr>
            <w:tcW w:type="dxa" w:w="4309"/>
          </w:tcPr>
          <w:p>
            <w:pPr>
              <w:spacing w:line="240" w:lineRule="auto" w:after="40"/>
              <w:jc w:val="left"/>
            </w:pPr>
            <w:r>
              <w:rPr>
                <w:sz w:val="20"/>
              </w:rPr>
              <w:t>Rapport restitué aux équipes</w:t>
            </w:r>
          </w:p>
        </w:tc>
      </w:tr>
    </w:tbl>
    <w:p>
      <w:pPr>
        <w:spacing w:after="0"/>
      </w:pPr>
    </w:p>
    <w:p>
      <w:pPr>
        <w:pStyle w:val="Heading1"/>
      </w:pPr>
      <w:r>
        <w:t>Conclusion</w:t>
      </w:r>
    </w:p>
    <w:p>
      <w:r>
        <w:t>Cet audit est parti d'un constat de terrain : à la CTMG, les structures sont en place, mais la confiance entre les niveaux ne l'est pas. L'analyse a montré que ce déficit ne tient pas seulement aux personnes. Il s'explique par une configuration publique gouvernée à distance par des indicateurs de volume. S'y ajoutent une architecture de type dualiste qui rend le Conseil dépendant de l'information de l'exécutif, une fonction RH déléguée et perçue comme alignée sur la direction, et des biais de décision qui transforment l'absence d'information en signe de maîtrise. Les recommandations proposées visent moins à corriger un comportement qu'à réparer un circuit : faire en sorte que ce que voit le terrain puisse atteindre ceux qui gouvernent, et que ces derniers puissent y répondre de manière visible.</w:t>
      </w:r>
    </w:p>
    <w:p>
      <w:r>
        <w:t>Ce travail comporte des limites, que nous avons voulu rendre explicites. Il repose sur deux entretiens et sur nos propres observations, recueillis depuis une position de chef de salle, sans accès aux données internes des RH ni au point de vue de la direction, des RH ou du Conseil. Plusieurs des interprétations proposées, en particulier celles qui concernent l'escalade d'engagement et la pensée de groupe, restent des hypothèses. Un prolongement naturel consisterait à les soumettre à une démarche contradictoire, en entendant les acteurs qui n'ont pas pu l'être ici. C'est d'ailleurs, en un sens, ce que recommande cet audit.</w:t>
      </w:r>
    </w:p>
    <w:p>
      <w:r>
        <w:br w:type="page"/>
      </w:r>
    </w:p>
    <w:p>
      <w:pPr>
        <w:pStyle w:val="Heading1"/>
      </w:pPr>
      <w:r>
        <w:t>Bibliographie</w:t>
      </w:r>
    </w:p>
    <w:p>
      <w:pPr>
        <w:pStyle w:val="Heading2"/>
      </w:pPr>
      <w:r>
        <w:t>Références scientifiques</w:t>
      </w:r>
    </w:p>
    <w:p>
      <w:pPr>
        <w:ind w:left="709" w:hanging="709"/>
        <w:jc w:val="left"/>
      </w:pPr>
      <w:r>
        <w:t xml:space="preserve">Aldrich, P., Dietz, G., Clark, T., &amp; Hamilton, P. (2015). Establishing HR professionals' influence and credibility: Lessons from the capital markets and investment banking sector. </w:t>
      </w:r>
      <w:r>
        <w:rPr>
          <w:i/>
        </w:rPr>
        <w:t>Human Resource Management, 54</w:t>
      </w:r>
      <w:r>
        <w:t>(1), 105–130.</w:t>
      </w:r>
    </w:p>
    <w:p>
      <w:pPr>
        <w:ind w:left="709" w:hanging="709"/>
        <w:jc w:val="left"/>
      </w:pPr>
      <w:r>
        <w:t xml:space="preserve">Barker, V. L., III, &amp; Barr, P. S. (2002). Linking top manager attributions to strategic reorientation in declining firms attempting turnarounds. </w:t>
      </w:r>
      <w:r>
        <w:rPr>
          <w:i/>
        </w:rPr>
        <w:t>Journal of Business Research, 55</w:t>
      </w:r>
      <w:r>
        <w:t>(12), 963–979.</w:t>
      </w:r>
    </w:p>
    <w:p>
      <w:pPr>
        <w:ind w:left="709" w:hanging="709"/>
        <w:jc w:val="left"/>
      </w:pPr>
      <w:r>
        <w:t xml:space="preserve">Barney, J. (1991). Firm resources and sustained competitive advantage. </w:t>
      </w:r>
      <w:r>
        <w:rPr>
          <w:i/>
        </w:rPr>
        <w:t>Journal of Management, 17</w:t>
      </w:r>
      <w:r>
        <w:t>(1), 99–120. https://doi.org/10.1177/014920639101700108</w:t>
      </w:r>
    </w:p>
    <w:p>
      <w:pPr>
        <w:ind w:left="709" w:hanging="709"/>
        <w:jc w:val="left"/>
      </w:pPr>
      <w:r>
        <w:t xml:space="preserve">Barney, J. B., &amp; Wright, P. M. (1998). On becoming a strategic partner: The role of human resources in gaining competitive advantage. </w:t>
      </w:r>
      <w:r>
        <w:rPr>
          <w:i/>
        </w:rPr>
        <w:t>Human Resource Management, 37</w:t>
      </w:r>
      <w:r>
        <w:t>(1), 31–46.</w:t>
      </w:r>
    </w:p>
    <w:p>
      <w:pPr>
        <w:ind w:left="709" w:hanging="709"/>
        <w:jc w:val="left"/>
      </w:pPr>
      <w:r>
        <w:t xml:space="preserve">Bonnet, C., Séville, M., &amp; Wirtz, P. (2017). Genèse et fonctionnement du conseil d'administration d'une firme entrepreneuriale : le rôle des identifications sociales des administrateurs. </w:t>
      </w:r>
      <w:r>
        <w:rPr>
          <w:i/>
        </w:rPr>
        <w:t>Finance Contrôle Stratégie, 20</w:t>
      </w:r>
      <w:r>
        <w:t>(3).</w:t>
      </w:r>
    </w:p>
    <w:p>
      <w:pPr>
        <w:ind w:left="709" w:hanging="709"/>
        <w:jc w:val="left"/>
      </w:pPr>
      <w:r>
        <w:t xml:space="preserve">Boxall, P. (1996). The strategic HRM debate and the resource-based view of the firm. </w:t>
      </w:r>
      <w:r>
        <w:rPr>
          <w:i/>
        </w:rPr>
        <w:t>Human Resource Management Journal, 6</w:t>
      </w:r>
      <w:r>
        <w:t>(3), 59–75.</w:t>
      </w:r>
    </w:p>
    <w:p>
      <w:pPr>
        <w:ind w:left="709" w:hanging="709"/>
        <w:jc w:val="left"/>
      </w:pPr>
      <w:r>
        <w:t xml:space="preserve">Brandl, J., &amp; Pohler, D. (2010). The human resource department's role and conditions that affect its development: Explanations from Austrian CEOs. </w:t>
      </w:r>
      <w:r>
        <w:rPr>
          <w:i/>
        </w:rPr>
        <w:t>Human Resource Management, 49</w:t>
      </w:r>
      <w:r>
        <w:t>(6), 1025–1046.</w:t>
      </w:r>
    </w:p>
    <w:p>
      <w:pPr>
        <w:ind w:left="709" w:hanging="709"/>
        <w:jc w:val="left"/>
      </w:pPr>
      <w:r>
        <w:t xml:space="preserve">Bédat, J. (2024). </w:t>
      </w:r>
      <w:r>
        <w:rPr>
          <w:i/>
        </w:rPr>
        <w:t>The influence of the board of directors on HR strategy: Three qualitative studies in a Swiss context</w:t>
      </w:r>
      <w:r>
        <w:t xml:space="preserve"> [Thèse de doctorat, Université Jean Moulin Lyon III].</w:t>
      </w:r>
    </w:p>
    <w:p>
      <w:pPr>
        <w:ind w:left="709" w:hanging="709"/>
        <w:jc w:val="left"/>
      </w:pPr>
      <w:r>
        <w:t xml:space="preserve">Charreaux, G. (2005). Pour une gouvernance d'entreprise « comportementale » : une réflexion exploratoire... </w:t>
      </w:r>
      <w:r>
        <w:rPr>
          <w:i/>
        </w:rPr>
        <w:t>Revue française de gestion, 157</w:t>
      </w:r>
      <w:r>
        <w:t>(4), 215–238.</w:t>
      </w:r>
    </w:p>
    <w:p>
      <w:pPr>
        <w:ind w:left="709" w:hanging="709"/>
        <w:jc w:val="left"/>
      </w:pPr>
      <w:r>
        <w:t xml:space="preserve">Emery, Y., &amp; Giauque, D. (2003). Emergence of contradictory injunctions in Swiss NPM projects. </w:t>
      </w:r>
      <w:r>
        <w:rPr>
          <w:i/>
        </w:rPr>
        <w:t>International Journal of Public Sector Management, 16</w:t>
      </w:r>
      <w:r>
        <w:t>(6), 468–481.</w:t>
      </w:r>
    </w:p>
    <w:p>
      <w:pPr>
        <w:ind w:left="709" w:hanging="709"/>
        <w:jc w:val="left"/>
      </w:pPr>
      <w:r>
        <w:t xml:space="preserve">Emery, Y., &amp; Giauque, D. (2014). L'univers hybride de l'administration au XXIe siècle. Introduction. </w:t>
      </w:r>
      <w:r>
        <w:rPr>
          <w:i/>
        </w:rPr>
        <w:t>Revue Internationale des Sciences Administratives, 80</w:t>
      </w:r>
      <w:r>
        <w:t>(1), 25–34.</w:t>
      </w:r>
    </w:p>
    <w:p>
      <w:pPr>
        <w:ind w:left="709" w:hanging="709"/>
        <w:jc w:val="left"/>
      </w:pPr>
      <w:r>
        <w:t xml:space="preserve">Emery, Y., &amp; Giauque, D. (2019). Les paradoxes d'une gouvernance publique à distance par les indicateurs. In </w:t>
      </w:r>
      <w:r>
        <w:rPr>
          <w:i/>
        </w:rPr>
        <w:t>Manager les paradoxes dans le secteur public</w:t>
      </w:r>
      <w:r>
        <w:t xml:space="preserve"> (pp. 9–30).</w:t>
      </w:r>
    </w:p>
    <w:p>
      <w:pPr>
        <w:ind w:left="709" w:hanging="709"/>
        <w:jc w:val="left"/>
      </w:pPr>
      <w:r>
        <w:t xml:space="preserve">Fama, E. F., &amp; Jensen, M. C. (1983). Separation of ownership and control. </w:t>
      </w:r>
      <w:r>
        <w:rPr>
          <w:i/>
        </w:rPr>
        <w:t>The Journal of Law and Economics, 26</w:t>
      </w:r>
      <w:r>
        <w:t>(2), 301–325.</w:t>
      </w:r>
    </w:p>
    <w:p>
      <w:pPr>
        <w:ind w:left="709" w:hanging="709"/>
        <w:jc w:val="left"/>
      </w:pPr>
      <w:r>
        <w:t xml:space="preserve">Forbes, D. P., &amp; Milliken, F. J. (1999). Cognition and corporate governance: Understanding boards of directors as strategic decision-making groups. </w:t>
      </w:r>
      <w:r>
        <w:rPr>
          <w:i/>
        </w:rPr>
        <w:t>Academy of Management Review, 24</w:t>
      </w:r>
      <w:r>
        <w:t>(3), 489–505.</w:t>
      </w:r>
    </w:p>
    <w:p>
      <w:pPr>
        <w:ind w:left="709" w:hanging="709"/>
        <w:jc w:val="left"/>
      </w:pPr>
      <w:r>
        <w:t xml:space="preserve">Giauque, D. (2003). New public management and organizational regulation: The liberal bureaucracy. </w:t>
      </w:r>
      <w:r>
        <w:rPr>
          <w:i/>
        </w:rPr>
        <w:t>International Review of Administrative Sciences, 69</w:t>
      </w:r>
      <w:r>
        <w:t>(4), 567–592.</w:t>
      </w:r>
    </w:p>
    <w:p>
      <w:pPr>
        <w:ind w:left="709" w:hanging="709"/>
        <w:jc w:val="left"/>
      </w:pPr>
      <w:r>
        <w:t xml:space="preserve">Giauque, D. (2024). Une nouvelle économie politique des administrations publiques : la gouvernance à distance. </w:t>
      </w:r>
      <w:r>
        <w:rPr>
          <w:i/>
        </w:rPr>
        <w:t>Éthique publique, 25</w:t>
      </w:r>
      <w:r>
        <w:t>(2).</w:t>
      </w:r>
    </w:p>
    <w:p>
      <w:pPr>
        <w:ind w:left="709" w:hanging="709"/>
        <w:jc w:val="left"/>
      </w:pPr>
      <w:r>
        <w:t xml:space="preserve">Giauque, D., Anderfuhren-Biget, S., &amp; Varone, F. (2013). HRM practices, intrinsic motivators, and organizational performance in the public sector. </w:t>
      </w:r>
      <w:r>
        <w:rPr>
          <w:i/>
        </w:rPr>
        <w:t>Public Personnel Management, 42</w:t>
      </w:r>
      <w:r>
        <w:t>(2), 123–150.</w:t>
      </w:r>
    </w:p>
    <w:p>
      <w:pPr>
        <w:ind w:left="709" w:hanging="709"/>
        <w:jc w:val="left"/>
      </w:pPr>
      <w:r>
        <w:t xml:space="preserve">Gioia, D. A., &amp; Chittipeddi, K. (1991). Sensemaking and sensegiving in strategic change initiation. </w:t>
      </w:r>
      <w:r>
        <w:rPr>
          <w:i/>
        </w:rPr>
        <w:t>Strategic Management Journal, 12</w:t>
      </w:r>
      <w:r>
        <w:t>(6), 433–448.</w:t>
      </w:r>
    </w:p>
    <w:p>
      <w:pPr>
        <w:ind w:left="709" w:hanging="709"/>
        <w:jc w:val="left"/>
      </w:pPr>
      <w:r>
        <w:t xml:space="preserve">Giovannini, C., &amp; Giauque, D. (2023). La résilience organisationnelle, entre agilité et rigidité ? </w:t>
      </w:r>
      <w:r>
        <w:rPr>
          <w:i/>
        </w:rPr>
        <w:t>Swiss Yearbook of Administrative Sciences, 14</w:t>
      </w:r>
      <w:r>
        <w:t>(1), 73–84.</w:t>
      </w:r>
    </w:p>
    <w:p>
      <w:pPr>
        <w:ind w:left="709" w:hanging="709"/>
        <w:jc w:val="left"/>
      </w:pPr>
      <w:r>
        <w:t xml:space="preserve">Gooderham, P. N., Morley, M. J., Parry, E., &amp; Stavrou, E. (2015). National and firm-level drivers of the devolution of HRM decision making to line managers. </w:t>
      </w:r>
      <w:r>
        <w:rPr>
          <w:i/>
        </w:rPr>
        <w:t>Journal of International Business Studies, 46</w:t>
      </w:r>
      <w:r>
        <w:t>(6), 715–723.</w:t>
      </w:r>
    </w:p>
    <w:p>
      <w:pPr>
        <w:ind w:left="709" w:hanging="709"/>
        <w:jc w:val="left"/>
      </w:pPr>
      <w:r>
        <w:t xml:space="preserve">Haleblian, J., &amp; Rajagopalan, N. (2006). A cognitive model of CEO dismissal: Understanding the influence of board perceptions, attributions and efficacy beliefs. </w:t>
      </w:r>
      <w:r>
        <w:rPr>
          <w:i/>
        </w:rPr>
        <w:t>Journal of Management Studies, 43</w:t>
      </w:r>
      <w:r>
        <w:t>(5), 1009–1026.</w:t>
      </w:r>
    </w:p>
    <w:p>
      <w:pPr>
        <w:ind w:left="709" w:hanging="709"/>
        <w:jc w:val="left"/>
      </w:pPr>
      <w:r>
        <w:t xml:space="preserve">Hardy, C. (1996). Understanding power: Bringing about strategic change. </w:t>
      </w:r>
      <w:r>
        <w:rPr>
          <w:i/>
        </w:rPr>
        <w:t>British Journal of Management, 7</w:t>
      </w:r>
      <w:r>
        <w:t>(S1), S3–S16.</w:t>
      </w:r>
    </w:p>
    <w:p>
      <w:pPr>
        <w:ind w:left="709" w:hanging="709"/>
        <w:jc w:val="left"/>
      </w:pPr>
      <w:r>
        <w:t xml:space="preserve">Hilb, M. (2016). </w:t>
      </w:r>
      <w:r>
        <w:rPr>
          <w:i/>
        </w:rPr>
        <w:t>New corporate governance: Successful board management tools</w:t>
      </w:r>
      <w:r>
        <w:t xml:space="preserve"> (5e éd.). Springer.</w:t>
      </w:r>
    </w:p>
    <w:p>
      <w:pPr>
        <w:ind w:left="709" w:hanging="709"/>
        <w:jc w:val="left"/>
      </w:pPr>
      <w:r>
        <w:t xml:space="preserve">Janis, I. L. (1972). </w:t>
      </w:r>
      <w:r>
        <w:rPr>
          <w:i/>
        </w:rPr>
        <w:t>Victims of groupthink: A psychological study of foreign-policy decisions and fiascoes</w:t>
      </w:r>
      <w:r>
        <w:t>. Houghton Mifflin.</w:t>
      </w:r>
    </w:p>
    <w:p>
      <w:pPr>
        <w:ind w:left="709" w:hanging="709"/>
        <w:jc w:val="left"/>
      </w:pPr>
      <w:r>
        <w:t xml:space="preserve">Jensen, M. C., &amp; Meckling, W. H. (1976). Theory of the firm: Managerial behavior, agency costs and ownership structure. </w:t>
      </w:r>
      <w:r>
        <w:rPr>
          <w:i/>
        </w:rPr>
        <w:t>Journal of Financial Economics, 3</w:t>
      </w:r>
      <w:r>
        <w:t>(4), 305–360.</w:t>
      </w:r>
    </w:p>
    <w:p>
      <w:pPr>
        <w:ind w:left="709" w:hanging="709"/>
        <w:jc w:val="left"/>
      </w:pPr>
      <w:r>
        <w:t xml:space="preserve">Jungmann, C. (2006). The effectiveness of corporate governance in one-tier and two-tier board systems: Evidence from the UK and Germany. </w:t>
      </w:r>
      <w:r>
        <w:rPr>
          <w:i/>
        </w:rPr>
        <w:t>European Company and Financial Law Review, 3</w:t>
      </w:r>
      <w:r>
        <w:t>(4), 426–474.</w:t>
      </w:r>
    </w:p>
    <w:p>
      <w:pPr>
        <w:ind w:left="709" w:hanging="709"/>
        <w:jc w:val="left"/>
      </w:pPr>
      <w:r>
        <w:t xml:space="preserve">Kahneman, D. (2012). Two systems in the mind. </w:t>
      </w:r>
      <w:r>
        <w:rPr>
          <w:i/>
        </w:rPr>
        <w:t>Bulletin of the American Academy of Arts and Sciences, 65</w:t>
      </w:r>
      <w:r>
        <w:t>(2), 55–59.</w:t>
      </w:r>
    </w:p>
    <w:p>
      <w:pPr>
        <w:ind w:left="709" w:hanging="709"/>
        <w:jc w:val="left"/>
      </w:pPr>
      <w:r>
        <w:t xml:space="preserve">Kahneman, D., Lovallo, D., &amp; Sibony, O. (2011). Before you make that big decision. </w:t>
      </w:r>
      <w:r>
        <w:rPr>
          <w:i/>
        </w:rPr>
        <w:t>Harvard Business Review, 89</w:t>
      </w:r>
      <w:r>
        <w:t>(6), 50–60.</w:t>
      </w:r>
    </w:p>
    <w:p>
      <w:pPr>
        <w:ind w:left="709" w:hanging="709"/>
        <w:jc w:val="left"/>
      </w:pPr>
      <w:r>
        <w:t xml:space="preserve">Klein, G. (2007). Performing a project premortem. </w:t>
      </w:r>
      <w:r>
        <w:rPr>
          <w:i/>
        </w:rPr>
        <w:t>Harvard Business Review, 85</w:t>
      </w:r>
      <w:r>
        <w:t>(9), 18–19.</w:t>
      </w:r>
    </w:p>
    <w:p>
      <w:pPr>
        <w:ind w:left="709" w:hanging="709"/>
        <w:jc w:val="left"/>
      </w:pPr>
      <w:r>
        <w:t xml:space="preserve">Kunz, P. V. (2010). Swiss corporate governance: An overview. In </w:t>
      </w:r>
      <w:r>
        <w:rPr>
          <w:i/>
        </w:rPr>
        <w:t>Rapports suisses présentés au XVIIIe Congrès international de droit comparé</w:t>
      </w:r>
      <w:r>
        <w:t xml:space="preserve"> (pp. 99–134).</w:t>
      </w:r>
    </w:p>
    <w:p>
      <w:pPr>
        <w:ind w:left="709" w:hanging="709"/>
        <w:jc w:val="left"/>
      </w:pPr>
      <w:r>
        <w:t xml:space="preserve">Lamari, M. (2010). Le transfert intergénérationnel des connaissances tacites : les concepts utilisés et les évidences empiriques démontrées. </w:t>
      </w:r>
      <w:r>
        <w:rPr>
          <w:i/>
        </w:rPr>
        <w:t>Télescope, 16</w:t>
      </w:r>
      <w:r>
        <w:t>(1), 39–65.</w:t>
      </w:r>
    </w:p>
    <w:p>
      <w:pPr>
        <w:ind w:left="709" w:hanging="709"/>
        <w:jc w:val="left"/>
      </w:pPr>
      <w:r>
        <w:t xml:space="preserve">Lima, L., &amp; Galleli, B. (2021). Human resources management and corporate governance: Integration perspectives and future directions. </w:t>
      </w:r>
      <w:r>
        <w:rPr>
          <w:i/>
        </w:rPr>
        <w:t>European Management Journal, 39</w:t>
      </w:r>
      <w:r>
        <w:t>(6), 731–744.</w:t>
      </w:r>
    </w:p>
    <w:p>
      <w:pPr>
        <w:ind w:left="709" w:hanging="709"/>
        <w:jc w:val="left"/>
      </w:pPr>
      <w:r>
        <w:t xml:space="preserve">Martin, G., Farndale, E., Paauwe, J., &amp; Stiles, P. G. (2016). Corporate governance and strategic human resource management: Four archetypes and proposals for a new approach to corporate sustainability. </w:t>
      </w:r>
      <w:r>
        <w:rPr>
          <w:i/>
        </w:rPr>
        <w:t>European Management Journal, 34</w:t>
      </w:r>
      <w:r>
        <w:t>(1), 22–35.</w:t>
      </w:r>
    </w:p>
    <w:p>
      <w:pPr>
        <w:ind w:left="709" w:hanging="709"/>
        <w:jc w:val="left"/>
      </w:pPr>
      <w:r>
        <w:t xml:space="preserve">McCormick, M. J., &amp; Martinko, M. J. (2004). Identifying leader social cognitions: Integrating the causal reasoning perspective into social cognitive theory. </w:t>
      </w:r>
      <w:r>
        <w:rPr>
          <w:i/>
        </w:rPr>
        <w:t>Journal of Leadership &amp; Organizational Studies, 10</w:t>
      </w:r>
      <w:r>
        <w:t>(4), 2–11.</w:t>
      </w:r>
    </w:p>
    <w:p>
      <w:pPr>
        <w:ind w:left="709" w:hanging="709"/>
        <w:jc w:val="left"/>
      </w:pPr>
      <w:r>
        <w:t xml:space="preserve">Meyer, J. W., &amp; Rowan, B. (1977). Institutionalized organizations: Formal structure as myth and ceremony. </w:t>
      </w:r>
      <w:r>
        <w:rPr>
          <w:i/>
        </w:rPr>
        <w:t>American Journal of Sociology, 83</w:t>
      </w:r>
      <w:r>
        <w:t>(2), 340–363.</w:t>
      </w:r>
    </w:p>
    <w:p>
      <w:pPr>
        <w:ind w:left="709" w:hanging="709"/>
        <w:jc w:val="left"/>
      </w:pPr>
      <w:r>
        <w:t xml:space="preserve">Nonaka, I., &amp; Takeuchi, H. (1995). </w:t>
      </w:r>
      <w:r>
        <w:rPr>
          <w:i/>
        </w:rPr>
        <w:t>The knowledge-creating company: How Japanese companies create the dynamics of innovation</w:t>
      </w:r>
      <w:r>
        <w:t>. Oxford University Press.</w:t>
      </w:r>
    </w:p>
    <w:p>
      <w:pPr>
        <w:ind w:left="709" w:hanging="709"/>
        <w:jc w:val="left"/>
      </w:pPr>
      <w:r>
        <w:t xml:space="preserve">Ocasio, W. (1997). Towards an attention-based view of the firm. </w:t>
      </w:r>
      <w:r>
        <w:rPr>
          <w:i/>
        </w:rPr>
        <w:t>Strategic Management Journal, 18</w:t>
      </w:r>
      <w:r>
        <w:t>(S1), 187–206.</w:t>
      </w:r>
    </w:p>
    <w:p>
      <w:pPr>
        <w:ind w:left="709" w:hanging="709"/>
        <w:jc w:val="left"/>
      </w:pPr>
      <w:r>
        <w:t xml:space="preserve">Petrovic, J., Saridakis, G., &amp; Johnstone, S. (2018). An integrative approach to HRM–firm performance relationship: A missing link to corporate governance. </w:t>
      </w:r>
      <w:r>
        <w:rPr>
          <w:i/>
        </w:rPr>
        <w:t>Corporate Governance, 18</w:t>
      </w:r>
      <w:r>
        <w:t>(2), 331–352.</w:t>
      </w:r>
    </w:p>
    <w:p>
      <w:pPr>
        <w:ind w:left="709" w:hanging="709"/>
        <w:jc w:val="left"/>
      </w:pPr>
      <w:r>
        <w:t xml:space="preserve">Pfeffer, J. (1992). </w:t>
      </w:r>
      <w:r>
        <w:rPr>
          <w:i/>
        </w:rPr>
        <w:t>Managing with power: Politics and influence in organizations</w:t>
      </w:r>
      <w:r>
        <w:t>. Harvard Business School Press.</w:t>
      </w:r>
    </w:p>
    <w:p>
      <w:pPr>
        <w:ind w:left="709" w:hanging="709"/>
        <w:jc w:val="left"/>
      </w:pPr>
      <w:r>
        <w:t xml:space="preserve">Polanyi, M. (1966). The logic of tacit inference. </w:t>
      </w:r>
      <w:r>
        <w:rPr>
          <w:i/>
        </w:rPr>
        <w:t>Philosophy, 41</w:t>
      </w:r>
      <w:r>
        <w:t>(155), 1–18.</w:t>
      </w:r>
    </w:p>
    <w:p>
      <w:pPr>
        <w:ind w:left="709" w:hanging="709"/>
        <w:jc w:val="left"/>
      </w:pPr>
      <w:r>
        <w:t xml:space="preserve">Prévot, F., Brulhart, F., &amp; Guieu, G. (2010). Perspectives fondées sur les ressources : proposition de synthèse. </w:t>
      </w:r>
      <w:r>
        <w:rPr>
          <w:i/>
        </w:rPr>
        <w:t>Revue française de gestion, 204</w:t>
      </w:r>
      <w:r>
        <w:t>(5), 87–103.</w:t>
      </w:r>
    </w:p>
    <w:p>
      <w:pPr>
        <w:ind w:left="709" w:hanging="709"/>
        <w:jc w:val="left"/>
      </w:pPr>
      <w:r>
        <w:t xml:space="preserve">Reichel, A., &amp; Lazarova, M. (2013). The effects of outsourcing and devolvement on the strategic position of HR departments. </w:t>
      </w:r>
      <w:r>
        <w:rPr>
          <w:i/>
        </w:rPr>
        <w:t>Human Resource Management, 52</w:t>
      </w:r>
      <w:r>
        <w:t>(6), 923–946.</w:t>
      </w:r>
    </w:p>
    <w:p>
      <w:pPr>
        <w:ind w:left="709" w:hanging="709"/>
        <w:jc w:val="left"/>
      </w:pPr>
      <w:r>
        <w:t xml:space="preserve">Ritz, A. (2009). La motivation de service public et la performance organisationnelle au sein de l'administration fédérale suisse. </w:t>
      </w:r>
      <w:r>
        <w:rPr>
          <w:i/>
        </w:rPr>
        <w:t>Revue Internationale des Sciences Administratives, 75</w:t>
      </w:r>
      <w:r>
        <w:t>(1), 59–86.</w:t>
      </w:r>
    </w:p>
    <w:p>
      <w:pPr>
        <w:ind w:left="709" w:hanging="709"/>
        <w:jc w:val="left"/>
      </w:pPr>
      <w:r>
        <w:t xml:space="preserve">Schmid, M. M., &amp; Zimmermann, H. (2008). Should chairman and CEO be separated? Leadership structure and firm performance in Switzerland. </w:t>
      </w:r>
      <w:r>
        <w:rPr>
          <w:i/>
        </w:rPr>
        <w:t>Schmalenbach Business Review, 60</w:t>
      </w:r>
      <w:r>
        <w:t>(2), 182–204.</w:t>
      </w:r>
    </w:p>
    <w:p>
      <w:pPr>
        <w:ind w:left="709" w:hanging="709"/>
        <w:jc w:val="left"/>
      </w:pPr>
      <w:r>
        <w:t xml:space="preserve">Schwenk, C. R. (1988). The cognitive perspective on strategic decision making. </w:t>
      </w:r>
      <w:r>
        <w:rPr>
          <w:i/>
        </w:rPr>
        <w:t>Journal of Management Studies, 25</w:t>
      </w:r>
      <w:r>
        <w:t>(1), 41–55.</w:t>
      </w:r>
    </w:p>
    <w:p>
      <w:pPr>
        <w:ind w:left="709" w:hanging="709"/>
        <w:jc w:val="left"/>
      </w:pPr>
      <w:r>
        <w:t xml:space="preserve">Sheehan, C., De Cieri, H., Cooper, B., &amp; Brooks, R. (2014). Exploring the power dimensions of the human resource function. </w:t>
      </w:r>
      <w:r>
        <w:rPr>
          <w:i/>
        </w:rPr>
        <w:t>Human Resource Management Journal, 24</w:t>
      </w:r>
      <w:r>
        <w:t>(2), 193–210.</w:t>
      </w:r>
    </w:p>
    <w:p>
      <w:pPr>
        <w:ind w:left="709" w:hanging="709"/>
        <w:jc w:val="left"/>
      </w:pPr>
      <w:r>
        <w:t xml:space="preserve">Simonson, I., &amp; Staw, B. M. (1992). Deescalation strategies: A comparison of techniques for reducing commitment to losing courses of action. </w:t>
      </w:r>
      <w:r>
        <w:rPr>
          <w:i/>
        </w:rPr>
        <w:t>Journal of Applied Psychology, 77</w:t>
      </w:r>
      <w:r>
        <w:t>(4), 419–426.</w:t>
      </w:r>
    </w:p>
    <w:p>
      <w:pPr>
        <w:ind w:left="709" w:hanging="709"/>
        <w:jc w:val="left"/>
      </w:pPr>
      <w:r>
        <w:t xml:space="preserve">Sirmon, D. G., Hitt, M. A., Ireland, R. D., &amp; Gilbert, B. A. (2011). Resource orchestration to create competitive advantage: Breadth, depth, and life cycle effects. </w:t>
      </w:r>
      <w:r>
        <w:rPr>
          <w:i/>
        </w:rPr>
        <w:t>Journal of Management, 37</w:t>
      </w:r>
      <w:r>
        <w:t>(5), 1390–1412.</w:t>
      </w:r>
    </w:p>
    <w:p>
      <w:pPr>
        <w:ind w:left="709" w:hanging="709"/>
        <w:jc w:val="left"/>
      </w:pPr>
      <w:r>
        <w:t xml:space="preserve">Stinchcombe, A. L. (1965). Social structure and organizations. In J. G. March (Ed.), </w:t>
      </w:r>
      <w:r>
        <w:rPr>
          <w:i/>
        </w:rPr>
        <w:t>Handbook of organizations</w:t>
      </w:r>
      <w:r>
        <w:t xml:space="preserve"> (pp. 142–193). Rand McNally.</w:t>
      </w:r>
    </w:p>
    <w:p>
      <w:pPr>
        <w:ind w:left="709" w:hanging="709"/>
        <w:jc w:val="left"/>
      </w:pPr>
      <w:r>
        <w:t xml:space="preserve">Tetlock, P. E. (2000). Cognitive biases and organizational correctives: Do both disease and cure depend on the politics of the beholder? </w:t>
      </w:r>
      <w:r>
        <w:rPr>
          <w:i/>
        </w:rPr>
        <w:t>Administrative Science Quarterly, 45</w:t>
      </w:r>
      <w:r>
        <w:t>(2), 293–326.</w:t>
      </w:r>
    </w:p>
    <w:p>
      <w:pPr>
        <w:ind w:left="709" w:hanging="709"/>
        <w:jc w:val="left"/>
      </w:pPr>
      <w:r>
        <w:t xml:space="preserve">Tversky, A., &amp; Kahneman, D. (1974). Judgment under uncertainty: Heuristics and biases. </w:t>
      </w:r>
      <w:r>
        <w:rPr>
          <w:i/>
        </w:rPr>
        <w:t>Science, 185</w:t>
      </w:r>
      <w:r>
        <w:t>(4157), 1124–1131.</w:t>
      </w:r>
    </w:p>
    <w:p>
      <w:pPr>
        <w:ind w:left="709" w:hanging="709"/>
        <w:jc w:val="left"/>
      </w:pPr>
      <w:r>
        <w:t xml:space="preserve">Vandenabeele, W., Brewer, G. A., &amp; Ritz, A. (2014). Past, present, and future of public service motivation research. </w:t>
      </w:r>
      <w:r>
        <w:rPr>
          <w:i/>
        </w:rPr>
        <w:t>Public Administration, 92</w:t>
      </w:r>
      <w:r>
        <w:t>(4), 779–789.</w:t>
      </w:r>
    </w:p>
    <w:p>
      <w:pPr>
        <w:ind w:left="709" w:hanging="709"/>
        <w:jc w:val="left"/>
      </w:pPr>
      <w:r>
        <w:t xml:space="preserve">Walker, J. (2026, 23 juin). Le rôle des ressources humaines est-il d'aider les employés ? Voici ce que les jeunes professionnels doivent savoir. </w:t>
      </w:r>
      <w:r>
        <w:rPr>
          <w:i/>
        </w:rPr>
        <w:t>The Conversation</w:t>
      </w:r>
      <w:r>
        <w:t>. https://theconversation.com/le-role-des-ressources-humaines-est-il-daider-les-employes-voici-ce-que-les-jeunes-professionnels-doivent-savoir-279497</w:t>
      </w:r>
    </w:p>
    <w:p>
      <w:pPr>
        <w:ind w:left="709" w:hanging="709"/>
        <w:jc w:val="left"/>
      </w:pPr>
      <w:r>
        <w:t xml:space="preserve">Waterman, R. W., &amp; Meier, K. J. (1998). Principal-agent models: An expansion? </w:t>
      </w:r>
      <w:r>
        <w:rPr>
          <w:i/>
        </w:rPr>
        <w:t>Journal of Public Administration Research and Theory, 8</w:t>
      </w:r>
      <w:r>
        <w:t>(2), 173–202.</w:t>
      </w:r>
    </w:p>
    <w:p>
      <w:pPr>
        <w:ind w:left="709" w:hanging="709"/>
        <w:jc w:val="left"/>
      </w:pPr>
      <w:r>
        <w:t xml:space="preserve">Weick, K. E. (1995). </w:t>
      </w:r>
      <w:r>
        <w:rPr>
          <w:i/>
        </w:rPr>
        <w:t>Sensemaking in organizations</w:t>
      </w:r>
      <w:r>
        <w:t>. Sage.</w:t>
      </w:r>
    </w:p>
    <w:p>
      <w:pPr>
        <w:pStyle w:val="Heading2"/>
      </w:pPr>
      <w:r>
        <w:t>Supports de cours et sources institutionnelles</w:t>
      </w:r>
    </w:p>
    <w:p>
      <w:pPr>
        <w:ind w:left="709" w:hanging="709"/>
        <w:jc w:val="left"/>
      </w:pPr>
      <w:r>
        <w:t xml:space="preserve">Bédat, J. (2026). </w:t>
      </w:r>
      <w:r>
        <w:rPr>
          <w:i/>
        </w:rPr>
        <w:t>Orchestration stratégique RH</w:t>
      </w:r>
      <w:r>
        <w:t xml:space="preserve"> [Support de cours, jours 1 à 4]. CAS Stratégie et organisation, MRHC, Université de Lausanne.</w:t>
      </w:r>
    </w:p>
    <w:p>
      <w:pPr>
        <w:ind w:left="709" w:hanging="709"/>
        <w:jc w:val="left"/>
      </w:pPr>
      <w:r>
        <w:t xml:space="preserve">CHUV. (s.d.). </w:t>
      </w:r>
      <w:r>
        <w:rPr>
          <w:i/>
        </w:rPr>
        <w:t>Le 144 sera rattaché au CHUV et la Centrale téléphonique des médecins de garde à Unisanté</w:t>
      </w:r>
      <w:r>
        <w:t xml:space="preserve"> [Communiqué]. https://www.chuv.ch/fr/journalistes/communique/le-144-sera-rattache-au-chuv-et-la-centrale-telephonique-des-medecins-de-garde-a-unisante</w:t>
      </w:r>
    </w:p>
    <w:p>
      <w:pPr>
        <w:ind w:left="709" w:hanging="709"/>
        <w:jc w:val="left"/>
      </w:pPr>
      <w:r>
        <w:t xml:space="preserve">État de Vaud. (s.d.-a). </w:t>
      </w:r>
      <w:r>
        <w:rPr>
          <w:i/>
        </w:rPr>
        <w:t>Fondation Urgences Santé : rattachements des centrales d'appel</w:t>
      </w:r>
      <w:r>
        <w:t>. https://www.vd.ch/toutes-les-actualites/news/i-fondation-urgences-sante</w:t>
      </w:r>
    </w:p>
    <w:p>
      <w:pPr>
        <w:ind w:left="709" w:hanging="709"/>
        <w:jc w:val="left"/>
      </w:pPr>
      <w:r>
        <w:t xml:space="preserve">État de Vaud. (s.d.-b). </w:t>
      </w:r>
      <w:r>
        <w:rPr>
          <w:i/>
        </w:rPr>
        <w:t>Le Conseil d'État désigne le directeur général d'Unisanté</w:t>
      </w:r>
      <w:r>
        <w:t xml:space="preserve"> [Communiqué]. https://www.vd.ch/actualites/actualite/news/24942-le-conseil-detat-designe-le-dr-karim-boubaker-comme-directeur-general-dunisante</w:t>
      </w:r>
    </w:p>
    <w:p>
      <w:pPr>
        <w:ind w:left="709" w:hanging="709"/>
        <w:jc w:val="left"/>
      </w:pPr>
      <w:r>
        <w:t xml:space="preserve">État de Vaud. (s.d.-c). </w:t>
      </w:r>
      <w:r>
        <w:rPr>
          <w:i/>
        </w:rPr>
        <w:t>Membres du Conseil d'Unisanté pour 2022-2027</w:t>
      </w:r>
      <w:r>
        <w:t xml:space="preserve"> [Décision du Conseil d'État]. https://www.vd.ch/toutes-les-actualites/decisions-du-conseil-detat/seance-du-conseil-detat/decision/decision/2f2fc729-ddd7-4f12-a035-68e85f187c98</w:t>
      </w:r>
    </w:p>
    <w:p>
      <w:pPr>
        <w:ind w:left="709" w:hanging="709"/>
        <w:jc w:val="left"/>
      </w:pPr>
      <w:r>
        <w:t xml:space="preserve">Unisanté. (2022). </w:t>
      </w:r>
      <w:r>
        <w:rPr>
          <w:i/>
        </w:rPr>
        <w:t>Plan stratégique 2020-2024 : bilan intermédiaire 2022</w:t>
      </w:r>
      <w:r>
        <w:t>. https://www.unisante.ch/fr/media/1208/download</w:t>
      </w:r>
    </w:p>
    <w:p>
      <w:pPr>
        <w:ind w:left="709" w:hanging="709"/>
        <w:jc w:val="left"/>
      </w:pPr>
      <w:r>
        <w:t xml:space="preserve">Unisanté. (s.d.-a). </w:t>
      </w:r>
      <w:r>
        <w:rPr>
          <w:i/>
        </w:rPr>
        <w:t>Comité de direction</w:t>
      </w:r>
      <w:r>
        <w:t>. https://www.unisante.ch/fr/propos-dunisante/unisante-bref/comite-direction</w:t>
      </w:r>
    </w:p>
    <w:p>
      <w:pPr>
        <w:ind w:left="709" w:hanging="709"/>
        <w:jc w:val="left"/>
      </w:pPr>
      <w:r>
        <w:t xml:space="preserve">Unisanté. (s.d.-b). </w:t>
      </w:r>
      <w:r>
        <w:rPr>
          <w:i/>
        </w:rPr>
        <w:t>Conseil d'Unisanté</w:t>
      </w:r>
      <w:r>
        <w:t>. https://www.unisante.ch/fr/propos-dunisante/unisante-bref/conseil-dunisante</w:t>
      </w:r>
    </w:p>
    <w:p>
      <w:pPr>
        <w:ind w:left="709" w:hanging="709"/>
        <w:jc w:val="left"/>
      </w:pPr>
      <w:r>
        <w:t xml:space="preserve">Unisanté. (s.d.-c). </w:t>
      </w:r>
      <w:r>
        <w:rPr>
          <w:i/>
        </w:rPr>
        <w:t>Département urgences et santé communautaires (DUSC)</w:t>
      </w:r>
      <w:r>
        <w:t>. https://www.unisante.ch/fr/propos-dunisante/unisante-bref/departements/departement-urgences-sante-communautaires-dusc</w:t>
      </w:r>
    </w:p>
    <w:sectPr w:rsidR="00FC693F" w:rsidRPr="0006063C" w:rsidSect="00034616">
      <w:headerReference w:type="default" r:id="rId11"/>
      <w:footerReference w:type="default" r:id="rId12"/>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20"/>
      </w:rPr>
      <w:fldChar w:fldCharType="begin"/>
      <w:instrText xml:space="preserve">PAGE</w:instrText>
      <w:fldChar w:fldCharType="separate"/>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i/>
        <w:sz w:val="18"/>
      </w:rPr>
      <w:t>Orchestration stratégique RH – Zargui-Naji</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jc w:val="both"/>
    </w:pPr>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20" w:line="276" w:lineRule="auto"/>
      <w:jc w:val="left"/>
      <w:outlineLvl w:val="0"/>
    </w:pPr>
    <w:rPr>
      <w:rFonts w:ascii="Times New Roman" w:hAnsi="Times New Roman" w:eastAsia="Times New Roman"/>
      <w:b/>
      <w:bCs/>
      <w:i w:val="0"/>
      <w:color w:val="1F3A5F"/>
      <w:sz w:val="28"/>
      <w:szCs w:val="28"/>
    </w:rPr>
  </w:style>
  <w:style w:type="paragraph" w:styleId="Heading2">
    <w:name w:val="heading 2"/>
    <w:basedOn w:val="Normal"/>
    <w:next w:val="Normal"/>
    <w:link w:val="Heading2Char"/>
    <w:uiPriority w:val="9"/>
    <w:unhideWhenUsed/>
    <w:qFormat/>
    <w:rsid w:val="00FC693F"/>
    <w:pPr>
      <w:keepNext/>
      <w:keepLines/>
      <w:spacing w:before="240" w:after="120" w:line="276" w:lineRule="auto"/>
      <w:jc w:val="left"/>
      <w:outlineLvl w:val="1"/>
    </w:pPr>
    <w:rPr>
      <w:rFonts w:ascii="Times New Roman" w:hAnsi="Times New Roman" w:eastAsia="Times New Roman"/>
      <w:b/>
      <w:bCs/>
      <w:i w:val="0"/>
      <w:color w:val="1F3A5F"/>
      <w:sz w:val="25"/>
      <w:szCs w:val="26"/>
    </w:rPr>
  </w:style>
  <w:style w:type="paragraph" w:styleId="Heading3">
    <w:name w:val="heading 3"/>
    <w:basedOn w:val="Normal"/>
    <w:next w:val="Normal"/>
    <w:link w:val="Heading3Char"/>
    <w:uiPriority w:val="9"/>
    <w:unhideWhenUsed/>
    <w:qFormat/>
    <w:rsid w:val="00FC693F"/>
    <w:pPr>
      <w:keepNext/>
      <w:keepLines/>
      <w:spacing w:before="240" w:after="120" w:line="276" w:lineRule="auto"/>
      <w:jc w:val="left"/>
      <w:outlineLvl w:val="2"/>
    </w:pPr>
    <w:rPr>
      <w:rFonts w:ascii="Times New Roman" w:hAnsi="Times New Roman" w:eastAsia="Times New Roman"/>
      <w:b/>
      <w:bCs/>
      <w:i w:val="0"/>
      <w:color w:val="1F3A5F"/>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eader" Target="header2.xml"/><Relationship Id="rId12"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