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Biais cognitifs et filtres de décision</w:t>
      </w:r>
    </w:p>
    <w:p>
      <w:r>
        <w:t>Les sections précédentes décrivent un circuit d'information défaillant. Elles n'expliquent pas pourquoi ceux qui se trouvent en haut de la chaîne ne cherchent pas davantage à le réparer. Charreaux (2005) invite à prendre au sérieux cette question : les dirigeants et les administrateurs ne sont pas des décideurs parfaitement rationnels, et leurs biais font partie des mécanismes de gouvernance eux-mêmes. Les décideurs concernés (direction du service, DUSC, RH, Conseil) n'ont pas été interrogés. Les biais présentés ici sont donc des hypothèses construites à partir de ce qui est observable depuis le terrain, et non des diagnostics posés sur des personnes. Pour chacun, nous indiquons ce qui dans les données le suggère, le mécanisme en jeu et ce qu'il produit sur l'orchestration RH.</w:t>
      </w:r>
    </w:p>
    <w:p>
      <w:pPr>
        <w:pStyle w:val="Heading2"/>
      </w:pPr>
      <w:r>
        <w:t>6.1 Ce qui capte l'attention : la vue fondée sur l'attention</w:t>
      </w:r>
    </w:p>
    <w:p>
      <w:r>
        <w:t>Ocasio (1997) propose de comprendre le comportement des organisations à partir de la manière dont elles distribuent l'attention de leurs décideurs. L'attention est une ressource rare. Ce sur quoi elle se porte dépend moins des préférences individuelles que des canaux, des règles et des procédures que l'organisation met à disposition. Une question qui ne dispose d'aucun canal pour atteindre les décideurs a peu de chances de retenir leur attention, quelle que soit son importance.</w:t>
      </w:r>
    </w:p>
    <w:p>
      <w:r>
        <w:t>À la CTMG, les canaux existants transportent surtout des volumes. Les chefs de salle rendent compte des appels traités, adultes et pédiatriques. Il existe une procédure structurée pour déclarer les événements indésirables techniques (« quoi, où, comment, qu'est-ce qui l'a déclenché »), mais aucune pour ce qui relève du managérial ou de la charge vécue : « on ne l'a pas pour tout ce qui est d'ordre managérial » (E2). Nul ne demande combien d'appels agressifs ont été reçus, ni ce qu'il advient d'un régulateur qui vient de vivre le suicide d'un appelant en ligne. E2 rapporte que la consigne se résume alors à « prends ta pause plus tôt ». Dans une telle architecture, la direction ne choisit pas délibérément d'ignorer l'humain : l'organisation de l'attention le rend invisible. C'est un point important pour le Conseil, car il fait passer le problème du registre du comportement individuel à celui de la conception des dispositifs, qui relève de la gouvernance.</w:t>
      </w:r>
    </w:p>
    <w:p>
      <w:pPr>
        <w:pStyle w:val="Heading2"/>
      </w:pPr>
      <w:r>
        <w:t>6.2 Juger sur ce qui est disponible</w:t>
      </w:r>
    </w:p>
    <w:p>
      <w:r>
        <w:t>Tversky et Kahneman (1974) ont décrit l'heuristique de disponibilité : nous estimons l'importance ou la fréquence d'un phénomène selon la facilité avec laquelle des exemples nous viennent à l'esprit. Kahneman (2012) décrit un mode de pensée rapide et intuitif qui produit des jugements à partir de ce qui est immédiatement accessible, sans chercher spontanément ce qui manque. Appliqué à la gouvernance, ce mécanisme a une conséquence simple. Un organe qui ne reçoit ni plainte formelle, ni alerte, ni indicateur dégradé conclura assez naturellement que la situation est maîtrisée. Or l'absence de plainte, à la CTMG, n'est pas un signe de satisfaction : elle résulte en partie du silence décrit en section 5.3. Les décideurs risquent ainsi de tirer une conclusion rassurante d'une information dont l'absence est elle-même produite par le problème.</w:t>
      </w:r>
    </w:p>
    <w:p>
      <w:pPr>
        <w:pStyle w:val="Heading2"/>
      </w:pPr>
      <w:r>
        <w:t>6.3 Confirmer son choix : biais de confirmation et escalade d'engagement</w:t>
      </w:r>
    </w:p>
    <w:p>
      <w:r>
        <w:t>L'épisode de l'audit interne est le plus délicat à interpréter, et le plus important. Unisanté a lancé un audit, ce qui témoigne d'une volonté réelle de comprendre. Les conclusions n'ont pas été communiquées aux collaborateurs, et les RH ont ensuite exprimé leur confiance envers la direction du service (E1).</w:t>
      </w:r>
    </w:p>
    <w:p>
      <w:r>
        <w:t>Schwenk (1988) recense parmi les biais les plus fréquents de la décision stratégique la tendance à interpréter les informations nouvelles à la lumière des croyances préalables, en retenant ce qui les confirme. Simonson et Staw (1992) montrent de leur côté comment les décideurs persistent dans une voie engagée lorsqu'ils s'en sentent personnellement responsables, et comment certaines techniques, comme fixer à l'avance des seuils d'alerte ou évaluer les décideurs sur la qualité de leur processus plutôt que sur l'issue, réduisent cette escalade. L'hypothèse que nous formulons est la suivante. La fonction de cheffe de service a été créée et pourvue par l'institution pendant la tutelle, dans un contexte de crise. Remettre en cause la manière dont le service est dirigé reviendrait, pour l'institution, à réexaminer ses propres choix. Le risque est alors de lire les résultats d'un audit dans le sens le plus compatible avec la décision initiale, et de réaffirmer publiquement son engagement plutôt que d'ouvrir la question.</w:t>
      </w:r>
    </w:p>
    <w:p>
      <w:r>
        <w:t>Cette hypothèse doit être tenue à distance, car d'autres explications sont plausibles. L'audit peut n'avoir rien révélé qui justifie un changement. Les RH peuvent être tenues à un devoir de réserve sur son contenu. L'accompagnement managérial dont la direction a bénéficié, que E1 a appris de manière informelle, peut être la réponse que l'institution a jugée proportionnée, et il a d'ailleurs produit des effets visibles sur la communication. Mais c'est précisément parce que plusieurs lectures sont possibles que l'absence de restitution pose problème. Faute d'information, les collaborateurs retiennent la plus défavorable : leur parole « n'avait pas vraiment de poids » (E1).</w:t>
      </w:r>
    </w:p>
    <w:p>
      <w:pPr>
        <w:pStyle w:val="Heading2"/>
      </w:pPr>
      <w:r>
        <w:t>6.4 Attribuer aux personnes ce qui relève du système</w:t>
      </w:r>
    </w:p>
    <w:p>
      <w:r>
        <w:t>L'erreur fondamentale d'attribution désigne la tendance à expliquer les comportements d'autrui par ses dispositions personnelles plutôt que par la situation. McCormick et Martinko (2004) ont montré que les attributions causales que font les leaders sur la performance de leurs collaborateurs orientent directement leurs réactions. Barker et Barr (2002) observent que les dirigeants qui attribuent un déclin à des causes internes sont plus enclins à engager une réorientation que ceux qui l'attribuent à des causes extérieures à leur propre action.</w:t>
      </w:r>
    </w:p>
    <w:p>
      <w:r>
        <w:t>Les entretiens suggèrent des attributions de ce type. Un arrêt maladie de cinq jours est traité comme un manquement individuel à une procédure, et non comme le signe possible d'une charge de travail en période de sous-effectif (E2). Une collaboratrice décrite comme « dans la revendication » finit par partir, et son départ est vécu par ses collègues comme l'aboutissement d'une mise à l'écart, alors que, selon E2, elle disait « des choses qui pouvaient être vraies ». Si chaque départ est lu comme un cas particulier (une personnalité difficile, un projet personnel, une inadaptation au poste), la série des départs ne devient jamais un phénomène organisationnel. Pour reprendre Barker et Barr, l'absence d'attribution interne rend la réorientation improbable. Le même mécanisme peut jouer au niveau du Conseil, dont l'évaluation de la direction dépend des attributions qu'il fait des difficultés qu'on lui rapporte (Haleblian &amp; Rajagopalan, 2006).</w:t>
      </w:r>
    </w:p>
    <w:p>
      <w:pPr>
        <w:pStyle w:val="Heading2"/>
      </w:pPr>
      <w:r>
        <w:t>6.5 Faire front : le risque de pensée de groupe</w:t>
      </w:r>
    </w:p>
    <w:p>
      <w:r>
        <w:t>Janis (1972) a décrit la pensée de groupe comme la tendance d'un groupe soudé, sous pression, à privilégier l'unanimité au détriment de l'examen critique. Parmi ses symptômes figurent l'illusion d'unanimité, l'autocensure des voix divergentes et l'apparition de « gardiens » qui protègent le groupe des informations dérangeantes. Nous ne disposons d'aucune donnée sur le fonctionnement interne de la direction du service, du DUSC ou des RH, et il serait abusif d'affirmer que ce mécanisme y est à l'œuvre. Relevons seulement que les conditions qui le favorisent sont réunies : une coalition dirigeante constituée dans une période de crise, soucieuse de stabilité, et exposée à des critiques venant du terrain. Le message de soutien adressé par les RH, qui présente la ligne dirigeante comme unie, est compatible avec cette lecture sans en constituer une preuve.</w:t>
      </w:r>
    </w:p>
    <w:p>
      <w:pPr>
        <w:pStyle w:val="Heading2"/>
      </w:pPr>
      <w:r>
        <w:t>6.6 Changer la forme sans changer le fond</w:t>
      </w:r>
    </w:p>
    <w:p>
      <w:r>
        <w:t>E1 fait une distinction qui résume bien la situation. Depuis l'accompagnement managérial, la communication est « plus mesuré[e], plus calme, certaines choses sont mieux formulées ». Mais « sur le fond », il ne voit « pas encore de changement majeur dans la gouvernance ». Gioia et Chittipeddi (1991) ont décrit le travail de production de sens (</w:t>
      </w:r>
      <w:r>
        <w:rPr>
          <w:i/>
        </w:rPr>
        <w:t>sensegiving</w:t>
      </w:r>
      <w:r>
        <w:t>) par lequel les dirigeants cherchent à orienter la manière dont les autres interprètent une situation. Weick (1995) rappelle que chacun construit le sens de ce qu'il vit à partir d'indices, et que les collaborateurs interprètent aussi bien les silences que les messages. Ici, l'effort porte sur la formulation, alors que ce qui est interprété par les équipes, ce sont les actes.</w:t>
      </w:r>
    </w:p>
    <w:p>
      <w:r>
        <w:t>Meyer et Rowan (1977) offrent la lecture la plus éclairante de cet épisode. Ils ont montré que les organisations adoptent des structures formelles qui répondent aux attentes de leur environnement institutionnel, et les découplent parfois de leur fonctionnement réel. Ce découplage s'accompagne d'une « logique de confiance » : on affirme sa confiance dans les acteurs et on évite l'inspection approfondie de ce qui se passe réellement. Un audit sans restitution, suivi d'un message de confiance, correspond presque terme à terme à cette description. L'audit remplit sa fonction de légitimité, puisque l'institution a agi, sans produire l'apprentissage qu'on pouvait en attendre.</w:t>
      </w:r>
    </w:p>
    <w:p>
      <w:pPr>
        <w:pStyle w:val="Heading2"/>
      </w:pPr>
      <w:r>
        <w:t>6.7 Une boucle qui s'entretient</w:t>
      </w:r>
    </w:p>
    <w:p>
      <w:r>
        <w:t>Côté terrain, les collaborateurs ont appris à se taire (section 5.3). Ce silence alimente directement les biais décrits plus haut : les décideurs raisonnent sur une information déjà filtrée, jugent la situation maîtrisée et attribuent les difficultés résiduelles à des cas individuels. Les départs se poursuivent, sans que les indicateurs suivis ne les rendent visibles comme un phénomène d'ensemble. La boucle se referme ainsi. Des canaux centrés sur le volume structurent l'attention, l'humain reste invisible, les difficultés sont attribuées aux personnes et l'engagement initial est confirmé, la parole se tait, et les indicateurs continuent de ne rien montrer.</w:t>
      </w:r>
    </w:p>
    <w:p>
      <w:r>
        <w:t>Une précaution s'impose au terme de cette section. Tetlock (2000) a montré que la détection des biais dépend aussi du point de vue de celui qui les observe : ce que l'un qualifie de biais, l'autre peut le considérer comme une prudence légitime. Notre position de chef de salle nous rend plus attentif aux biais des décideurs qu'aux nôtres. C'est une raison supplémentaire pour présenter ces analyses comme des hypothèses que seule une démarche contradictoire, incluant la direction et les RH, permettrait de confirmer.</w:t>
      </w:r>
    </w:p>
    <w:p>
      <w:pPr>
        <w:pStyle w:val="Heading1"/>
      </w:pPr>
      <w:r>
        <w:t>7. Facteurs facilitant ou limitant le positionnement stratégique de la fonction RH</w:t>
      </w:r>
    </w:p>
    <w:p>
      <w:r>
        <w:t>Boxall (1996) distingue deux sources d'avantage liées aux ressources humaines : la qualité du capital humain dont dispose l'organisation, et la qualité des processus par lesquels elle le mobilise. Le module l'a résumé par une formule : le capital humain qualifié « reste stérile s'il n'est pas managé par des pratiques RH structurées, initiées par la gouvernance » (Bédat, 2026). La CTMG illustre bien ce décalage entre les deux sources.</w:t>
      </w:r>
    </w:p>
    <w:p>
      <w:r>
        <w:rPr>
          <w:b/>
        </w:rPr>
        <w:t>Du côté des facteurs facilitants</w:t>
      </w:r>
      <w:r>
        <w:t>, le capital humain est l'atout principal. Les régulateurs sont des infirmiers expérimentés, dotés d'une autonomie clinique réelle et souvent d'un parcours riche, comme le montre l'exemple de la parasitose tropicale (E2). Au sens de Barney et Wright (1998), c'est là une ressource précieuse, rare et difficile à imiter. Les solidarités entre collègues constituent un deuxième appui. C'est grâce à elles que le problème contractuel des praticiennes formatrices a été résolu, et c'est vers elles que les collaborateurs se tournent en priorité. Plusieurs éléments institutionnels vont aussi dans le bon sens. Un audit a été commandé, ce qui montre que l'institution est capable de se saisir d'un signal. La communication de la direction s'est améliorée, et E1 le reconnaît. Un représentant des RH est présent chaque semaine sur le site, ce qui constitue une base sur laquelle bâtir. Enfin, le rattachement à Unisanté, institution universitaire dont l'un des départements est consacré à la santé au travail, donne accès à une expertise que peu de services publics de cette taille peuvent mobiliser.</w:t>
      </w:r>
    </w:p>
    <w:p>
      <w:r>
        <w:rPr>
          <w:b/>
        </w:rPr>
        <w:t>Du côté des facteurs limitants</w:t>
      </w:r>
      <w:r>
        <w:t>, on retrouve les mécanismes analysés précédemment. La fonction RH est éloignée du terrain et désormais perçue comme alignée sur la direction. La gouvernance par les indicateurs de volume ne donne aucune visibilité à la dimension humaine. La chaîne d'agence est longue, et la fonction RH n'est pas représentée au niveau du Conseil. Il n'existe aucun espace d'écoute institutionnalisé : pas de débriefing après les appels difficiles, pas de canal de remontée managériale comparable à celui qui existe pour les incidents techniques. Les circuits contractuels sont lents lorsqu'ils ne sont pas relancés par des voies informelles. Enfin, le mode de pilotage reste marqué par l'empreinte de la période de crise.</w:t>
      </w:r>
    </w:p>
    <w:p>
      <w:r>
        <w:t>Brandl et Pohler (2010) ont montré que le rôle attribué au département RH dépend largement des attentes que la direction générale nourrit à son égard. À la CTMG, rien n'indique que la fonction RH soit attendue comme partenaire stratégique du service : elle intervient comme instance administrative et, dans l'épisode de l'audit, comme soutien de la ligne hiérarchique. Or les travaux menés dans le secteur public suisse montrent que les pratiques RH agissent sur la performance notamment par l'intermédiaire de la motivation intrinsèque des agents (Giauque et al., 2013). Dans un service dont la ressource principale est la motivation de soignants, la faiblesse du positionnement RH n'est donc pas un problème secondaire.</w:t>
      </w:r>
    </w:p>
    <w:p>
      <w:pPr>
        <w:pStyle w:val="Heading1"/>
      </w:pPr>
      <w:r>
        <w:t>8. Risques, enjeux éthiques et points de vigilance</w:t>
      </w:r>
    </w:p>
    <w:p>
      <w:pPr>
        <w:pStyle w:val="Heading2"/>
      </w:pPr>
      <w:r>
        <w:t>8.1 Les risques</w:t>
      </w:r>
    </w:p>
    <w:p>
      <w:r>
        <w:rPr>
          <w:b/>
        </w:rPr>
        <w:t>Un risque de perte de capital humain.</w:t>
      </w:r>
      <w:r>
        <w:t xml:space="preserve"> L'expertise des régulateurs est en grande partie tacite : elle relève de ce que Polanyi (1966) décrivait comme un savoir que l'on possède sans pouvoir entièrement l'énoncer. Elle se transmet par la pratique partagée et le compagnonnage bien plus que par des procédures (Nonaka &amp; Takeuchi, 1995 ; Lamari, 2010). Chaque départ emporte une part de ce savoir, et chaque arrivée impose une formation qui peut durer trois mois (E2), assurée par des praticiens formateurs eux-mêmes régulateurs. Le turnover que nous observons sur le terrain, sans pouvoir le chiffrer, a donc un coût cumulatif : il épuise ceux qui restent et qui forment, et il réduit progressivement le niveau d'expertise moyen de la centrale.</w:t>
      </w:r>
    </w:p>
    <w:p>
      <w:r>
        <w:rPr>
          <w:b/>
        </w:rPr>
        <w:t>Un risque opérationnel et de sécurité des patients.</w:t>
      </w:r>
      <w:r>
        <w:t xml:space="preserve"> La CTMG évalue à distance des situations dont certaines peuvent se révéler graves. Une centrale en sous-effectif récurrent, dont les collaborateurs n'ont pas d'espace pour déposer la charge émotionnelle de leurs appels, voit augmenter le risque d'erreur d'orientation. E2 le formule à sa manière, en évoquant un « sac à dos » que l'on remplit sans jamais pouvoir le vider.</w:t>
      </w:r>
    </w:p>
    <w:p>
      <w:r>
        <w:rPr>
          <w:b/>
        </w:rPr>
        <w:t>Un risque de légitimité et de réputation.</w:t>
      </w:r>
      <w:r>
        <w:t xml:space="preserve"> La CTMG sort d'une crise institutionnelle qui a conduit à la dissolution de l'entité qui la gérait. Elle remplit une mission de santé publique financée par l'impôt, sous le regard de deux cantons. Une nouvelle crise, qu'elle soit liée au personnel ou à la qualité de la prestation, porterait atteinte non seulement à la CTMG mais aussi à Unisanté, qui a accepté de l'accueillir. La question de la résilience organisationnelle, entre agilité et rigidité, se pose ici avec acuité (Giovannini &amp; Giauque, 2023).</w:t>
      </w:r>
    </w:p>
    <w:p>
      <w:pPr>
        <w:pStyle w:val="Heading2"/>
      </w:pPr>
      <w:r>
        <w:t>8.2 Les enjeux éthiques</w:t>
      </w:r>
    </w:p>
    <w:p>
      <w:r>
        <w:t xml:space="preserve">Trois enjeux éthiques ressortent des entretiens. Le premier concerne la </w:t>
      </w:r>
      <w:r>
        <w:rPr>
          <w:b/>
        </w:rPr>
        <w:t>santé psychique au travail</w:t>
      </w:r>
      <w:r>
        <w:t xml:space="preserve">. L'absence de débriefing après des appels traumatiques, dans un métier que E2 compare aux soins intensifs sans les dispositifs de soutien qui y existent, expose les collaborateurs à une usure dont l'employeur porte la responsabilité. Le deuxième concerne la </w:t>
      </w:r>
      <w:r>
        <w:rPr>
          <w:b/>
        </w:rPr>
        <w:t>protection de la parole</w:t>
      </w:r>
      <w:r>
        <w:t xml:space="preserve">. Lorsque des collaborateurs disent craindre des représailles s'ils s'expriment, et qu'ils rapportent des épisodes qui alimentent cette crainte, la question dépasse le climat de travail et touche aux devoirs de l'employeur public. Nous n'avons pas vérifié ces épisodes, mais la perception elle-même est un fait organisationnel. Le troisième concerne la </w:t>
      </w:r>
      <w:r>
        <w:rPr>
          <w:b/>
        </w:rPr>
        <w:t>loyauté envers les personnes qui ont participé à l'audit interne</w:t>
      </w:r>
      <w:r>
        <w:t>. Des collaborateurs ont pris le risque de parler. Ne leur donner aucun retour, même partiel, revient à traiter leur parole comme une simple ressource d'information, sans reconnaître ce qu'elle a coûté.</w:t>
      </w:r>
    </w:p>
    <w:p>
      <w:pPr>
        <w:pStyle w:val="Heading2"/>
      </w:pPr>
      <w:r>
        <w:t>8.3 Les points de vigilance</w:t>
      </w:r>
    </w:p>
    <w:p>
      <w:r>
        <w:t xml:space="preserve">Deux points de vigilance doivent accompagner toute démarche. Le premier est de </w:t>
      </w:r>
      <w:r>
        <w:rPr>
          <w:b/>
        </w:rPr>
        <w:t>ne pas personnaliser le diagnostic</w:t>
      </w:r>
      <w:r>
        <w:t xml:space="preserve">. Le module 002 lisait la situation à travers le leadership de la cheffe de service. Le présent audit montre que les mécanismes en cause (canaux d'information, délégation RH, architecture de gouvernance, biais de confirmation) survivraient à un changement de personne s'ils n'étaient pas traités pour eux-mêmes. Le second est de </w:t>
      </w:r>
      <w:r>
        <w:rPr>
          <w:b/>
        </w:rPr>
        <w:t>garantir la confidentialité</w:t>
      </w:r>
      <w:r>
        <w:t xml:space="preserve"> de toute restitution ou de tout nouveau dispositif d'écoute. Dans une équipe d'une soixantaine de personnes, un verbatim ou un détail suffit à identifier son auteur.</w:t>
      </w:r>
    </w:p>
    <w:p>
      <w:pPr>
        <w:pStyle w:val="Heading1"/>
      </w:pPr>
      <w:r>
        <w:t>9. Diagnostic et recommandations au Conseil d'Unisanté</w:t>
      </w:r>
    </w:p>
    <w:p>
      <w:pPr>
        <w:pStyle w:val="Heading2"/>
      </w:pPr>
      <w:r>
        <w:t>9.1 Diagnostic</w:t>
      </w:r>
    </w:p>
    <w:p>
      <w:r>
        <w:t xml:space="preserve">La CTMG ne souffre pas d'un manque de structures. Elle dispose d'un Conseil, d'une direction générale, d'une direction de service, d'un encadrement, de relais de terrain et d'une fonction RH. Ce qui fait défaut, c'est un dispositif qui permette à la gouvernance de </w:t>
      </w:r>
      <w:r>
        <w:rPr>
          <w:b/>
        </w:rPr>
        <w:t>voir l'humain</w:t>
      </w:r>
      <w:r>
        <w:t>. Pour reprendre la distinction de Charreaux (2005), les leviers disciplinaires, c'est-à-dire les indicateurs, le contrôle de l'activité et les procédures, sont bien présents. Les leviers cognitifs, qui permettraient à l'institution d'apprendre de son terrain, sont presque absents. L'architecture dualiste rend le Conseil dépendant d'une information produite par l'exécutif. La délégation RH confie la remontée des difficultés à une ligne managériale qui les vit comme des critiques. Les chefs de salle, qui recueillent cette information, n'ont aucun moyen de la transmettre. Et les biais des décideurs, qu'il s'agisse de l'attention portée aux volumes, du jugement sur l'information disponible, de la confirmation des choix passés ou de l'attribution aux personnes, entretiennent une lecture rassurante de la situation.</w:t>
      </w:r>
    </w:p>
    <w:p>
      <w:r>
        <w:t>Le Conseil n'a pas vocation à gérer le service. Ses leviers passent par ses compétences propres : les objectifs annuels qu'il adopte, le plan stratégique, les comptes rendus qu'il est en droit d'exiger de la direction générale, et le contrat de prestations qu'il valide. Les recommandations qui suivent sont formulées dans ce cadre.</w:t>
      </w:r>
    </w:p>
    <w:p>
      <w:pPr>
        <w:pStyle w:val="Heading2"/>
      </w:pPr>
      <w:r>
        <w:t>9.2 Recommandations</w:t>
      </w:r>
    </w:p>
    <w:p>
      <w:r>
        <w:rPr>
          <w:b/>
        </w:rPr>
        <w:t>1. Demander une restitution de l'audit interne.</w:t>
      </w:r>
      <w:r>
        <w:t xml:space="preserve"> Le Conseil peut demander à la direction générale qu'une synthèse soit présentée aux collaborateurs : ce qui a été identifié, ce qui sera travaillé et selon quel calendrier. Il ne s'agit pas de publier le rapport, mais de trouver ce « juste milieu » entre « tout dire et ne rien dire » qu'évoque E1. C'est le moyen le plus direct de sortir de la logique de confiance décrite par Meyer et Rowan (1977) et de réactiver le levier cognitif de la gouvernance.</w:t>
      </w:r>
    </w:p>
    <w:p>
      <w:r>
        <w:rPr>
          <w:b/>
        </w:rPr>
        <w:t>2. Faire de la santé organisationnelle un objet de gouvernance.</w:t>
      </w:r>
      <w:r>
        <w:t xml:space="preserve"> Le Conseil peut inscrire dans les objectifs annuels un suivi d'indicateurs humains, présentés au même niveau que les volumes d'activité : taux de rotation, absentéisme, durée moyenne d'ancienneté, motifs de départ recueillis lors d'entretiens de sortie menés par une personne extérieure au service. C'est la réponse au filtre d'attention décrit en section 6.1 : ce qui dispose d'un canal peut enfin être vu (Ocasio, 1997). Cela rejoint aussi la proposition de Hilb (2016) d'intégrer les questions de personnel au travail du conseil.</w:t>
      </w:r>
    </w:p>
    <w:p>
      <w:r>
        <w:rPr>
          <w:b/>
        </w:rPr>
        <w:t>3. Créer un canal de remontée indépendant de la ligne hiérarchique.</w:t>
      </w:r>
      <w:r>
        <w:t xml:space="preserve"> Une personne de confiance extérieure au service, ou une enquête anonyme régulière dont les résultats sont communiqués, offrirait l'« espace neutre » que les collaborateurs attendaient des RH. Ce dispositif corrige directement l'autocensure décrite en sections 5.3 et 6.7, et rend l'information disponible pour les décideurs.</w:t>
      </w:r>
    </w:p>
    <w:p>
      <w:r>
        <w:rPr>
          <w:b/>
        </w:rPr>
        <w:t>4. Outiller les décisions touchant les personnes contre les biais.</w:t>
      </w:r>
      <w:r>
        <w:t xml:space="preserve"> Avant de réaffirmer une confiance ou de clore un dossier sensible, la direction générale et les RH pourraient recourir à des procédures simples. La grille de questions proposée par Kahneman, Lovallo et Sibony (2011) permet de vérifier si une recommandation a été examinée sous l'angle de la confirmation, de la disponibilité ou de l'attachement à des choix passés. L'analyse pré-mortem (Klein, 2007) consiste à imaginer que la décision a échoué et à en chercher les causes. Fixer à l'avance des seuils d'alerte, par exemple un niveau de départs au-delà duquel une revue externe est automatique, réduit le risque d'escalade (Simonson &amp; Staw, 1992).</w:t>
      </w:r>
    </w:p>
    <w:p>
      <w:r>
        <w:rPr>
          <w:b/>
        </w:rPr>
        <w:t>5. Clarifier et outiller la délégation RH.</w:t>
      </w:r>
      <w:r>
        <w:t xml:space="preserve"> Trois mesures sont concernées. D'abord, former les cadres de proximité à la gestion des personnes et à l'accueil de la critique, pour que les demandes des collaborateurs cessent d'être vécues comme des mises en cause. Ensuite, reconnaître formellement le rôle de relais des chefs de salle, en ajoutant à leurs comptes rendus une remontée qualitative sur la charge vécue et les incidents relationnels. Enfin, fixer des délais pour les décisions contractuelles, afin qu'une situation comme celle des praticiennes formatrices ne dépende plus d'une relance informelle.</w:t>
      </w:r>
    </w:p>
    <w:p>
      <w:r>
        <w:rPr>
          <w:b/>
        </w:rPr>
        <w:t>6. Institutionnaliser le débriefing.</w:t>
      </w:r>
      <w:r>
        <w:t xml:space="preserve"> Des temps de débriefing après les appels difficiles, et des séances régulières d'analyse de la pratique, pourraient s'appuyer sur les compétences disponibles au sein d'Unisanté, notamment en santé au travail. Cette mesure répond à l'enjeu éthique de santé psychique et contribue à la rétention de l'expertise.</w:t>
      </w:r>
    </w:p>
    <w:p>
      <w:r>
        <w:rPr>
          <w:b/>
        </w:rPr>
        <w:t>7. Évaluer après douze mois.</w:t>
      </w:r>
      <w:r>
        <w:t xml:space="preserve"> Le Conseil peut demander qu'un bilan de ces mesures soit réalisé par un tiers externe au service, et que ses conclusions soient, cette fois, restituées aux équipes. C'est à cette condition que la démarche pourra rétablir ce que E1 considère comme l'essentiel : que les collaborateurs « voient que leur parole peut réellement avoir un effet sur le fonctionnement du service ».</w:t>
      </w:r>
    </w:p>
    <w:p>
      <w:r>
        <w:t>Le tableau suivant synthétise ces recommandations.</w:t>
      </w:r>
    </w:p>
    <w:tbl>
      <w:tblPr>
        <w:tblStyle w:val="TableGrid"/>
        <w:tblW w:type="auto" w:w="0"/>
        <w:jc w:val="center"/>
        <w:tblLook w:firstColumn="1" w:firstRow="1" w:lastColumn="0" w:lastRow="0" w:noHBand="0" w:noVBand="1" w:val="04A0"/>
      </w:tblPr>
      <w:tblGrid>
        <w:gridCol w:w="3024"/>
        <w:gridCol w:w="3024"/>
        <w:gridCol w:w="3024"/>
      </w:tblGrid>
      <w:tr>
        <w:tc>
          <w:tcPr>
            <w:tcW w:type="dxa" w:w="1928"/>
            <w:shd w:val="clear" w:color="auto" w:fill="DCE3EC"/>
          </w:tcPr>
          <w:p>
            <w:pPr>
              <w:spacing w:line="240" w:lineRule="auto" w:after="40"/>
              <w:jc w:val="left"/>
            </w:pPr>
            <w:r>
              <w:rPr>
                <w:b/>
                <w:sz w:val="20"/>
              </w:rPr>
              <w:t>Recommandation</w:t>
            </w:r>
          </w:p>
        </w:tc>
        <w:tc>
          <w:tcPr>
            <w:tcW w:type="dxa" w:w="2835"/>
            <w:shd w:val="clear" w:color="auto" w:fill="DCE3EC"/>
          </w:tcPr>
          <w:p>
            <w:pPr>
              <w:spacing w:line="240" w:lineRule="auto" w:after="40"/>
              <w:jc w:val="left"/>
            </w:pPr>
            <w:r>
              <w:rPr>
                <w:b/>
                <w:sz w:val="20"/>
              </w:rPr>
              <w:t>Mécanisme visé</w:t>
            </w:r>
          </w:p>
        </w:tc>
        <w:tc>
          <w:tcPr>
            <w:tcW w:type="dxa" w:w="4309"/>
            <w:shd w:val="clear" w:color="auto" w:fill="DCE3EC"/>
          </w:tcPr>
          <w:p>
            <w:pPr>
              <w:spacing w:line="240" w:lineRule="auto" w:after="40"/>
              <w:jc w:val="left"/>
            </w:pPr>
            <w:r>
              <w:rPr>
                <w:b/>
                <w:sz w:val="20"/>
              </w:rPr>
              <w:t>Indicateur de suivi</w:t>
            </w:r>
          </w:p>
        </w:tc>
      </w:tr>
      <w:tr>
        <w:tc>
          <w:tcPr>
            <w:tcW w:type="dxa" w:w="1928"/>
          </w:tcPr>
          <w:p>
            <w:pPr>
              <w:spacing w:line="240" w:lineRule="auto" w:after="40"/>
              <w:jc w:val="left"/>
            </w:pPr>
            <w:r>
              <w:rPr>
                <w:sz w:val="20"/>
              </w:rPr>
              <w:t>1. Restituer l'audit</w:t>
            </w:r>
          </w:p>
        </w:tc>
        <w:tc>
          <w:tcPr>
            <w:tcW w:type="dxa" w:w="2835"/>
          </w:tcPr>
          <w:p>
            <w:pPr>
              <w:spacing w:line="240" w:lineRule="auto" w:after="40"/>
              <w:jc w:val="left"/>
            </w:pPr>
            <w:r>
              <w:rPr>
                <w:sz w:val="20"/>
              </w:rPr>
              <w:t>Découplage, logique de confiance</w:t>
            </w:r>
          </w:p>
        </w:tc>
        <w:tc>
          <w:tcPr>
            <w:tcW w:type="dxa" w:w="4309"/>
          </w:tcPr>
          <w:p>
            <w:pPr>
              <w:spacing w:line="240" w:lineRule="auto" w:after="40"/>
              <w:jc w:val="left"/>
            </w:pPr>
            <w:r>
              <w:rPr>
                <w:sz w:val="20"/>
              </w:rPr>
              <w:t>Restitution effectuée, perception des collaborateurs</w:t>
            </w:r>
          </w:p>
        </w:tc>
      </w:tr>
      <w:tr>
        <w:tc>
          <w:tcPr>
            <w:tcW w:type="dxa" w:w="1928"/>
          </w:tcPr>
          <w:p>
            <w:pPr>
              <w:spacing w:line="240" w:lineRule="auto" w:after="40"/>
              <w:jc w:val="left"/>
            </w:pPr>
            <w:r>
              <w:rPr>
                <w:sz w:val="20"/>
              </w:rPr>
              <w:t>2. Indicateurs humains au Conseil</w:t>
            </w:r>
          </w:p>
        </w:tc>
        <w:tc>
          <w:tcPr>
            <w:tcW w:type="dxa" w:w="2835"/>
          </w:tcPr>
          <w:p>
            <w:pPr>
              <w:spacing w:line="240" w:lineRule="auto" w:after="40"/>
              <w:jc w:val="left"/>
            </w:pPr>
            <w:r>
              <w:rPr>
                <w:sz w:val="20"/>
              </w:rPr>
              <w:t>Filtre d'attention, disponibilité</w:t>
            </w:r>
          </w:p>
        </w:tc>
        <w:tc>
          <w:tcPr>
            <w:tcW w:type="dxa" w:w="4309"/>
          </w:tcPr>
          <w:p>
            <w:pPr>
              <w:spacing w:line="240" w:lineRule="auto" w:after="40"/>
              <w:jc w:val="left"/>
            </w:pPr>
            <w:r>
              <w:rPr>
                <w:sz w:val="20"/>
              </w:rPr>
              <w:t>Tableau de bord présenté au Conseil chaque semestre</w:t>
            </w:r>
          </w:p>
        </w:tc>
      </w:tr>
      <w:tr>
        <w:tc>
          <w:tcPr>
            <w:tcW w:type="dxa" w:w="1928"/>
          </w:tcPr>
          <w:p>
            <w:pPr>
              <w:spacing w:line="240" w:lineRule="auto" w:after="40"/>
              <w:jc w:val="left"/>
            </w:pPr>
            <w:r>
              <w:rPr>
                <w:sz w:val="20"/>
              </w:rPr>
              <w:t>3. Canal neutre</w:t>
            </w:r>
          </w:p>
        </w:tc>
        <w:tc>
          <w:tcPr>
            <w:tcW w:type="dxa" w:w="2835"/>
          </w:tcPr>
          <w:p>
            <w:pPr>
              <w:spacing w:line="240" w:lineRule="auto" w:after="40"/>
              <w:jc w:val="left"/>
            </w:pPr>
            <w:r>
              <w:rPr>
                <w:sz w:val="20"/>
              </w:rPr>
              <w:t>Autocensure, asymétrie d'information</w:t>
            </w:r>
          </w:p>
        </w:tc>
        <w:tc>
          <w:tcPr>
            <w:tcW w:type="dxa" w:w="4309"/>
          </w:tcPr>
          <w:p>
            <w:pPr>
              <w:spacing w:line="240" w:lineRule="auto" w:after="40"/>
              <w:jc w:val="left"/>
            </w:pPr>
            <w:r>
              <w:rPr>
                <w:sz w:val="20"/>
              </w:rPr>
              <w:t>Taux de participation, suites données</w:t>
            </w:r>
          </w:p>
        </w:tc>
      </w:tr>
      <w:tr>
        <w:tc>
          <w:tcPr>
            <w:tcW w:type="dxa" w:w="1928"/>
          </w:tcPr>
          <w:p>
            <w:pPr>
              <w:spacing w:line="240" w:lineRule="auto" w:after="40"/>
              <w:jc w:val="left"/>
            </w:pPr>
            <w:r>
              <w:rPr>
                <w:sz w:val="20"/>
              </w:rPr>
              <w:t>4. Outils de débiaisage</w:t>
            </w:r>
          </w:p>
        </w:tc>
        <w:tc>
          <w:tcPr>
            <w:tcW w:type="dxa" w:w="2835"/>
          </w:tcPr>
          <w:p>
            <w:pPr>
              <w:spacing w:line="240" w:lineRule="auto" w:after="40"/>
              <w:jc w:val="left"/>
            </w:pPr>
            <w:r>
              <w:rPr>
                <w:sz w:val="20"/>
              </w:rPr>
              <w:t>Confirmation, escalade, attribution</w:t>
            </w:r>
          </w:p>
        </w:tc>
        <w:tc>
          <w:tcPr>
            <w:tcW w:type="dxa" w:w="4309"/>
          </w:tcPr>
          <w:p>
            <w:pPr>
              <w:spacing w:line="240" w:lineRule="auto" w:after="40"/>
              <w:jc w:val="left"/>
            </w:pPr>
            <w:r>
              <w:rPr>
                <w:sz w:val="20"/>
              </w:rPr>
              <w:t>Procédure appliquée aux décisions sensibles</w:t>
            </w:r>
          </w:p>
        </w:tc>
      </w:tr>
      <w:tr>
        <w:tc>
          <w:tcPr>
            <w:tcW w:type="dxa" w:w="1928"/>
          </w:tcPr>
          <w:p>
            <w:pPr>
              <w:spacing w:line="240" w:lineRule="auto" w:after="40"/>
              <w:jc w:val="left"/>
            </w:pPr>
            <w:r>
              <w:rPr>
                <w:sz w:val="20"/>
              </w:rPr>
              <w:t>5. Délégation RH outillée</w:t>
            </w:r>
          </w:p>
        </w:tc>
        <w:tc>
          <w:tcPr>
            <w:tcW w:type="dxa" w:w="2835"/>
          </w:tcPr>
          <w:p>
            <w:pPr>
              <w:spacing w:line="240" w:lineRule="auto" w:after="40"/>
              <w:jc w:val="left"/>
            </w:pPr>
            <w:r>
              <w:rPr>
                <w:sz w:val="20"/>
              </w:rPr>
              <w:t>Rôle paradoxal des cadres, relais sans mandat</w:t>
            </w:r>
          </w:p>
        </w:tc>
        <w:tc>
          <w:tcPr>
            <w:tcW w:type="dxa" w:w="4309"/>
          </w:tcPr>
          <w:p>
            <w:pPr>
              <w:spacing w:line="240" w:lineRule="auto" w:after="40"/>
              <w:jc w:val="left"/>
            </w:pPr>
            <w:r>
              <w:rPr>
                <w:sz w:val="20"/>
              </w:rPr>
              <w:t>Formation réalisée, délais contractuels respectés</w:t>
            </w:r>
          </w:p>
        </w:tc>
      </w:tr>
      <w:tr>
        <w:tc>
          <w:tcPr>
            <w:tcW w:type="dxa" w:w="1928"/>
          </w:tcPr>
          <w:p>
            <w:pPr>
              <w:spacing w:line="240" w:lineRule="auto" w:after="40"/>
              <w:jc w:val="left"/>
            </w:pPr>
            <w:r>
              <w:rPr>
                <w:sz w:val="20"/>
              </w:rPr>
              <w:t>6. Débriefing</w:t>
            </w:r>
          </w:p>
        </w:tc>
        <w:tc>
          <w:tcPr>
            <w:tcW w:type="dxa" w:w="2835"/>
          </w:tcPr>
          <w:p>
            <w:pPr>
              <w:spacing w:line="240" w:lineRule="auto" w:after="40"/>
              <w:jc w:val="left"/>
            </w:pPr>
            <w:r>
              <w:rPr>
                <w:sz w:val="20"/>
              </w:rPr>
              <w:t>Santé psychique, rétention</w:t>
            </w:r>
          </w:p>
        </w:tc>
        <w:tc>
          <w:tcPr>
            <w:tcW w:type="dxa" w:w="4309"/>
          </w:tcPr>
          <w:p>
            <w:pPr>
              <w:spacing w:line="240" w:lineRule="auto" w:after="40"/>
              <w:jc w:val="left"/>
            </w:pPr>
            <w:r>
              <w:rPr>
                <w:sz w:val="20"/>
              </w:rPr>
              <w:t>Fréquence des séances, absentéisme</w:t>
            </w:r>
          </w:p>
        </w:tc>
      </w:tr>
      <w:tr>
        <w:tc>
          <w:tcPr>
            <w:tcW w:type="dxa" w:w="1928"/>
          </w:tcPr>
          <w:p>
            <w:pPr>
              <w:spacing w:line="240" w:lineRule="auto" w:after="40"/>
              <w:jc w:val="left"/>
            </w:pPr>
            <w:r>
              <w:rPr>
                <w:sz w:val="20"/>
              </w:rPr>
              <w:t>7. Évaluation externe</w:t>
            </w:r>
          </w:p>
        </w:tc>
        <w:tc>
          <w:tcPr>
            <w:tcW w:type="dxa" w:w="2835"/>
          </w:tcPr>
          <w:p>
            <w:pPr>
              <w:spacing w:line="240" w:lineRule="auto" w:after="40"/>
              <w:jc w:val="left"/>
            </w:pPr>
            <w:r>
              <w:rPr>
                <w:sz w:val="20"/>
              </w:rPr>
              <w:t>Apprentissage organisationnel</w:t>
            </w:r>
          </w:p>
        </w:tc>
        <w:tc>
          <w:tcPr>
            <w:tcW w:type="dxa" w:w="4309"/>
          </w:tcPr>
          <w:p>
            <w:pPr>
              <w:spacing w:line="240" w:lineRule="auto" w:after="40"/>
              <w:jc w:val="left"/>
            </w:pPr>
            <w:r>
              <w:rPr>
                <w:sz w:val="20"/>
              </w:rPr>
              <w:t>Rapport restitué aux équipes</w:t>
            </w:r>
          </w:p>
        </w:tc>
      </w:tr>
    </w:tbl>
    <w:p>
      <w:pPr>
        <w:spacing w:after="0"/>
      </w:pPr>
    </w:p>
    <w:p>
      <w:pPr>
        <w:pStyle w:val="Heading1"/>
      </w:pPr>
      <w:r>
        <w:t>Conclusion</w:t>
      </w:r>
    </w:p>
    <w:p>
      <w:r>
        <w:t>Cet audit est parti d'un constat de terrain : à la CTMG, les structures sont en place, mais la confiance entre les niveaux ne l'est pas. L'analyse a montré que ce déficit ne tient pas seulement aux personnes. Il s'explique par une configuration publique gouvernée à distance par des indicateurs de volume. S'y ajoutent une architecture de type dualiste qui rend le Conseil dépendant de l'information de l'exécutif, une fonction RH déléguée et perçue comme alignée sur la direction, et des biais de décision qui transforment l'absence d'information en signe de maîtrise. Les recommandations proposées visent moins à corriger un comportement qu'à réparer un circuit : faire en sorte que ce que voit le terrain puisse atteindre ceux qui gouvernent, et que ces derniers puissent y répondre de manière visible.</w:t>
      </w:r>
    </w:p>
    <w:p>
      <w:r>
        <w:t>Ce travail comporte des limites, que nous avons voulu rendre explicites. Il repose sur deux entretiens et sur nos propres observations, recueillis depuis une position de chef de salle, sans accès aux données internes des RH ni au point de vue de la direction, des RH ou du Conseil. Plusieurs des interprétations proposées, en particulier celles qui concernent l'escalade d'engagement et la pensée de groupe, restent des hypothèses. Un prolongement naturel consisterait à les soumettre à une démarche contradictoire, en entendant les acteurs qui n'ont pas pu l'être ici. C'est d'ailleurs, en un sens, ce que recommande cet audit.</w:t>
      </w:r>
    </w:p>
    <w:p>
      <w:r>
        <w:br w:type="page"/>
      </w:r>
    </w:p>
    <w:p>
      <w:pPr>
        <w:pStyle w:val="Heading1"/>
      </w:pPr>
      <w:r>
        <w:t>Références citées dans cette partie</w:t>
      </w:r>
    </w:p>
    <w:p>
      <w:pPr>
        <w:pStyle w:val="Heading2"/>
      </w:pPr>
      <w:r>
        <w:t>Références scientifiques</w:t>
      </w:r>
    </w:p>
    <w:p>
      <w:pPr>
        <w:ind w:left="709" w:hanging="709"/>
        <w:jc w:val="left"/>
      </w:pPr>
      <w:r>
        <w:t xml:space="preserve">Barker, V. L., III, &amp; Barr, P. S. (2002). Linking top manager attributions to strategic reorientation in declining firms attempting turnarounds. </w:t>
      </w:r>
      <w:r>
        <w:rPr>
          <w:i/>
        </w:rPr>
        <w:t>Journal of Business Research, 55</w:t>
      </w:r>
      <w:r>
        <w:t>(12), 963–979.</w:t>
      </w:r>
    </w:p>
    <w:p>
      <w:pPr>
        <w:ind w:left="709" w:hanging="709"/>
        <w:jc w:val="left"/>
      </w:pPr>
      <w:r>
        <w:t xml:space="preserve">Barney, J. B., &amp; Wright, P. M. (1998). On becoming a strategic partner: The role of human resources in gaining competitive advantage. </w:t>
      </w:r>
      <w:r>
        <w:rPr>
          <w:i/>
        </w:rPr>
        <w:t>Human Resource Management, 37</w:t>
      </w:r>
      <w:r>
        <w:t>(1), 31–46.</w:t>
      </w:r>
    </w:p>
    <w:p>
      <w:pPr>
        <w:ind w:left="709" w:hanging="709"/>
        <w:jc w:val="left"/>
      </w:pPr>
      <w:r>
        <w:t xml:space="preserve">Boxall, P. (1996). The strategic HRM debate and the resource-based view of the firm. </w:t>
      </w:r>
      <w:r>
        <w:rPr>
          <w:i/>
        </w:rPr>
        <w:t>Human Resource Management Journal, 6</w:t>
      </w:r>
      <w:r>
        <w:t>(3), 59–75.</w:t>
      </w:r>
    </w:p>
    <w:p>
      <w:pPr>
        <w:ind w:left="709" w:hanging="709"/>
        <w:jc w:val="left"/>
      </w:pPr>
      <w:r>
        <w:t xml:space="preserve">Brandl, J., &amp; Pohler, D. (2010). The human resource department's role and conditions that affect its development: Explanations from Austrian CEOs. </w:t>
      </w:r>
      <w:r>
        <w:rPr>
          <w:i/>
        </w:rPr>
        <w:t>Human Resource Management, 49</w:t>
      </w:r>
      <w:r>
        <w:t>(6), 1025–1046.</w:t>
      </w:r>
    </w:p>
    <w:p>
      <w:pPr>
        <w:ind w:left="709" w:hanging="709"/>
        <w:jc w:val="left"/>
      </w:pPr>
      <w:r>
        <w:t xml:space="preserve">Charreaux, G. (2005). Pour une gouvernance d'entreprise « comportementale » : une réflexion exploratoire... </w:t>
      </w:r>
      <w:r>
        <w:rPr>
          <w:i/>
        </w:rPr>
        <w:t>Revue française de gestion, 157</w:t>
      </w:r>
      <w:r>
        <w:t>(4), 215–238.</w:t>
      </w:r>
    </w:p>
    <w:p>
      <w:pPr>
        <w:ind w:left="709" w:hanging="709"/>
        <w:jc w:val="left"/>
      </w:pPr>
      <w:r>
        <w:t xml:space="preserve">Giauque, D., Anderfuhren-Biget, S., &amp; Varone, F. (2013). HRM practices, intrinsic motivators, and organizational performance in the public sector. </w:t>
      </w:r>
      <w:r>
        <w:rPr>
          <w:i/>
        </w:rPr>
        <w:t>Public Personnel Management, 42</w:t>
      </w:r>
      <w:r>
        <w:t>(2), 123–150.</w:t>
      </w:r>
    </w:p>
    <w:p>
      <w:pPr>
        <w:ind w:left="709" w:hanging="709"/>
        <w:jc w:val="left"/>
      </w:pPr>
      <w:r>
        <w:t xml:space="preserve">Gioia, D. A., &amp; Chittipeddi, K. (1991). Sensemaking and sensegiving in strategic change initiation. </w:t>
      </w:r>
      <w:r>
        <w:rPr>
          <w:i/>
        </w:rPr>
        <w:t>Strategic Management Journal, 12</w:t>
      </w:r>
      <w:r>
        <w:t>(6), 433–448.</w:t>
      </w:r>
    </w:p>
    <w:p>
      <w:pPr>
        <w:ind w:left="709" w:hanging="709"/>
        <w:jc w:val="left"/>
      </w:pPr>
      <w:r>
        <w:t xml:space="preserve">Giovannini, C., &amp; Giauque, D. (2023). La résilience organisationnelle, entre agilité et rigidité ? </w:t>
      </w:r>
      <w:r>
        <w:rPr>
          <w:i/>
        </w:rPr>
        <w:t>Swiss Yearbook of Administrative Sciences, 14</w:t>
      </w:r>
      <w:r>
        <w:t>(1), 73–84.</w:t>
      </w:r>
    </w:p>
    <w:p>
      <w:pPr>
        <w:ind w:left="709" w:hanging="709"/>
        <w:jc w:val="left"/>
      </w:pPr>
      <w:r>
        <w:t xml:space="preserve">Haleblian, J., &amp; Rajagopalan, N. (2006). A cognitive model of CEO dismissal: Understanding the influence of board perceptions, attributions and efficacy beliefs. </w:t>
      </w:r>
      <w:r>
        <w:rPr>
          <w:i/>
        </w:rPr>
        <w:t>Journal of Management Studies, 43</w:t>
      </w:r>
      <w:r>
        <w:t>(5), 1009–1026.</w:t>
      </w:r>
    </w:p>
    <w:p>
      <w:pPr>
        <w:ind w:left="709" w:hanging="709"/>
        <w:jc w:val="left"/>
      </w:pPr>
      <w:r>
        <w:t xml:space="preserve">Hilb, M. (2016). </w:t>
      </w:r>
      <w:r>
        <w:rPr>
          <w:i/>
        </w:rPr>
        <w:t>New corporate governance: Successful board management tools</w:t>
      </w:r>
      <w:r>
        <w:t xml:space="preserve"> (5e éd.). Springer.</w:t>
      </w:r>
    </w:p>
    <w:p>
      <w:pPr>
        <w:ind w:left="709" w:hanging="709"/>
        <w:jc w:val="left"/>
      </w:pPr>
      <w:r>
        <w:t xml:space="preserve">Janis, I. L. (1972). </w:t>
      </w:r>
      <w:r>
        <w:rPr>
          <w:i/>
        </w:rPr>
        <w:t>Victims of groupthink: A psychological study of foreign-policy decisions and fiascoes</w:t>
      </w:r>
      <w:r>
        <w:t>. Houghton Mifflin.</w:t>
      </w:r>
    </w:p>
    <w:p>
      <w:pPr>
        <w:ind w:left="709" w:hanging="709"/>
        <w:jc w:val="left"/>
      </w:pPr>
      <w:r>
        <w:t xml:space="preserve">Kahneman, D. (2012). Two systems in the mind. </w:t>
      </w:r>
      <w:r>
        <w:rPr>
          <w:i/>
        </w:rPr>
        <w:t>Bulletin of the American Academy of Arts and Sciences, 65</w:t>
      </w:r>
      <w:r>
        <w:t>(2), 55–59.</w:t>
      </w:r>
    </w:p>
    <w:p>
      <w:pPr>
        <w:ind w:left="709" w:hanging="709"/>
        <w:jc w:val="left"/>
      </w:pPr>
      <w:r>
        <w:t xml:space="preserve">Kahneman, D., Lovallo, D., &amp; Sibony, O. (2011). Before you make that big decision. </w:t>
      </w:r>
      <w:r>
        <w:rPr>
          <w:i/>
        </w:rPr>
        <w:t>Harvard Business Review, 89</w:t>
      </w:r>
      <w:r>
        <w:t>(6), 50–60.</w:t>
      </w:r>
    </w:p>
    <w:p>
      <w:pPr>
        <w:ind w:left="709" w:hanging="709"/>
        <w:jc w:val="left"/>
      </w:pPr>
      <w:r>
        <w:t xml:space="preserve">Klein, G. (2007). Performing a project premortem. </w:t>
      </w:r>
      <w:r>
        <w:rPr>
          <w:i/>
        </w:rPr>
        <w:t>Harvard Business Review, 85</w:t>
      </w:r>
      <w:r>
        <w:t>(9), 18–19.</w:t>
      </w:r>
    </w:p>
    <w:p>
      <w:pPr>
        <w:ind w:left="709" w:hanging="709"/>
        <w:jc w:val="left"/>
      </w:pPr>
      <w:r>
        <w:t xml:space="preserve">Lamari, M. (2010). Le transfert intergénérationnel des connaissances tacites : les concepts utilisés et les évidences empiriques démontrées. </w:t>
      </w:r>
      <w:r>
        <w:rPr>
          <w:i/>
        </w:rPr>
        <w:t>Télescope, 16</w:t>
      </w:r>
      <w:r>
        <w:t>(1), 39–65.</w:t>
      </w:r>
    </w:p>
    <w:p>
      <w:pPr>
        <w:ind w:left="709" w:hanging="709"/>
        <w:jc w:val="left"/>
      </w:pPr>
      <w:r>
        <w:t xml:space="preserve">McCormick, M. J., &amp; Martinko, M. J. (2004). Identifying leader social cognitions: Integrating the causal reasoning perspective into social cognitive theory. </w:t>
      </w:r>
      <w:r>
        <w:rPr>
          <w:i/>
        </w:rPr>
        <w:t>Journal of Leadership &amp; Organizational Studies, 10</w:t>
      </w:r>
      <w:r>
        <w:t>(4), 2–11.</w:t>
      </w:r>
    </w:p>
    <w:p>
      <w:pPr>
        <w:ind w:left="709" w:hanging="709"/>
        <w:jc w:val="left"/>
      </w:pPr>
      <w:r>
        <w:t xml:space="preserve">Meyer, J. W., &amp; Rowan, B. (1977). Institutionalized organizations: Formal structure as myth and ceremony. </w:t>
      </w:r>
      <w:r>
        <w:rPr>
          <w:i/>
        </w:rPr>
        <w:t>American Journal of Sociology, 83</w:t>
      </w:r>
      <w:r>
        <w:t>(2), 340–363.</w:t>
      </w:r>
    </w:p>
    <w:p>
      <w:pPr>
        <w:ind w:left="709" w:hanging="709"/>
        <w:jc w:val="left"/>
      </w:pPr>
      <w:r>
        <w:t xml:space="preserve">Nonaka, I., &amp; Takeuchi, H. (1995). </w:t>
      </w:r>
      <w:r>
        <w:rPr>
          <w:i/>
        </w:rPr>
        <w:t>The knowledge-creating company: How Japanese companies create the dynamics of innovation</w:t>
      </w:r>
      <w:r>
        <w:t>. Oxford University Press.</w:t>
      </w:r>
    </w:p>
    <w:p>
      <w:pPr>
        <w:ind w:left="709" w:hanging="709"/>
        <w:jc w:val="left"/>
      </w:pPr>
      <w:r>
        <w:t xml:space="preserve">Ocasio, W. (1997). Towards an attention-based view of the firm. </w:t>
      </w:r>
      <w:r>
        <w:rPr>
          <w:i/>
        </w:rPr>
        <w:t>Strategic Management Journal, 18</w:t>
      </w:r>
      <w:r>
        <w:t>(S1), 187–206.</w:t>
      </w:r>
    </w:p>
    <w:p>
      <w:pPr>
        <w:ind w:left="709" w:hanging="709"/>
        <w:jc w:val="left"/>
      </w:pPr>
      <w:r>
        <w:t xml:space="preserve">Polanyi, M. (1966). The logic of tacit inference. </w:t>
      </w:r>
      <w:r>
        <w:rPr>
          <w:i/>
        </w:rPr>
        <w:t>Philosophy, 41</w:t>
      </w:r>
      <w:r>
        <w:t>(155), 1–18.</w:t>
      </w:r>
    </w:p>
    <w:p>
      <w:pPr>
        <w:ind w:left="709" w:hanging="709"/>
        <w:jc w:val="left"/>
      </w:pPr>
      <w:r>
        <w:t xml:space="preserve">Schwenk, C. R. (1988). The cognitive perspective on strategic decision making. </w:t>
      </w:r>
      <w:r>
        <w:rPr>
          <w:i/>
        </w:rPr>
        <w:t>Journal of Management Studies, 25</w:t>
      </w:r>
      <w:r>
        <w:t>(1), 41–55.</w:t>
      </w:r>
    </w:p>
    <w:p>
      <w:pPr>
        <w:ind w:left="709" w:hanging="709"/>
        <w:jc w:val="left"/>
      </w:pPr>
      <w:r>
        <w:t xml:space="preserve">Simonson, I., &amp; Staw, B. M. (1992). Deescalation strategies: A comparison of techniques for reducing commitment to losing courses of action. </w:t>
      </w:r>
      <w:r>
        <w:rPr>
          <w:i/>
        </w:rPr>
        <w:t>Journal of Applied Psychology, 77</w:t>
      </w:r>
      <w:r>
        <w:t>(4), 419–426.</w:t>
      </w:r>
    </w:p>
    <w:p>
      <w:pPr>
        <w:ind w:left="709" w:hanging="709"/>
        <w:jc w:val="left"/>
      </w:pPr>
      <w:r>
        <w:t xml:space="preserve">Tetlock, P. E. (2000). Cognitive biases and organizational correctives: Do both disease and cure depend on the politics of the beholder? </w:t>
      </w:r>
      <w:r>
        <w:rPr>
          <w:i/>
        </w:rPr>
        <w:t>Administrative Science Quarterly, 45</w:t>
      </w:r>
      <w:r>
        <w:t>(2), 293–326.</w:t>
      </w:r>
    </w:p>
    <w:p>
      <w:pPr>
        <w:ind w:left="709" w:hanging="709"/>
        <w:jc w:val="left"/>
      </w:pPr>
      <w:r>
        <w:t xml:space="preserve">Tversky, A., &amp; Kahneman, D. (1974). Judgment under uncertainty: Heuristics and biases. </w:t>
      </w:r>
      <w:r>
        <w:rPr>
          <w:i/>
        </w:rPr>
        <w:t>Science, 185</w:t>
      </w:r>
      <w:r>
        <w:t>(4157), 1124–1131.</w:t>
      </w:r>
    </w:p>
    <w:p>
      <w:pPr>
        <w:ind w:left="709" w:hanging="709"/>
        <w:jc w:val="left"/>
      </w:pPr>
      <w:r>
        <w:t xml:space="preserve">Weick, K. E. (1995). </w:t>
      </w:r>
      <w:r>
        <w:rPr>
          <w:i/>
        </w:rPr>
        <w:t>Sensemaking in organizations</w:t>
      </w:r>
      <w:r>
        <w:t>. Sage.</w:t>
      </w:r>
    </w:p>
    <w:p>
      <w:pPr>
        <w:pStyle w:val="Heading2"/>
      </w:pPr>
      <w:r>
        <w:t>Supports de cours et sources institutionnelles</w:t>
      </w:r>
    </w:p>
    <w:p>
      <w:pPr>
        <w:ind w:left="709" w:hanging="709"/>
        <w:jc w:val="left"/>
      </w:pPr>
      <w:r>
        <w:t xml:space="preserve">Bédat, J. (2026). </w:t>
      </w:r>
      <w:r>
        <w:rPr>
          <w:i/>
        </w:rPr>
        <w:t>Orchestration stratégique RH</w:t>
      </w:r>
      <w:r>
        <w:t xml:space="preserve"> [Support de cours, jours 1 à 4]. CAS Stratégie et organisation, MRHC, Université de Lausanne.</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Orchestration stratégique RH – Zargui-Naji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jc w:val="left"/>
      <w:outlineLvl w:val="0"/>
    </w:pPr>
    <w:rPr>
      <w:rFonts w:ascii="Times New Roman" w:hAnsi="Times New Roman" w:eastAsia="Times New Roman"/>
      <w:b/>
      <w:bCs/>
      <w:i w:val="0"/>
      <w:color w:val="1F3A5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eastAsia="Times New Roman"/>
      <w:b/>
      <w:bCs/>
      <w:i w:val="0"/>
      <w:color w:val="1F3A5F"/>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imes New Roman" w:hAnsi="Times New Roman" w:eastAsia="Times New Roman"/>
      <w:b/>
      <w:bCs/>
      <w:i w:val="0"/>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