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val="false"/>
          <w:i w:val="false"/>
          <w:sz w:val="24"/>
        </w:rPr>
        <w:t>CAS Stratégie et organisation – MRHC</w:t>
      </w:r>
    </w:p>
    <w:p>
      <w:pPr>
        <w:pStyle w:val="Normal"/>
        <w:spacing w:before="0" w:after="120"/>
        <w:jc w:val="center"/>
        <w:rPr/>
      </w:pPr>
      <w:r>
        <w:rPr>
          <w:b w:val="false"/>
          <w:i w:val="false"/>
          <w:sz w:val="24"/>
        </w:rPr>
        <w:t>Université de Lausanne</w:t>
      </w:r>
    </w:p>
    <w:p>
      <w:pPr>
        <w:pStyle w:val="Normal"/>
        <w:spacing w:before="1800" w:after="120"/>
        <w:jc w:val="center"/>
        <w:rPr/>
      </w:pPr>
      <w:r>
        <w:rPr>
          <w:b/>
          <w:i w:val="false"/>
          <w:sz w:val="36"/>
        </w:rPr>
        <w:t>ORCHESTRATION STRATÉGIQUE RH</w:t>
      </w:r>
    </w:p>
    <w:p>
      <w:pPr>
        <w:pStyle w:val="Normal"/>
        <w:spacing w:before="240" w:after="120"/>
        <w:jc w:val="center"/>
        <w:rPr/>
      </w:pPr>
      <w:r>
        <w:rPr>
          <w:b w:val="false"/>
          <w:i w:val="false"/>
          <w:sz w:val="30"/>
        </w:rPr>
        <w:t>Audit organisationnel de l'orchestration stratégique RH</w:t>
      </w:r>
    </w:p>
    <w:p>
      <w:pPr>
        <w:pStyle w:val="Normal"/>
        <w:spacing w:before="0" w:after="120"/>
        <w:jc w:val="center"/>
        <w:rPr/>
      </w:pPr>
      <w:r>
        <w:rPr>
          <w:b w:val="false"/>
          <w:i/>
          <w:sz w:val="26"/>
        </w:rPr>
        <w:t>La Centrale téléphonique des médecins de garde (CTMG) – Unisanté</w:t>
      </w:r>
    </w:p>
    <w:p>
      <w:pPr>
        <w:pStyle w:val="Normal"/>
        <w:spacing w:before="1800" w:after="120"/>
        <w:jc w:val="center"/>
        <w:rPr/>
      </w:pPr>
      <w:r>
        <w:rPr>
          <w:b w:val="false"/>
          <w:i w:val="false"/>
          <w:sz w:val="24"/>
        </w:rPr>
        <w:t>Dr Joëlle BÉDAT</w:t>
      </w:r>
    </w:p>
    <w:p>
      <w:pPr>
        <w:pStyle w:val="Normal"/>
        <w:spacing w:before="1200" w:after="120"/>
        <w:jc w:val="center"/>
        <w:rPr/>
      </w:pPr>
      <w:r>
        <w:rPr>
          <w:b/>
          <w:i w:val="false"/>
          <w:sz w:val="26"/>
        </w:rPr>
        <w:t>Azdine ZARGUI-NAJI</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20" w:top="1417" w:footer="720" w:bottom="1417"/>
          <w:pgNumType w:fmt="decimal"/>
          <w:formProt w:val="false"/>
          <w:textDirection w:val="lrTb"/>
          <w:docGrid w:type="default" w:linePitch="360" w:charSpace="0"/>
        </w:sectPr>
        <w:pStyle w:val="Normal"/>
        <w:spacing w:before="120" w:after="120"/>
        <w:jc w:val="center"/>
        <w:rPr/>
      </w:pPr>
      <w:r>
        <w:rPr>
          <w:b w:val="false"/>
          <w:i w:val="false"/>
          <w:sz w:val="24"/>
        </w:rPr>
        <w:t>Septembre 2026</w:t>
      </w:r>
    </w:p>
    <w:p>
      <w:pPr>
        <w:pStyle w:val="Normal"/>
        <w:rPr/>
      </w:pPr>
      <w:r>
        <w:rPr>
          <w:b/>
          <w:color w:val="1F3A5F"/>
          <w:sz w:val="28"/>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\f \o "1-2" \h</w:instrText>
          </w:r>
          <w:r>
            <w:rPr>
              <w:rStyle w:val="IndexLink"/>
            </w:rPr>
            <w:fldChar w:fldCharType="separate"/>
          </w:r>
          <w:hyperlink w:anchor="__RefHeading___Toc1104_2457650332">
            <w:r>
              <w:rPr>
                <w:rStyle w:val="IndexLink"/>
              </w:rPr>
              <w:t>Introduction et démarche</w:t>
              <w:tab/>
              <w:t>3</w:t>
            </w:r>
          </w:hyperlink>
        </w:p>
        <w:p>
          <w:pPr>
            <w:pStyle w:val="TOC1"/>
            <w:tabs>
              <w:tab w:val="clear" w:pos="9072"/>
              <w:tab w:val="right" w:pos="9071" w:leader="dot"/>
            </w:tabs>
            <w:rPr/>
          </w:pPr>
          <w:hyperlink w:anchor="__RefHeading___Toc1106_2457650332">
            <w:r>
              <w:rPr>
                <w:rStyle w:val="IndexLink"/>
              </w:rPr>
              <w:t>1. Présentation de l'organisation</w:t>
              <w:tab/>
              <w:t>4</w:t>
            </w:r>
          </w:hyperlink>
        </w:p>
        <w:p>
          <w:pPr>
            <w:pStyle w:val="TOC2"/>
            <w:tabs>
              <w:tab w:val="clear" w:pos="8789"/>
              <w:tab w:val="right" w:pos="9071" w:leader="dot"/>
            </w:tabs>
            <w:rPr/>
          </w:pPr>
          <w:hyperlink w:anchor="__RefHeading___Toc1108_2457650332">
            <w:r>
              <w:rPr>
                <w:rStyle w:val="IndexLink"/>
              </w:rPr>
              <w:t>1.1 Mission et statut</w:t>
              <w:tab/>
              <w:t>4</w:t>
            </w:r>
          </w:hyperlink>
        </w:p>
        <w:p>
          <w:pPr>
            <w:pStyle w:val="TOC2"/>
            <w:tabs>
              <w:tab w:val="clear" w:pos="8789"/>
              <w:tab w:val="right" w:pos="9071" w:leader="dot"/>
            </w:tabs>
            <w:rPr/>
          </w:pPr>
          <w:hyperlink w:anchor="__RefHeading___Toc1110_2457650332">
            <w:r>
              <w:rPr>
                <w:rStyle w:val="IndexLink"/>
              </w:rPr>
              <w:t>1.2 Une trajectoire institutionnelle récente et agitée</w:t>
              <w:tab/>
              <w:t>4</w:t>
            </w:r>
          </w:hyperlink>
        </w:p>
        <w:p>
          <w:pPr>
            <w:pStyle w:val="TOC2"/>
            <w:tabs>
              <w:tab w:val="clear" w:pos="8789"/>
              <w:tab w:val="right" w:pos="9071" w:leader="dot"/>
            </w:tabs>
            <w:rPr/>
          </w:pPr>
          <w:hyperlink w:anchor="__RefHeading___Toc1112_2457650332">
            <w:r>
              <w:rPr>
                <w:rStyle w:val="IndexLink"/>
              </w:rPr>
              <w:t>1.3 Organisation interne</w:t>
              <w:tab/>
              <w:t>5</w:t>
            </w:r>
          </w:hyperlink>
        </w:p>
        <w:p>
          <w:pPr>
            <w:pStyle w:val="TOC2"/>
            <w:tabs>
              <w:tab w:val="clear" w:pos="8789"/>
              <w:tab w:val="right" w:pos="9071" w:leader="dot"/>
            </w:tabs>
            <w:rPr/>
          </w:pPr>
          <w:hyperlink w:anchor="__RefHeading___Toc1114_2457650332">
            <w:r>
              <w:rPr>
                <w:rStyle w:val="IndexLink"/>
              </w:rPr>
              <w:t>1.4 Enjeux stratégiques</w:t>
              <w:tab/>
              <w:t>5</w:t>
            </w:r>
          </w:hyperlink>
        </w:p>
        <w:p>
          <w:pPr>
            <w:pStyle w:val="TOC1"/>
            <w:tabs>
              <w:tab w:val="clear" w:pos="9072"/>
              <w:tab w:val="right" w:pos="9071" w:leader="dot"/>
            </w:tabs>
            <w:rPr/>
          </w:pPr>
          <w:hyperlink w:anchor="__RefHeading___Toc1116_2457650332">
            <w:r>
              <w:rPr>
                <w:rStyle w:val="IndexLink"/>
              </w:rPr>
              <w:t>2. Configuration organisationnelle et facteurs environnementaux</w:t>
              <w:tab/>
              <w:t>5</w:t>
            </w:r>
          </w:hyperlink>
        </w:p>
        <w:p>
          <w:pPr>
            <w:pStyle w:val="TOC2"/>
            <w:tabs>
              <w:tab w:val="clear" w:pos="8789"/>
              <w:tab w:val="right" w:pos="9071" w:leader="dot"/>
            </w:tabs>
            <w:rPr/>
          </w:pPr>
          <w:hyperlink w:anchor="__RefHeading___Toc1118_2457650332">
            <w:r>
              <w:rPr>
                <w:rStyle w:val="IndexLink"/>
              </w:rPr>
              <w:t>2.1 Une configuration d'administration publique hybride</w:t>
              <w:tab/>
              <w:t>5</w:t>
            </w:r>
          </w:hyperlink>
        </w:p>
        <w:p>
          <w:pPr>
            <w:pStyle w:val="TOC2"/>
            <w:tabs>
              <w:tab w:val="clear" w:pos="8789"/>
              <w:tab w:val="right" w:pos="9071" w:leader="dot"/>
            </w:tabs>
            <w:rPr/>
          </w:pPr>
          <w:hyperlink w:anchor="__RefHeading___Toc1120_2457650332">
            <w:r>
              <w:rPr>
                <w:rStyle w:val="IndexLink"/>
              </w:rPr>
              <w:t>2.2 L'empreinte de la gestion de crise</w:t>
              <w:tab/>
              <w:t>6</w:t>
            </w:r>
          </w:hyperlink>
        </w:p>
        <w:p>
          <w:pPr>
            <w:pStyle w:val="TOC1"/>
            <w:tabs>
              <w:tab w:val="clear" w:pos="9072"/>
              <w:tab w:val="right" w:pos="9071" w:leader="dot"/>
            </w:tabs>
            <w:rPr/>
          </w:pPr>
          <w:hyperlink w:anchor="__RefHeading___Toc1122_2457650332">
            <w:r>
              <w:rPr>
                <w:rStyle w:val="IndexLink"/>
              </w:rPr>
              <w:t>3. Structure de gouvernance : une architecture de type dualiste</w:t>
              <w:tab/>
              <w:t>7</w:t>
            </w:r>
          </w:hyperlink>
        </w:p>
        <w:p>
          <w:pPr>
            <w:pStyle w:val="TOC2"/>
            <w:tabs>
              <w:tab w:val="clear" w:pos="8789"/>
              <w:tab w:val="right" w:pos="9071" w:leader="dot"/>
            </w:tabs>
            <w:rPr/>
          </w:pPr>
          <w:hyperlink w:anchor="__RefHeading___Toc1124_2457650332">
            <w:r>
              <w:rPr>
                <w:rStyle w:val="IndexLink"/>
              </w:rPr>
              <w:t>3.1 Les organes et leurs compétences</w:t>
              <w:tab/>
              <w:t>7</w:t>
            </w:r>
          </w:hyperlink>
        </w:p>
        <w:p>
          <w:pPr>
            <w:pStyle w:val="TOC2"/>
            <w:tabs>
              <w:tab w:val="clear" w:pos="8789"/>
              <w:tab w:val="right" w:pos="9071" w:leader="dot"/>
            </w:tabs>
            <w:rPr/>
          </w:pPr>
          <w:hyperlink w:anchor="__RefHeading___Toc1126_2457650332">
            <w:r>
              <w:rPr>
                <w:rStyle w:val="IndexLink"/>
              </w:rPr>
              <w:t>3.2 Une logique proche du modèle dualiste</w:t>
              <w:tab/>
              <w:t>7</w:t>
            </w:r>
          </w:hyperlink>
        </w:p>
        <w:p>
          <w:pPr>
            <w:pStyle w:val="TOC2"/>
            <w:tabs>
              <w:tab w:val="clear" w:pos="8789"/>
              <w:tab w:val="right" w:pos="9071" w:leader="dot"/>
            </w:tabs>
            <w:rPr/>
          </w:pPr>
          <w:hyperlink w:anchor="__RefHeading___Toc1128_2457650332">
            <w:r>
              <w:rPr>
                <w:rStyle w:val="IndexLink"/>
              </w:rPr>
              <w:t>3.3 Ce que cette architecture fait à l'orchestration RH</w:t>
              <w:tab/>
              <w:t>7</w:t>
            </w:r>
          </w:hyperlink>
        </w:p>
        <w:p>
          <w:pPr>
            <w:pStyle w:val="TOC1"/>
            <w:tabs>
              <w:tab w:val="clear" w:pos="9072"/>
              <w:tab w:val="right" w:pos="9071" w:leader="dot"/>
            </w:tabs>
            <w:rPr/>
          </w:pPr>
          <w:hyperlink w:anchor="__RefHeading___Toc1130_2457650332">
            <w:r>
              <w:rPr>
                <w:rStyle w:val="IndexLink"/>
              </w:rPr>
              <w:t>4. Acteurs clés, délégation et jeux de pouvoir</w:t>
              <w:tab/>
              <w:t>8</w:t>
            </w:r>
          </w:hyperlink>
        </w:p>
        <w:p>
          <w:pPr>
            <w:pStyle w:val="TOC2"/>
            <w:tabs>
              <w:tab w:val="clear" w:pos="8789"/>
              <w:tab w:val="right" w:pos="9071" w:leader="dot"/>
            </w:tabs>
            <w:rPr/>
          </w:pPr>
          <w:hyperlink w:anchor="__RefHeading___Toc1132_2457650332">
            <w:r>
              <w:rPr>
                <w:rStyle w:val="IndexLink"/>
              </w:rPr>
              <w:t>4.1 La chaîne des délégations</w:t>
              <w:tab/>
              <w:t>8</w:t>
            </w:r>
          </w:hyperlink>
        </w:p>
        <w:p>
          <w:pPr>
            <w:pStyle w:val="TOC2"/>
            <w:tabs>
              <w:tab w:val="clear" w:pos="8789"/>
              <w:tab w:val="right" w:pos="9071" w:leader="dot"/>
            </w:tabs>
            <w:rPr/>
          </w:pPr>
          <w:hyperlink w:anchor="__RefHeading___Toc1134_2457650332">
            <w:r>
              <w:rPr>
                <w:rStyle w:val="IndexLink"/>
              </w:rPr>
              <w:t>4.2 Une fonction RH déléguée et à distance</w:t>
              <w:tab/>
              <w:t>9</w:t>
            </w:r>
          </w:hyperlink>
        </w:p>
        <w:p>
          <w:pPr>
            <w:pStyle w:val="TOC2"/>
            <w:tabs>
              <w:tab w:val="clear" w:pos="8789"/>
              <w:tab w:val="right" w:pos="9071" w:leader="dot"/>
            </w:tabs>
            <w:rPr/>
          </w:pPr>
          <w:hyperlink w:anchor="__RefHeading___Toc1136_2457650332">
            <w:r>
              <w:rPr>
                <w:rStyle w:val="IndexLink"/>
              </w:rPr>
              <w:t>4.3 Pouvoir, crédibilité et silence</w:t>
              <w:tab/>
              <w:t>10</w:t>
            </w:r>
          </w:hyperlink>
        </w:p>
        <w:p>
          <w:pPr>
            <w:pStyle w:val="TOC1"/>
            <w:tabs>
              <w:tab w:val="clear" w:pos="9072"/>
              <w:tab w:val="right" w:pos="9071" w:leader="dot"/>
            </w:tabs>
            <w:rPr/>
          </w:pPr>
          <w:hyperlink w:anchor="__RefHeading___Toc1138_2457650332">
            <w:r>
              <w:rPr>
                <w:rStyle w:val="IndexLink"/>
              </w:rPr>
              <w:t>5. Biais cognitifs et filtres de décision</w:t>
              <w:tab/>
              <w:t>11</w:t>
            </w:r>
          </w:hyperlink>
        </w:p>
        <w:p>
          <w:pPr>
            <w:pStyle w:val="TOC2"/>
            <w:tabs>
              <w:tab w:val="clear" w:pos="8789"/>
              <w:tab w:val="right" w:pos="9071" w:leader="dot"/>
            </w:tabs>
            <w:rPr/>
          </w:pPr>
          <w:hyperlink w:anchor="__RefHeading___Toc1140_2457650332">
            <w:r>
              <w:rPr>
                <w:rStyle w:val="IndexLink"/>
              </w:rPr>
              <w:t>5.1 Filtre d'attention : ce que l'organisation rend visible</w:t>
              <w:tab/>
              <w:t>11</w:t>
            </w:r>
          </w:hyperlink>
        </w:p>
        <w:p>
          <w:pPr>
            <w:pStyle w:val="TOC2"/>
            <w:tabs>
              <w:tab w:val="clear" w:pos="8789"/>
              <w:tab w:val="right" w:pos="9071" w:leader="dot"/>
            </w:tabs>
            <w:rPr/>
          </w:pPr>
          <w:hyperlink w:anchor="__RefHeading___Toc1142_2457650332">
            <w:r>
              <w:rPr>
                <w:rStyle w:val="IndexLink"/>
              </w:rPr>
              <w:t>5.2 Heuristique de disponibilité : juger sur ce qui remonte</w:t>
              <w:tab/>
              <w:t>11</w:t>
            </w:r>
          </w:hyperlink>
        </w:p>
        <w:p>
          <w:pPr>
            <w:pStyle w:val="TOC2"/>
            <w:tabs>
              <w:tab w:val="clear" w:pos="8789"/>
              <w:tab w:val="right" w:pos="9071" w:leader="dot"/>
            </w:tabs>
            <w:rPr/>
          </w:pPr>
          <w:hyperlink w:anchor="__RefHeading___Toc1144_2457650332">
            <w:r>
              <w:rPr>
                <w:rStyle w:val="IndexLink"/>
              </w:rPr>
              <w:t>5.3 Biais de confirmation et escalade d'engagement</w:t>
              <w:tab/>
              <w:t>12</w:t>
            </w:r>
          </w:hyperlink>
        </w:p>
        <w:p>
          <w:pPr>
            <w:pStyle w:val="TOC2"/>
            <w:tabs>
              <w:tab w:val="clear" w:pos="8789"/>
              <w:tab w:val="right" w:pos="9071" w:leader="dot"/>
            </w:tabs>
            <w:rPr/>
          </w:pPr>
          <w:hyperlink w:anchor="__RefHeading___Toc1146_2457650332">
            <w:r>
              <w:rPr>
                <w:rStyle w:val="IndexLink"/>
              </w:rPr>
              <w:t>5.4 Erreur d'attribution : imputer aux personnes ce qui relève du système</w:t>
              <w:tab/>
              <w:t>12</w:t>
            </w:r>
          </w:hyperlink>
        </w:p>
        <w:p>
          <w:pPr>
            <w:pStyle w:val="TOC2"/>
            <w:tabs>
              <w:tab w:val="clear" w:pos="8789"/>
              <w:tab w:val="right" w:pos="9071" w:leader="dot"/>
            </w:tabs>
            <w:rPr/>
          </w:pPr>
          <w:hyperlink w:anchor="__RefHeading___Toc1148_2457650332">
            <w:r>
              <w:rPr>
                <w:rStyle w:val="IndexLink"/>
              </w:rPr>
              <w:t>5.5 Le risque de pensée de groupe</w:t>
              <w:tab/>
              <w:t>13</w:t>
            </w:r>
          </w:hyperlink>
        </w:p>
        <w:p>
          <w:pPr>
            <w:pStyle w:val="TOC2"/>
            <w:tabs>
              <w:tab w:val="clear" w:pos="8789"/>
              <w:tab w:val="right" w:pos="9071" w:leader="dot"/>
            </w:tabs>
            <w:rPr/>
          </w:pPr>
          <w:hyperlink w:anchor="__RefHeading___Toc1150_2457650332">
            <w:r>
              <w:rPr>
                <w:rStyle w:val="IndexLink"/>
              </w:rPr>
              <w:t>5.6 Découplage : changer la forme sans changer le fond</w:t>
              <w:tab/>
              <w:t>13</w:t>
            </w:r>
          </w:hyperlink>
        </w:p>
        <w:p>
          <w:pPr>
            <w:pStyle w:val="TOC2"/>
            <w:tabs>
              <w:tab w:val="clear" w:pos="8789"/>
              <w:tab w:val="right" w:pos="9071" w:leader="dot"/>
            </w:tabs>
            <w:rPr/>
          </w:pPr>
          <w:hyperlink w:anchor="__RefHeading___Toc1152_2457650332">
            <w:r>
              <w:rPr>
                <w:rStyle w:val="IndexLink"/>
              </w:rPr>
              <w:t>5.7 Synthèse : une boucle qui s'auto-entretient</w:t>
              <w:tab/>
              <w:t>13</w:t>
            </w:r>
          </w:hyperlink>
        </w:p>
        <w:p>
          <w:pPr>
            <w:pStyle w:val="TOC1"/>
            <w:tabs>
              <w:tab w:val="clear" w:pos="9072"/>
              <w:tab w:val="right" w:pos="9071" w:leader="dot"/>
            </w:tabs>
            <w:rPr/>
          </w:pPr>
          <w:hyperlink w:anchor="__RefHeading___Toc1154_2457650332">
            <w:r>
              <w:rPr>
                <w:rStyle w:val="IndexLink"/>
              </w:rPr>
              <w:t>6. Facteurs facilitant ou limitant le positionnement stratégique de la fonction RH</w:t>
              <w:tab/>
              <w:t>14</w:t>
            </w:r>
          </w:hyperlink>
        </w:p>
        <w:p>
          <w:pPr>
            <w:pStyle w:val="TOC1"/>
            <w:tabs>
              <w:tab w:val="clear" w:pos="9072"/>
              <w:tab w:val="right" w:pos="9071" w:leader="dot"/>
            </w:tabs>
            <w:rPr/>
          </w:pPr>
          <w:hyperlink w:anchor="__RefHeading___Toc1156_2457650332">
            <w:r>
              <w:rPr>
                <w:rStyle w:val="IndexLink"/>
              </w:rPr>
              <w:t>7. Risques, enjeux éthiques et points de vigilance</w:t>
              <w:tab/>
              <w:t>14</w:t>
            </w:r>
          </w:hyperlink>
        </w:p>
        <w:p>
          <w:pPr>
            <w:pStyle w:val="TOC2"/>
            <w:tabs>
              <w:tab w:val="clear" w:pos="8789"/>
              <w:tab w:val="right" w:pos="9071" w:leader="dot"/>
            </w:tabs>
            <w:rPr/>
          </w:pPr>
          <w:hyperlink w:anchor="__RefHeading___Toc1158_2457650332">
            <w:r>
              <w:rPr>
                <w:rStyle w:val="IndexLink"/>
              </w:rPr>
              <w:t>7.1 Les risques</w:t>
              <w:tab/>
              <w:t>14</w:t>
            </w:r>
          </w:hyperlink>
        </w:p>
        <w:p>
          <w:pPr>
            <w:pStyle w:val="TOC2"/>
            <w:tabs>
              <w:tab w:val="clear" w:pos="8789"/>
              <w:tab w:val="right" w:pos="9071" w:leader="dot"/>
            </w:tabs>
            <w:rPr/>
          </w:pPr>
          <w:hyperlink w:anchor="__RefHeading___Toc1160_2457650332">
            <w:r>
              <w:rPr>
                <w:rStyle w:val="IndexLink"/>
              </w:rPr>
              <w:t>7.2 Les enjeux éthiques</w:t>
              <w:tab/>
              <w:t>15</w:t>
            </w:r>
          </w:hyperlink>
        </w:p>
        <w:p>
          <w:pPr>
            <w:pStyle w:val="TOC2"/>
            <w:tabs>
              <w:tab w:val="clear" w:pos="8789"/>
              <w:tab w:val="right" w:pos="9071" w:leader="dot"/>
            </w:tabs>
            <w:rPr/>
          </w:pPr>
          <w:hyperlink w:anchor="__RefHeading___Toc1162_2457650332">
            <w:r>
              <w:rPr>
                <w:rStyle w:val="IndexLink"/>
              </w:rPr>
              <w:t>7.3 Les points de vigilance</w:t>
              <w:tab/>
              <w:t>15</w:t>
            </w:r>
          </w:hyperlink>
        </w:p>
        <w:p>
          <w:pPr>
            <w:pStyle w:val="TOC1"/>
            <w:tabs>
              <w:tab w:val="clear" w:pos="9072"/>
              <w:tab w:val="right" w:pos="9071" w:leader="dot"/>
            </w:tabs>
            <w:rPr/>
          </w:pPr>
          <w:hyperlink w:anchor="__RefHeading___Toc1164_2457650332">
            <w:r>
              <w:rPr>
                <w:rStyle w:val="IndexLink"/>
              </w:rPr>
              <w:t>8. Diagnostic et recommandations au Conseil d'Unisanté</w:t>
              <w:tab/>
              <w:t>15</w:t>
            </w:r>
          </w:hyperlink>
        </w:p>
        <w:p>
          <w:pPr>
            <w:pStyle w:val="TOC2"/>
            <w:tabs>
              <w:tab w:val="clear" w:pos="8789"/>
              <w:tab w:val="right" w:pos="9071" w:leader="dot"/>
            </w:tabs>
            <w:rPr/>
          </w:pPr>
          <w:hyperlink w:anchor="__RefHeading___Toc1166_2457650332">
            <w:r>
              <w:rPr>
                <w:rStyle w:val="IndexLink"/>
              </w:rPr>
              <w:t>8.1 Diagnostic</w:t>
              <w:tab/>
              <w:t>15</w:t>
            </w:r>
          </w:hyperlink>
        </w:p>
        <w:p>
          <w:pPr>
            <w:pStyle w:val="TOC2"/>
            <w:tabs>
              <w:tab w:val="clear" w:pos="8789"/>
              <w:tab w:val="right" w:pos="9071" w:leader="dot"/>
            </w:tabs>
            <w:rPr/>
          </w:pPr>
          <w:hyperlink w:anchor="__RefHeading___Toc1168_2457650332">
            <w:r>
              <w:rPr>
                <w:rStyle w:val="IndexLink"/>
              </w:rPr>
              <w:t>8.2 Recommandations</w:t>
              <w:tab/>
              <w:t>15</w:t>
            </w:r>
          </w:hyperlink>
        </w:p>
        <w:p>
          <w:pPr>
            <w:pStyle w:val="TOC1"/>
            <w:tabs>
              <w:tab w:val="clear" w:pos="9072"/>
              <w:tab w:val="right" w:pos="9071" w:leader="dot"/>
            </w:tabs>
            <w:rPr/>
          </w:pPr>
          <w:hyperlink w:anchor="__RefHeading___Toc1170_2457650332">
            <w:r>
              <w:rPr>
                <w:rStyle w:val="IndexLink"/>
              </w:rPr>
              <w:t>Conclusion</w:t>
              <w:tab/>
              <w:t>16</w:t>
            </w:r>
          </w:hyperlink>
        </w:p>
        <w:p>
          <w:pPr>
            <w:pStyle w:val="TOC1"/>
            <w:tabs>
              <w:tab w:val="clear" w:pos="9072"/>
              <w:tab w:val="right" w:pos="9071" w:leader="dot"/>
            </w:tabs>
            <w:rPr/>
          </w:pPr>
          <w:hyperlink w:anchor="__RefHeading___Toc1172_2457650332">
            <w:r>
              <w:rPr>
                <w:rStyle w:val="IndexLink"/>
              </w:rPr>
              <w:t>Bibliographie</w:t>
              <w:tab/>
              <w:t>17</w:t>
            </w:r>
          </w:hyperlink>
        </w:p>
        <w:p>
          <w:pPr>
            <w:pStyle w:val="TOC1"/>
            <w:tabs>
              <w:tab w:val="clear" w:pos="9072"/>
              <w:tab w:val="right" w:pos="9071" w:leader="dot"/>
            </w:tabs>
            <w:rPr/>
          </w:pPr>
          <w:hyperlink w:anchor="__RefHeading___Toc1174_2457650332">
            <w:r>
              <w:rPr>
                <w:rStyle w:val="IndexLink"/>
              </w:rPr>
              <w:t>Annexes</w:t>
              <w:tab/>
              <w:t>21</w:t>
            </w:r>
          </w:hyperlink>
        </w:p>
        <w:p>
          <w:pPr>
            <w:pStyle w:val="TOC2"/>
            <w:tabs>
              <w:tab w:val="clear" w:pos="8789"/>
              <w:tab w:val="right" w:pos="9071" w:leader="dot"/>
            </w:tabs>
            <w:rPr/>
          </w:pPr>
          <w:hyperlink w:anchor="__RefHeading___Toc1176_2457650332">
            <w:r>
              <w:rPr>
                <w:rStyle w:val="IndexLink"/>
              </w:rPr>
              <w:t>Annexe A – Organigrammes</w:t>
              <w:tab/>
              <w:t>21</w:t>
            </w:r>
          </w:hyperlink>
        </w:p>
        <w:p>
          <w:pPr>
            <w:pStyle w:val="TOC2"/>
            <w:tabs>
              <w:tab w:val="clear" w:pos="8789"/>
              <w:tab w:val="right" w:pos="9071" w:leader="dot"/>
            </w:tabs>
            <w:rPr/>
          </w:pPr>
          <w:hyperlink w:anchor="__RefHeading___Toc1178_2457650332">
            <w:r>
              <w:rPr>
                <w:rStyle w:val="IndexLink"/>
              </w:rPr>
              <w:t>Annexe B – Schéma de l'orchestration stratégique RH, de la CTMG à Unisanté</w:t>
              <w:tab/>
              <w:t>22</w:t>
            </w:r>
          </w:hyperlink>
        </w:p>
        <w:p>
          <w:pPr>
            <w:pStyle w:val="TOC2"/>
            <w:tabs>
              <w:tab w:val="clear" w:pos="8789"/>
              <w:tab w:val="right" w:pos="9071" w:leader="dot"/>
            </w:tabs>
            <w:rPr/>
          </w:pPr>
          <w:hyperlink w:anchor="__RefHeading___Toc1180_2457650332">
            <w:r>
              <w:rPr>
                <w:rStyle w:val="IndexLink"/>
              </w:rPr>
              <w:t>Annexe C – Entretiens</w:t>
              <w:tab/>
              <w:t>23</w:t>
            </w:r>
          </w:hyperlink>
        </w:p>
        <w:p>
          <w:pPr>
            <w:pStyle w:val="TOC2"/>
            <w:tabs>
              <w:tab w:val="clear" w:pos="8789"/>
              <w:tab w:val="right" w:pos="9071" w:leader="dot"/>
            </w:tabs>
            <w:rPr/>
          </w:pPr>
          <w:hyperlink w:anchor="__RefHeading___Toc1182_2457650332">
            <w:r>
              <w:rPr>
                <w:rStyle w:val="IndexLink"/>
              </w:rPr>
              <w:t>Annexe D – Déclaration d'utilisation de l'intelligence artificielle</w:t>
              <w:tab/>
              <w:t>26</w:t>
            </w:r>
          </w:hyperlink>
        </w:p>
        <w:p>
          <w:pPr>
            <w:pStyle w:val="TOC2"/>
            <w:tabs>
              <w:tab w:val="clear" w:pos="8789"/>
              <w:tab w:val="right" w:pos="9071" w:leader="dot"/>
            </w:tabs>
            <w:rPr/>
          </w:pPr>
          <w:hyperlink w:anchor="__RefHeading___Toc1184_2457650332">
            <w:r>
              <w:rPr>
                <w:rStyle w:val="IndexLink"/>
              </w:rPr>
              <w:t>Annexe E – Synthèse des recommandations au Conseil d'Unisanté</w:t>
              <w:tab/>
              <w:t>27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sz w:val="24"/>
        </w:rPr>
      </w:pPr>
      <w:r>
        <w:rPr>
          <w:rFonts w:eastAsia="Times New Roman"/>
          <w:sz w:val="24"/>
        </w:rPr>
      </w:r>
    </w:p>
    <w:p>
      <w:pPr>
        <w:pStyle w:val="Normal"/>
        <w:rPr/>
      </w:pPr>
      <w:r>
        <w:rPr/>
      </w:r>
      <w:r>
        <w:br w:type="page"/>
      </w:r>
    </w:p>
    <w:p>
      <w:pPr>
        <w:pStyle w:val="Heading1"/>
        <w:spacing w:before="0" w:after="80"/>
        <w:rPr/>
      </w:pPr>
      <w:bookmarkStart w:id="0" w:name="__RefHeading___Toc1104_2457650332"/>
      <w:bookmarkEnd w:id="0"/>
      <w:r>
        <w:rPr/>
        <w:t>Introduction et démarche</w:t>
      </w:r>
    </w:p>
    <w:p>
      <w:pPr>
        <w:pStyle w:val="Normal"/>
        <w:rPr/>
      </w:pPr>
      <w: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pPr>
        <w:pStyle w:val="Normal"/>
        <w:rPr/>
      </w:pPr>
      <w:r>
        <w:rPr/>
        <w:t xml:space="preserve">C'est de ce décalage que part le présent audit. Organes, procédures et acteurs RH sont en place ;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pPr>
        <w:pStyle w:val="Normal"/>
        <w:rPr/>
      </w:pPr>
      <w:r>
        <w:rPr>
          <w:b/>
        </w:rPr>
        <w:t>Cadre d'analyse.</w:t>
      </w:r>
      <w:r>
        <w:rPr/>
        <w:t xml:space="preserve"> Nous suivons la grille d'audit proposée dans le module (Bédat, 2026)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expertise qui s'en va avec les personnes qui partent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pPr>
        <w:pStyle w:val="Normal"/>
        <w:rPr/>
      </w:pPr>
      <w:r>
        <w:rPr>
          <w:b/>
        </w:rPr>
        <w:t>Position de l'auteur et zones d'ombre.</w:t>
      </w:r>
      <w: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pPr>
        <w:pStyle w:val="Normal"/>
        <w:rPr/>
      </w:pPr>
      <w: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faits. Ce choix découle d'une contrainte, mais il a un intérêt propre : l'information de terrain est précisément celle dont nous faisons l'hypothèse qu'elle ne parvient pas aux organes de gouvernance. Qu'un chef de salle ne puisse pas savoir ce que l'audit interne a conclu est déjà, en soi, une observation sur l'asymétrie d'information.</w:t>
      </w:r>
    </w:p>
    <w:p>
      <w:pPr>
        <w:pStyle w:val="Normal"/>
        <w:rPr/>
      </w:pPr>
      <w: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rPr/>
      </w:pPr>
      <w:bookmarkStart w:id="1" w:name="__RefHeading___Toc1106_2457650332"/>
      <w:bookmarkEnd w:id="1"/>
      <w:r>
        <w:rPr/>
        <w:t>1. Présentation de l'organisation</w:t>
      </w:r>
    </w:p>
    <w:p>
      <w:pPr>
        <w:pStyle w:val="Heading2"/>
        <w:rPr/>
      </w:pPr>
      <w:bookmarkStart w:id="2" w:name="__RefHeading___Toc1108_2457650332"/>
      <w:bookmarkEnd w:id="2"/>
      <w:r>
        <w:rPr/>
        <w:t>1.1 Mission et statut</w:t>
      </w:r>
    </w:p>
    <w:p>
      <w:pPr>
        <w:pStyle w:val="Normal"/>
        <w:rPr/>
      </w:pPr>
      <w: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et de détresse psychologique hors urgence vitale et les oriente vers la ressource adaptée (médecin de garde, urgences, centrale 144, médecin traitant, conseil), en lien avec de nombreux partenaires sanitaires et sociaux.</w:t>
      </w:r>
    </w:p>
    <w:p>
      <w:pPr>
        <w:pStyle w:val="Normal"/>
        <w:rPr/>
      </w:pPr>
      <w:r>
        <w:rP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 (section 2).</w:t>
      </w:r>
    </w:p>
    <w:p>
      <w:pPr>
        <w:pStyle w:val="Heading2"/>
        <w:rPr/>
      </w:pPr>
      <w:bookmarkStart w:id="3" w:name="__RefHeading___Toc1110_2457650332"/>
      <w:bookmarkEnd w:id="3"/>
      <w:r>
        <w:rPr/>
        <w:t>1.2 Une trajectoire institutionnelle récente et agitée</w:t>
      </w:r>
    </w:p>
    <w:p>
      <w:pPr>
        <w:pStyle w:val="Normal"/>
        <w:rPr/>
      </w:pPr>
      <w:r>
        <w:rPr/>
        <w:t>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pPr>
        <w:pStyle w:val="Normal"/>
        <w:rPr/>
      </w:pPr>
      <w: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pPr>
        <w:pStyle w:val="Heading2"/>
        <w:rPr/>
      </w:pPr>
      <w:bookmarkStart w:id="4" w:name="__RefHeading___Toc1112_2457650332"/>
      <w:bookmarkEnd w:id="4"/>
      <w:r>
        <w:rPr/>
        <w:t>1.3 Organisation interne</w:t>
      </w:r>
    </w:p>
    <w:p>
      <w:pPr>
        <w:pStyle w:val="Normal"/>
        <w:rPr/>
      </w:pPr>
      <w:r>
        <w:rPr/>
        <w:t>La CTMG compte une cheffe de service, trois cadres, une médecin responsable, sept chefs de salle, deux collaboratrices administratives, des médecins formateurs, seize agents de front-office et trente-trois régulateurs sanitaires (organigramme établi par l'auteur, annexe A). Les agents de front-office assurent la première réponse et écartent l'urgence vitale. Les régulateurs, de formation infirmière, évaluent et orientent les demandes. Les chefs de salle, eux-mêmes régulateurs, coordonnent à tour de rôle la centrale en temps réel et font le lien avec l'encadrement, sans autorité hiérarchique. Des praticiens formateurs issus des régulateurs forment les nouveaux collaborateurs, pendant jusqu'à trois mois (E2). Une ligne médicale (médecin responsable, médecins formateurs) coexiste avec cette ligne managériale, ce que nous analyserons en section 3.</w:t>
      </w:r>
    </w:p>
    <w:p>
      <w:pPr>
        <w:pStyle w:val="Heading2"/>
        <w:rPr/>
      </w:pPr>
      <w:bookmarkStart w:id="5" w:name="__RefHeading___Toc1114_2457650332"/>
      <w:bookmarkEnd w:id="5"/>
      <w:r>
        <w:rPr/>
        <w:t>1.4 Enjeux stratégiques</w:t>
      </w:r>
    </w:p>
    <w:p>
      <w:pPr>
        <w:pStyle w:val="Normal"/>
        <w:rPr/>
      </w:pPr>
      <w:r>
        <w:rPr/>
        <w:t>L'enjeu principal de la CTMG est la continuité et la qualité d'une prestation de santé publique assurée jour et nuit. Elle repose presque entièrement sur le jugement clinique de régulateurs expérimentés. E2 en donne un exemple frappant : une patiente jugée « cinglée » par plusieurs interlocuteurs, chez qui la régulatrice reconnaît, grâce à son expérience en Afrique de l'Ouest, une parasitose tropicale, et pour qui elle obtient une consultation spécialisée. Cette compétence s'acquiert lentement et se transmet mal : la fidélisation des collaborateurs conditionne donc directement la mission.</w:t>
      </w:r>
    </w:p>
    <w:p>
      <w:pPr>
        <w:pStyle w:val="Heading1"/>
        <w:rPr/>
      </w:pPr>
      <w:bookmarkStart w:id="6" w:name="__RefHeading___Toc1116_2457650332"/>
      <w:bookmarkEnd w:id="6"/>
      <w:r>
        <w:rPr/>
        <w:t>2. Configuration organisationnelle et facteurs environnementaux</w:t>
      </w:r>
    </w:p>
    <w:p>
      <w:pPr>
        <w:pStyle w:val="Heading2"/>
        <w:rPr/>
      </w:pPr>
      <w:bookmarkStart w:id="7" w:name="__RefHeading___Toc1118_2457650332"/>
      <w:bookmarkEnd w:id="7"/>
      <w:r>
        <w:rPr/>
        <w:t>2.1 Une configuration d'administration publique hybride</w:t>
      </w:r>
    </w:p>
    <w:p>
      <w:pPr>
        <w:pStyle w:val="Normal"/>
        <w:rPr/>
      </w:pPr>
      <w: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pPr>
        <w:pStyle w:val="Normal"/>
        <w:rPr/>
      </w:pPr>
      <w:r>
        <w:rPr>
          <w:b/>
        </w:rPr>
        <w:t>Une pluralité de principaux.</w:t>
      </w:r>
      <w: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pPr>
        <w:pStyle w:val="Normal"/>
        <w:rPr/>
      </w:pPr>
      <w:r>
        <w:rPr>
          <w:b/>
        </w:rPr>
        <w:t>Une gouvernance à distance par les indicateurs.</w:t>
      </w:r>
      <w: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pPr>
        <w:pStyle w:val="Normal"/>
        <w:rPr/>
      </w:pPr>
      <w:r>
        <w:rPr>
          <w:b/>
        </w:rPr>
        <w:t>Autonomie et contrôle, valeurs et chiffres.</w:t>
      </w:r>
      <w: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pPr>
        <w:pStyle w:val="Heading2"/>
        <w:rPr/>
      </w:pPr>
      <w:bookmarkStart w:id="8" w:name="__RefHeading___Toc1120_2457650332"/>
      <w:bookmarkEnd w:id="8"/>
      <w:r>
        <w:rPr/>
        <w:t>2.2 L'empreinte de la gestion de crise</w:t>
      </w:r>
    </w:p>
    <w:p>
      <w:pPr>
        <w:pStyle w:val="Normal"/>
        <w:rPr/>
      </w:pPr>
      <w: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pPr>
        <w:pStyle w:val="Normal"/>
        <w:rPr/>
      </w:pPr>
      <w:r>
        <w:rPr/>
        <w:t>Les difficultés de la CTMG s'inscrivent donc dans une configuration qui favorise la distance, la mesure et le contrôle, et pas seulement dans des comportements individuels. Reste à examiner la structure de gouvernance qui encadre ce fonctionnement.</w:t>
      </w:r>
    </w:p>
    <w:p>
      <w:pPr>
        <w:pStyle w:val="Heading1"/>
        <w:rPr/>
      </w:pPr>
      <w:bookmarkStart w:id="9" w:name="__RefHeading___Toc1122_2457650332"/>
      <w:bookmarkEnd w:id="9"/>
      <w:r>
        <w:rPr/>
        <w:t>3. Structure de gouvernance : une architecture de type dualiste</w:t>
      </w:r>
    </w:p>
    <w:p>
      <w:pPr>
        <w:pStyle w:val="Heading2"/>
        <w:rPr/>
      </w:pPr>
      <w:bookmarkStart w:id="10" w:name="__RefHeading___Toc1124_2457650332"/>
      <w:bookmarkEnd w:id="10"/>
      <w:r>
        <w:rPr/>
        <w:t>3.1 Les organes et leurs compétences</w:t>
      </w:r>
    </w:p>
    <w:p>
      <w:pPr>
        <w:pStyle w:val="Normal"/>
        <w:rPr/>
      </w:pPr>
      <w: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rPr/>
      </w:pPr>
      <w:bookmarkStart w:id="11" w:name="__RefHeading___Toc1126_2457650332"/>
      <w:bookmarkEnd w:id="11"/>
      <w:r>
        <w:rPr/>
        <w:t>3.2 Une logique proche du modèle dualiste</w:t>
      </w:r>
    </w:p>
    <w:p>
      <w:pPr>
        <w:pStyle w:val="Normal"/>
        <w:rPr/>
      </w:pPr>
      <w:r>
        <w:rPr/>
        <w:t>Jungmann (2006) distingue deux grands systèmes de conseil. Le système moniste (</w:t>
      </w:r>
      <w:r>
        <w:rPr>
          <w:i/>
        </w:rPr>
        <w:t>one-tier</w:t>
      </w:r>
      <w:r>
        <w:rPr/>
        <w:t>) réunit dans un même organe la surveillance et la direction. Le système dualiste (</w:t>
      </w:r>
      <w:r>
        <w:rPr>
          <w:i/>
        </w:rPr>
        <w:t>two-tier</w:t>
      </w:r>
      <w: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pPr>
        <w:pStyle w:val="Normal"/>
        <w:rPr/>
      </w:pPr>
      <w: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rPr/>
      </w:pPr>
      <w:bookmarkStart w:id="12" w:name="__RefHeading___Toc1128_2457650332"/>
      <w:bookmarkEnd w:id="12"/>
      <w:r>
        <w:rPr/>
        <w:t>3.3 Ce que cette architecture fait à l'orchestration RH</w:t>
      </w:r>
    </w:p>
    <w:p>
      <w:pPr>
        <w:pStyle w:val="Normal"/>
        <w:rPr/>
      </w:pPr>
      <w:r>
        <w:rPr>
          <w:b/>
        </w:rPr>
        <w:t>Un contrôle indépendant, mais dépendant de l'information.</w:t>
      </w:r>
      <w:r>
        <w:rP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pPr>
        <w:pStyle w:val="Normal"/>
        <w:rPr/>
      </w:pPr>
      <w:r>
        <w:rPr>
          <w:b/>
        </w:rPr>
        <w:t>Un double principal.</w:t>
      </w:r>
      <w: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pPr>
        <w:pStyle w:val="Normal"/>
        <w:rPr/>
      </w:pPr>
      <w:r>
        <w:rPr>
          <w:b/>
        </w:rPr>
        <w:t>Une fonction RH située du côté de l'exécutif.</w:t>
      </w:r>
      <w:r>
        <w:rP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pPr>
        <w:pStyle w:val="Normal"/>
        <w:rPr/>
      </w:pPr>
      <w:r>
        <w:rPr>
          <w:b/>
        </w:rPr>
        <w:t>Un dualisme qui se répète dans le service.</w:t>
      </w:r>
      <w: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dans aucune.</w:t>
      </w:r>
    </w:p>
    <w:p>
      <w:pPr>
        <w:pStyle w:val="Normal"/>
        <w:rPr/>
      </w:pPr>
      <w: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pPr>
        <w:pStyle w:val="Heading1"/>
        <w:rPr/>
      </w:pPr>
      <w:bookmarkStart w:id="13" w:name="__RefHeading___Toc1130_2457650332"/>
      <w:bookmarkEnd w:id="13"/>
      <w:r>
        <w:rPr/>
        <w:t>4. Acteurs clés, délégation et jeux de pouvoir</w:t>
      </w:r>
    </w:p>
    <w:p>
      <w:pPr>
        <w:pStyle w:val="Heading2"/>
        <w:rPr/>
      </w:pPr>
      <w:bookmarkStart w:id="14" w:name="__RefHeading___Toc1132_2457650332"/>
      <w:bookmarkEnd w:id="14"/>
      <w:r>
        <w:rPr/>
        <w:t>4.1 La chaîne des délégations</w:t>
      </w:r>
    </w:p>
    <w:p>
      <w:pPr>
        <w:pStyle w:val="Normal"/>
        <w:rPr/>
      </w:pPr>
      <w: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Acteur</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formel</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perçu depuis le terrain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Orienter, surveiller, adopter le plan et les objectifs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Absent des récits : aucune trace de son action n'est visible depuis le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DUSC</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l'établissement et le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Commanditaire de l'audit interne, dont les conclusions ne sont pas communiquées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des RH</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Politique RH, appui aux services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Distante (« un RH vient une matinée par semaine »), perçue comme proche de la direction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le service, interface avec 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Pilotage centré sur l'activité, communication plus mesurée depuis un accompagnement managérial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Cadres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Encadrement du personnel, gestion RH courante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 Entre la cheffe de service et les équipes », identifiés à la ligne hiérarchique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Chefs de salle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Coordination en temps réel, relais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Confidents du terrain : « on n'a pas vraiment de pouvoir de décision » (E1)</w:t>
            </w:r>
          </w:p>
        </w:tc>
      </w:tr>
    </w:tbl>
    <w:p>
      <w:pPr>
        <w:pStyle w:val="Normal"/>
        <w:spacing w:before="0" w:after="0"/>
        <w:rPr/>
      </w:pPr>
      <w:r>
        <w:rPr/>
      </w:r>
    </w:p>
    <w:p>
      <w:pPr>
        <w:pStyle w:val="Normal"/>
        <w:rPr/>
      </w:pPr>
      <w:r>
        <w:rPr>
          <w:b/>
        </w:rPr>
        <w:t>Parties prenantes externes.</w:t>
      </w:r>
      <w:r>
        <w:rPr/>
        <w:t xml:space="preserve"> 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pPr>
        <w:pStyle w:val="Heading2"/>
        <w:rPr/>
      </w:pPr>
      <w:bookmarkStart w:id="15" w:name="__RefHeading___Toc1134_2457650332"/>
      <w:bookmarkEnd w:id="15"/>
      <w:r>
        <w:rPr/>
        <w:t>4.2 Une fonction RH déléguée et à distance</w:t>
      </w:r>
    </w:p>
    <w:p>
      <w:pPr>
        <w:pStyle w:val="Normal"/>
        <w:rPr/>
      </w:pPr>
      <w: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pPr>
        <w:pStyle w:val="Normal"/>
        <w:rPr/>
      </w:pPr>
      <w: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pPr>
        <w:pStyle w:val="Normal"/>
        <w:rPr/>
      </w:pPr>
      <w: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pPr>
        <w:pStyle w:val="Normal"/>
        <w:rPr/>
      </w:pPr>
      <w: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rPr/>
      </w:pPr>
      <w:bookmarkStart w:id="16" w:name="__RefHeading___Toc1136_2457650332"/>
      <w:bookmarkEnd w:id="16"/>
      <w:r>
        <w:rPr/>
        <w:t>4.3 Pouvoir, crédibilité et silence</w:t>
      </w:r>
    </w:p>
    <w:p>
      <w:pPr>
        <w:pStyle w:val="Normal"/>
        <w:rPr/>
      </w:pPr>
      <w: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pPr>
        <w:pStyle w:val="Normal"/>
        <w:rPr/>
      </w:pPr>
      <w: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pPr>
        <w:pStyle w:val="Normal"/>
        <w:rPr/>
      </w:pPr>
      <w: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pPr>
        <w:pStyle w:val="Normal"/>
        <w:rPr/>
      </w:pPr>
      <w: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pPr>
        <w:pStyle w:val="Heading1"/>
        <w:rPr/>
      </w:pPr>
      <w:bookmarkStart w:id="17" w:name="__RefHeading___Toc1138_2457650332"/>
      <w:bookmarkEnd w:id="17"/>
      <w:r>
        <w:rPr/>
        <w:t>5. Biais cognitifs et filtres de décision</w:t>
      </w:r>
    </w:p>
    <w:p>
      <w:pPr>
        <w:pStyle w:val="Normal"/>
        <w:rPr/>
      </w:pPr>
      <w: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rPr/>
      </w:pPr>
      <w:bookmarkStart w:id="18" w:name="__RefHeading___Toc1140_2457650332"/>
      <w:bookmarkEnd w:id="18"/>
      <w:r>
        <w:rPr/>
        <w:t>5.1 Filtre d'attention : ce que l'organisation rend visible</w:t>
      </w:r>
    </w:p>
    <w:p>
      <w:pPr>
        <w:pStyle w:val="Normal"/>
        <w:rPr/>
      </w:pPr>
      <w: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pPr>
        <w:pStyle w:val="Normal"/>
        <w:rPr/>
      </w:pPr>
      <w: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rPr/>
      </w:pPr>
      <w:bookmarkStart w:id="19" w:name="__RefHeading___Toc1142_2457650332"/>
      <w:bookmarkEnd w:id="19"/>
      <w:r>
        <w:rPr/>
        <w:t>5.2 Heuristique de disponibilité : juger sur ce qui remonte</w:t>
      </w:r>
    </w:p>
    <w:p>
      <w:pPr>
        <w:pStyle w:val="Normal"/>
        <w:rPr/>
      </w:pPr>
      <w: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pPr>
        <w:pStyle w:val="Heading2"/>
        <w:rPr/>
      </w:pPr>
      <w:bookmarkStart w:id="20" w:name="__RefHeading___Toc1144_2457650332"/>
      <w:bookmarkEnd w:id="20"/>
      <w:r>
        <w:rPr/>
        <w:t>5.3 Biais de confirmation et escalade d'engagement</w:t>
      </w:r>
    </w:p>
    <w:p>
      <w:pPr>
        <w:pStyle w:val="Normal"/>
        <w:rPr/>
      </w:pPr>
      <w: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pPr>
        <w:pStyle w:val="Normal"/>
        <w:rPr/>
      </w:pPr>
      <w: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pPr>
        <w:pStyle w:val="Normal"/>
        <w:rPr/>
      </w:pPr>
      <w: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rPr/>
      </w:pPr>
      <w:bookmarkStart w:id="21" w:name="__RefHeading___Toc1146_2457650332"/>
      <w:bookmarkEnd w:id="21"/>
      <w:r>
        <w:rPr/>
        <w:t>5.4 Erreur d'attribution : imputer aux personnes ce qui relève du système</w:t>
      </w:r>
    </w:p>
    <w:p>
      <w:pPr>
        <w:pStyle w:val="Normal"/>
        <w:rPr/>
      </w:pPr>
      <w: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pPr>
        <w:pStyle w:val="Normal"/>
        <w:rPr/>
      </w:pPr>
      <w: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rPr/>
      </w:pPr>
      <w:bookmarkStart w:id="22" w:name="__RefHeading___Toc1148_2457650332"/>
      <w:bookmarkEnd w:id="22"/>
      <w:r>
        <w:rPr/>
        <w:t>5.5 Le risque de pensée de groupe</w:t>
      </w:r>
    </w:p>
    <w:p>
      <w:pPr>
        <w:pStyle w:val="Normal"/>
        <w:rPr/>
      </w:pPr>
      <w: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pPr>
        <w:pStyle w:val="Heading2"/>
        <w:rPr/>
      </w:pPr>
      <w:bookmarkStart w:id="23" w:name="__RefHeading___Toc1150_2457650332"/>
      <w:bookmarkEnd w:id="23"/>
      <w:r>
        <w:rPr/>
        <w:t>5.6 Découplage : changer la forme sans changer le fond</w:t>
      </w:r>
    </w:p>
    <w:p>
      <w:pPr>
        <w:pStyle w:val="Normal"/>
        <w:rPr/>
      </w:pPr>
      <w: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pPr>
        <w:pStyle w:val="Normal"/>
        <w:rPr/>
      </w:pPr>
      <w: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rPr/>
      </w:pPr>
      <w:bookmarkStart w:id="24" w:name="__RefHeading___Toc1152_2457650332"/>
      <w:bookmarkEnd w:id="24"/>
      <w:r>
        <w:rPr/>
        <w:t>5.7 Synthèse : une boucle qui s'auto-entretient</w:t>
      </w:r>
    </w:p>
    <w:p>
      <w:pPr>
        <w:pStyle w:val="Normal"/>
        <w:rPr/>
      </w:pPr>
      <w: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pPr>
        <w:pStyle w:val="Normal"/>
        <w:rPr/>
      </w:pPr>
      <w: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rPr/>
      </w:pPr>
      <w:bookmarkStart w:id="25" w:name="__RefHeading___Toc1154_2457650332"/>
      <w:bookmarkEnd w:id="25"/>
      <w:r>
        <w:rPr/>
        <w:t>6. Facteurs facilitant ou limitant le positionnement stratégique de la fonction RH</w:t>
      </w:r>
    </w:p>
    <w:p>
      <w:pPr>
        <w:pStyle w:val="Normal"/>
        <w:rPr/>
      </w:pPr>
      <w:r>
        <w:rPr/>
        <w:t>Boxall (1996) distingue la qualité du capital humain et celle des processus qui le mobilisent ; selon la formule du module, un capital humain qualifié « reste stérile s'il n'est pas managé par des pratiques RH structurées, initiées par la gouvernance » (Bédat, 2026). La CTMG présente ce décalage.</w:t>
      </w:r>
    </w:p>
    <w:p>
      <w:pPr>
        <w:pStyle w:val="Normal"/>
        <w:rPr/>
      </w:pPr>
      <w: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pPr>
        <w:pStyle w:val="Normal"/>
        <w:rPr/>
      </w:pPr>
      <w:r>
        <w:rPr/>
        <w:t>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pPr>
        <w:pStyle w:val="Heading1"/>
        <w:rPr/>
      </w:pPr>
      <w:bookmarkStart w:id="26" w:name="__RefHeading___Toc1156_2457650332"/>
      <w:bookmarkEnd w:id="26"/>
      <w:r>
        <w:rPr/>
        <w:t>7. Risques, enjeux éthiques et points de vigilance</w:t>
      </w:r>
    </w:p>
    <w:p>
      <w:pPr>
        <w:pStyle w:val="Heading2"/>
        <w:rPr/>
      </w:pPr>
      <w:bookmarkStart w:id="27" w:name="__RefHeading___Toc1158_2457650332"/>
      <w:bookmarkEnd w:id="27"/>
      <w:r>
        <w:rPr/>
        <w:t>7.1 Les risques</w:t>
      </w:r>
    </w:p>
    <w:p>
      <w:pPr>
        <w:pStyle w:val="Normal"/>
        <w:rPr/>
      </w:pPr>
      <w:r>
        <w:rPr>
          <w:b/>
        </w:rPr>
        <w:t>Un risque de perte de capital humain.</w:t>
      </w:r>
      <w: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pPr>
        <w:pStyle w:val="Normal"/>
        <w:rPr/>
      </w:pPr>
      <w:r>
        <w:rPr>
          <w:b/>
        </w:rPr>
        <w:t>Un risque opérationnel et de sécurité des patients.</w:t>
      </w:r>
      <w: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pPr>
        <w:pStyle w:val="Normal"/>
        <w:rPr/>
      </w:pPr>
      <w:r>
        <w:rPr>
          <w:b/>
        </w:rPr>
        <w:t>Un risque de légitimité et de réputation.</w:t>
      </w:r>
      <w: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pPr>
        <w:pStyle w:val="Heading2"/>
        <w:rPr/>
      </w:pPr>
      <w:bookmarkStart w:id="28" w:name="__RefHeading___Toc1160_2457650332"/>
      <w:bookmarkEnd w:id="28"/>
      <w:r>
        <w:rPr/>
        <w:t>7.2 Les enjeux éthiques</w:t>
      </w:r>
    </w:p>
    <w:p>
      <w:pPr>
        <w:pStyle w:val="Normal"/>
        <w:rPr/>
      </w:pPr>
      <w:r>
        <w:rPr/>
        <w:t xml:space="preserve">Trois enjeux éthiques ressortent des entretiens. Le premier est la </w:t>
      </w:r>
      <w:r>
        <w:rPr>
          <w:b/>
        </w:rPr>
        <w:t>santé psychique au travail</w:t>
      </w:r>
      <w:r>
        <w:rPr/>
        <w:t xml:space="preserve"> : l'absence de débriefing après des appels traumatiques expose les collaborateurs à une usure dont l'employeur porte la responsabilité. Le deuxième est la </w:t>
      </w:r>
      <w:r>
        <w:rPr>
          <w:b/>
        </w:rPr>
        <w:t>protection de la parole</w:t>
      </w:r>
      <w: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Pr>
          <w:b/>
        </w:rPr>
        <w:t>loyauté envers les personnes qui ont participé à l'audit interne</w:t>
      </w:r>
      <w:r>
        <w:rPr/>
        <w:t> : ne leur donner aucun retour revient à traiter leur parole comme une simple ressource d'information.</w:t>
      </w:r>
    </w:p>
    <w:p>
      <w:pPr>
        <w:pStyle w:val="Heading2"/>
        <w:rPr/>
      </w:pPr>
      <w:bookmarkStart w:id="29" w:name="__RefHeading___Toc1162_2457650332"/>
      <w:bookmarkEnd w:id="29"/>
      <w:r>
        <w:rPr/>
        <w:t>7.3 Les points de vigilance</w:t>
      </w:r>
    </w:p>
    <w:p>
      <w:pPr>
        <w:pStyle w:val="Normal"/>
        <w:rPr/>
      </w:pPr>
      <w:r>
        <w:rPr/>
        <w:t xml:space="preserve">Deux précautions s'imposent : </w:t>
      </w:r>
      <w:r>
        <w:rPr>
          <w:b/>
        </w:rPr>
        <w:t>ne pas personnaliser le diagnostic</w:t>
      </w:r>
      <w:r>
        <w:rPr/>
        <w:t xml:space="preserve">, car les mécanismes identifiés survivraient à un changement de personne s'ils n'étaient pas traités pour eux-mêmes ; </w:t>
      </w:r>
      <w:r>
        <w:rPr>
          <w:b/>
        </w:rPr>
        <w:t>garantir la confidentialité</w:t>
      </w:r>
      <w:r>
        <w:rPr/>
        <w:t xml:space="preserve"> de toute restitution ou dispositif d'écoute, car dans une équipe d'une soixantaine de personnes, un détail suffit à identifier son auteur.</w:t>
      </w:r>
    </w:p>
    <w:p>
      <w:pPr>
        <w:pStyle w:val="Heading1"/>
        <w:rPr/>
      </w:pPr>
      <w:bookmarkStart w:id="30" w:name="__RefHeading___Toc1164_2457650332"/>
      <w:bookmarkEnd w:id="30"/>
      <w:r>
        <w:rPr/>
        <w:t>8. Diagnostic et recommandations au Conseil d'Unisanté</w:t>
      </w:r>
    </w:p>
    <w:p>
      <w:pPr>
        <w:pStyle w:val="Heading2"/>
        <w:rPr/>
      </w:pPr>
      <w:bookmarkStart w:id="31" w:name="__RefHeading___Toc1166_2457650332"/>
      <w:bookmarkEnd w:id="31"/>
      <w:r>
        <w:rPr/>
        <w:t>8.1 Diagnostic</w:t>
      </w:r>
    </w:p>
    <w:p>
      <w:pPr>
        <w:pStyle w:val="Normal"/>
        <w:rPr/>
      </w:pPr>
      <w:r>
        <w:rPr/>
        <w:t xml:space="preserve">La CTMG ne souffre pas d'un manque de structures, mais de l'absence d'un dispositif qui permette à la gouvernance de </w:t>
      </w:r>
      <w:r>
        <w:rPr>
          <w:b/>
        </w:rPr>
        <w:t>voir l'humain</w:t>
      </w:r>
      <w: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pPr>
        <w:pStyle w:val="Normal"/>
        <w:rPr/>
      </w:pPr>
      <w:r>
        <w:rPr/>
        <w:t>Le Conseil n'a pas vocation à gérer le service : les recommandations qui suivent passent par ses compétences propres (objectifs annuels, plan stratégique, comptes rendus exigés de la direction générale, contrat de prestations).</w:t>
      </w:r>
    </w:p>
    <w:p>
      <w:pPr>
        <w:pStyle w:val="Heading2"/>
        <w:rPr/>
      </w:pPr>
      <w:bookmarkStart w:id="32" w:name="__RefHeading___Toc1168_2457650332"/>
      <w:bookmarkEnd w:id="32"/>
      <w:r>
        <w:rPr/>
        <w:t>8.2 Recommandations</w:t>
      </w:r>
    </w:p>
    <w:p>
      <w:pPr>
        <w:pStyle w:val="Normal"/>
        <w:rPr/>
      </w:pPr>
      <w:r>
        <w:rPr/>
        <w:t>Les recommandations sont classées par horizon : les recommandations 1 et 3 peuvent être engagées à court terme (trois à six mois), les recommandations 2, 4, 5 et 6 relèvent des objectifs de l'exercice suivant, et la septième ferme la boucle à douze mois.</w:t>
      </w:r>
    </w:p>
    <w:p>
      <w:pPr>
        <w:pStyle w:val="Normal"/>
        <w:rPr/>
      </w:pPr>
      <w:r>
        <w:rPr>
          <w:b/>
        </w:rPr>
        <w:t>1. Demander une restitution de l'audit interne.</w:t>
      </w:r>
      <w: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pPr>
        <w:pStyle w:val="Normal"/>
        <w:rPr/>
      </w:pPr>
      <w:r>
        <w:rPr>
          <w:b/>
        </w:rPr>
        <w:t>2. Faire de la santé organisationnelle un objet de gouvernance.</w:t>
      </w:r>
      <w: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pPr>
        <w:pStyle w:val="Normal"/>
        <w:rPr/>
      </w:pPr>
      <w:r>
        <w:rPr>
          <w:b/>
        </w:rPr>
        <w:t>3. Créer un canal de remontée indépendant de la hiérarchie.</w:t>
      </w:r>
      <w:r>
        <w:rPr/>
        <w:t xml:space="preserve"> Une personne de confiance extérieure au service, ou une enquête anonyme régulière dont les résultats sont communiqués, offrirait l'« espace neutre » attendu des RH et corrigerait l'autocensure décrite en sections 4.3 et 5.7.</w:t>
      </w:r>
    </w:p>
    <w:p>
      <w:pPr>
        <w:pStyle w:val="Normal"/>
        <w:rPr/>
      </w:pPr>
      <w:r>
        <w:rPr>
          <w:b/>
        </w:rPr>
        <w:t>4. Outiller les décisions touchant les personnes contre les biais.</w:t>
      </w:r>
      <w: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pPr>
        <w:pStyle w:val="Normal"/>
        <w:rPr/>
      </w:pPr>
      <w:r>
        <w:rPr>
          <w:b/>
        </w:rPr>
        <w:t>5. Clarifier et outiller la délégation RH.</w:t>
      </w:r>
      <w: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pPr>
        <w:pStyle w:val="Normal"/>
        <w:rPr/>
      </w:pPr>
      <w:r>
        <w:rPr>
          <w:b/>
        </w:rPr>
        <w:t>6. Institutionnaliser le débriefing</w:t>
      </w:r>
      <w:r>
        <w:rPr/>
        <w:t xml:space="preserve"> après les appels difficiles, avec l'appui des compétences d'Unisanté en santé au travail.</w:t>
      </w:r>
    </w:p>
    <w:p>
      <w:pPr>
        <w:pStyle w:val="Normal"/>
        <w:rPr/>
      </w:pPr>
      <w:r>
        <w:rPr>
          <w:b/>
        </w:rPr>
        <w:t>7. Évaluer après douze mois</w:t>
      </w:r>
      <w:r>
        <w:rPr/>
        <w:t>, par un tiers externe au service, avec cette fois une restitution aux équipes. C'est à cette condition que les collaborateurs pourront voir, selon les mots de E1, « que leur parole peut réellement avoir un effet sur le fonctionnement du service ».</w:t>
      </w:r>
    </w:p>
    <w:p>
      <w:pPr>
        <w:pStyle w:val="Normal"/>
        <w:rPr/>
      </w:pPr>
      <w:r>
        <w:rPr/>
        <w:t>Le tableau de l'annexe E synthétise ces recommandations, les mécanismes qu'elles visent et les indicateurs de suivi proposés.</w:t>
      </w:r>
    </w:p>
    <w:p>
      <w:pPr>
        <w:pStyle w:val="Heading1"/>
        <w:rPr/>
      </w:pPr>
      <w:bookmarkStart w:id="33" w:name="__RefHeading___Toc1170_2457650332"/>
      <w:bookmarkEnd w:id="33"/>
      <w:r>
        <w:rPr/>
        <w:t>Conclusion</w:t>
      </w:r>
    </w:p>
    <w:p>
      <w:pPr>
        <w:pStyle w:val="Normal"/>
        <w:rPr/>
      </w:pPr>
      <w: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pPr>
        <w:pStyle w:val="Normal"/>
        <w:rPr/>
      </w:pPr>
      <w:r>
        <w:rPr/>
        <w:t>Ce travail repose sur deux entretiens et sur nos observations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br w:type="page"/>
      </w:r>
    </w:p>
    <w:p>
      <w:pPr>
        <w:pStyle w:val="Heading1"/>
        <w:rPr/>
      </w:pPr>
      <w:bookmarkStart w:id="34" w:name="__RefHeading___Toc1172_2457650332"/>
      <w:bookmarkEnd w:id="34"/>
      <w:r>
        <w:rPr/>
        <w:t>Bibliographie</w:t>
      </w:r>
    </w:p>
    <w:p>
      <w:pPr>
        <w:pStyle w:val="Heading3"/>
        <w:rPr/>
      </w:pPr>
      <w:r>
        <w:rPr/>
        <w:t>Références scientifiques</w:t>
      </w:r>
    </w:p>
    <w:p>
      <w:pPr>
        <w:pStyle w:val="Normal"/>
        <w:spacing w:lineRule="auto" w:line="240" w:before="0" w:after="80"/>
        <w:ind w:hanging="709" w:left="709"/>
        <w:jc w:val="left"/>
        <w:rPr/>
      </w:pPr>
      <w:r>
        <w:rPr/>
        <w:t xml:space="preserve">Aldrich, P., Dietz, G., Clark, T., &amp; Hamilton, P. (2015). Establishing HR professionals' influence and credibility: Lessons from the capital markets and investment banking sector. </w:t>
      </w:r>
      <w:r>
        <w:rPr>
          <w:i/>
        </w:rPr>
        <w:t>Human Resource Management, 54</w:t>
      </w:r>
      <w:r>
        <w:rPr/>
        <w:t>(1), 105–130.</w:t>
      </w:r>
    </w:p>
    <w:p>
      <w:pPr>
        <w:pStyle w:val="Normal"/>
        <w:spacing w:lineRule="auto" w:line="240" w:before="0" w:after="80"/>
        <w:ind w:hanging="709" w:left="709"/>
        <w:jc w:val="left"/>
        <w:rPr/>
      </w:pPr>
      <w:r>
        <w:rPr/>
        <w:t xml:space="preserve">Barker, V. L., III, &amp; Barr, P. S. (2002). Linking top manager attributions to strategic reorientation in declining firms attempting turnarounds. </w:t>
      </w:r>
      <w:r>
        <w:rPr>
          <w:i/>
        </w:rPr>
        <w:t>Journal of Business Research, 55</w:t>
      </w:r>
      <w:r>
        <w:rPr/>
        <w:t>(12), 963–979.</w:t>
      </w:r>
    </w:p>
    <w:p>
      <w:pPr>
        <w:pStyle w:val="Normal"/>
        <w:spacing w:lineRule="auto" w:line="240" w:before="0" w:after="80"/>
        <w:ind w:hanging="709" w:left="709"/>
        <w:jc w:val="left"/>
        <w:rPr/>
      </w:pPr>
      <w:r>
        <w:rPr/>
        <w:t xml:space="preserve">Barney, J. (1991). Firm resources and sustained competitive advantage. </w:t>
      </w:r>
      <w:r>
        <w:rPr>
          <w:i/>
        </w:rPr>
        <w:t>Journal of Management, 17</w:t>
      </w:r>
      <w:r>
        <w:rPr/>
        <w:t>(1), 99–120. https://doi.org/10.1177/014920639101700108</w:t>
      </w:r>
    </w:p>
    <w:p>
      <w:pPr>
        <w:pStyle w:val="Normal"/>
        <w:spacing w:lineRule="auto" w:line="240" w:before="0" w:after="80"/>
        <w:ind w:hanging="709" w:left="709"/>
        <w:jc w:val="left"/>
        <w:rPr/>
      </w:pPr>
      <w:r>
        <w:rPr/>
        <w:t xml:space="preserve">Barney, J. B., &amp; Wright, P. M. (1998). On becoming a strategic partner: The role of human resources in gaining competitive advantage. </w:t>
      </w:r>
      <w:r>
        <w:rPr>
          <w:i/>
        </w:rPr>
        <w:t>Human Resource Management, 37</w:t>
      </w:r>
      <w:r>
        <w:rPr/>
        <w:t>(1), 31–46.</w:t>
      </w:r>
    </w:p>
    <w:p>
      <w:pPr>
        <w:pStyle w:val="Normal"/>
        <w:spacing w:lineRule="auto" w:line="240" w:before="0" w:after="80"/>
        <w:ind w:hanging="709" w:left="709"/>
        <w:jc w:val="left"/>
        <w:rPr/>
      </w:pPr>
      <w:r>
        <w:rPr/>
        <w:t xml:space="preserve">Bonnet, C., Séville, M., &amp; Wirtz, P. (2017). Genèse et fonctionnement du conseil d'administration d'une firme entrepreneuriale : le rôle des identifications sociales des administrateurs. </w:t>
      </w:r>
      <w:r>
        <w:rPr>
          <w:i/>
        </w:rPr>
        <w:t>Finance Contrôle Stratégie, 20</w:t>
      </w:r>
      <w:r>
        <w:rPr/>
        <w:t>(3).</w:t>
      </w:r>
    </w:p>
    <w:p>
      <w:pPr>
        <w:pStyle w:val="Normal"/>
        <w:spacing w:lineRule="auto" w:line="240" w:before="0" w:after="80"/>
        <w:ind w:hanging="709" w:left="709"/>
        <w:jc w:val="left"/>
        <w:rPr/>
      </w:pPr>
      <w:r>
        <w:rPr/>
        <w:t xml:space="preserve">Boxall, P. (1996). The strategic HRM debate and the resource-based view of the firm. </w:t>
      </w:r>
      <w:r>
        <w:rPr>
          <w:i/>
        </w:rPr>
        <w:t>Human Resource Management Journal, 6</w:t>
      </w:r>
      <w:r>
        <w:rPr/>
        <w:t>(3), 59–75.</w:t>
      </w:r>
    </w:p>
    <w:p>
      <w:pPr>
        <w:pStyle w:val="Normal"/>
        <w:spacing w:lineRule="auto" w:line="240" w:before="0" w:after="80"/>
        <w:ind w:hanging="709" w:left="709"/>
        <w:jc w:val="left"/>
        <w:rPr/>
      </w:pPr>
      <w:r>
        <w:rPr/>
        <w:t xml:space="preserve">Brandl, J., &amp; Pohler, D. (2010). The human resource department's role and conditions that affect its development: Explanations from Austrian CEOs. </w:t>
      </w:r>
      <w:r>
        <w:rPr>
          <w:i/>
        </w:rPr>
        <w:t>Human Resource Management, 49</w:t>
      </w:r>
      <w:r>
        <w:rPr/>
        <w:t>(6), 1025–1046.</w:t>
      </w:r>
    </w:p>
    <w:p>
      <w:pPr>
        <w:pStyle w:val="Normal"/>
        <w:spacing w:lineRule="auto" w:line="240" w:before="0" w:after="80"/>
        <w:ind w:hanging="709" w:left="709"/>
        <w:jc w:val="left"/>
        <w:rPr/>
      </w:pPr>
      <w:r>
        <w:rPr/>
        <w:t xml:space="preserve">Bédat, J. (2024). </w:t>
      </w:r>
      <w:r>
        <w:rPr>
          <w:i/>
        </w:rPr>
        <w:t>The influence of the board of directors on HR strategy: Three qualitative studies in a Swiss context</w:t>
      </w:r>
      <w:r>
        <w:rPr/>
        <w:t xml:space="preserve"> [Thèse de doctorat, Université Jean Moulin Lyon III].</w:t>
      </w:r>
    </w:p>
    <w:p>
      <w:pPr>
        <w:pStyle w:val="Normal"/>
        <w:spacing w:lineRule="auto" w:line="240" w:before="0" w:after="80"/>
        <w:ind w:hanging="709" w:left="709"/>
        <w:jc w:val="left"/>
        <w:rPr/>
      </w:pPr>
      <w:r>
        <w:rPr/>
        <w:t xml:space="preserve">Charreaux, G. (2005). Pour une gouvernance d'entreprise « comportementale » : une réflexion exploratoire... </w:t>
      </w:r>
      <w:r>
        <w:rPr>
          <w:i/>
        </w:rPr>
        <w:t>Revue française de gestion, 157</w:t>
      </w:r>
      <w:r>
        <w:rPr/>
        <w:t>(4), 215–238.</w:t>
      </w:r>
    </w:p>
    <w:p>
      <w:pPr>
        <w:pStyle w:val="Normal"/>
        <w:spacing w:lineRule="auto" w:line="240" w:before="0" w:after="80"/>
        <w:ind w:hanging="709" w:left="709"/>
        <w:jc w:val="left"/>
        <w:rPr/>
      </w:pPr>
      <w:r>
        <w:rPr/>
        <w:t xml:space="preserve">Emery, Y., &amp; Giauque, D. (2003). Emergence of contradictory injunctions in Swiss NPM projects. </w:t>
      </w:r>
      <w:r>
        <w:rPr>
          <w:i/>
        </w:rPr>
        <w:t>International Journal of Public Sector Management, 16</w:t>
      </w:r>
      <w:r>
        <w:rPr/>
        <w:t>(6), 468–481.</w:t>
      </w:r>
    </w:p>
    <w:p>
      <w:pPr>
        <w:pStyle w:val="Normal"/>
        <w:spacing w:lineRule="auto" w:line="240" w:before="0" w:after="80"/>
        <w:ind w:hanging="709" w:left="709"/>
        <w:jc w:val="left"/>
        <w:rPr/>
      </w:pPr>
      <w:r>
        <w:rPr/>
        <w:t xml:space="preserve">Emery, Y., &amp; Giauque, D. (2014). L'univers hybride de l'administration au XXIe siècle. Introduction. </w:t>
      </w:r>
      <w:r>
        <w:rPr>
          <w:i/>
        </w:rPr>
        <w:t>Revue Internationale des Sciences Administratives, 80</w:t>
      </w:r>
      <w:r>
        <w:rPr/>
        <w:t>(1), 25–34.</w:t>
      </w:r>
    </w:p>
    <w:p>
      <w:pPr>
        <w:pStyle w:val="Normal"/>
        <w:spacing w:lineRule="auto" w:line="240" w:before="0" w:after="80"/>
        <w:ind w:hanging="709" w:left="709"/>
        <w:jc w:val="left"/>
        <w:rPr/>
      </w:pPr>
      <w:r>
        <w:rPr/>
        <w:t xml:space="preserve">Emery, Y., &amp; Giauque, D. (2019). Les paradoxes d'une gouvernance publique à distance par les indicateurs. In </w:t>
      </w:r>
      <w:r>
        <w:rPr>
          <w:i/>
        </w:rPr>
        <w:t>Manager les paradoxes dans le secteur public</w:t>
      </w:r>
      <w:r>
        <w:rPr/>
        <w:t xml:space="preserve"> (pp. 9–30).</w:t>
      </w:r>
    </w:p>
    <w:p>
      <w:pPr>
        <w:pStyle w:val="Normal"/>
        <w:spacing w:lineRule="auto" w:line="240" w:before="0" w:after="80"/>
        <w:ind w:hanging="709" w:left="709"/>
        <w:jc w:val="left"/>
        <w:rPr/>
      </w:pPr>
      <w:r>
        <w:rPr/>
        <w:t xml:space="preserve">Fama, E. F., &amp; Jensen, M. C. (1983). Separation of ownership and control. </w:t>
      </w:r>
      <w:r>
        <w:rPr>
          <w:i/>
        </w:rPr>
        <w:t>The Journal of Law and Economics, 26</w:t>
      </w:r>
      <w:r>
        <w:rPr/>
        <w:t>(2), 301–325.</w:t>
      </w:r>
    </w:p>
    <w:p>
      <w:pPr>
        <w:pStyle w:val="Normal"/>
        <w:spacing w:lineRule="auto" w:line="240" w:before="0" w:after="80"/>
        <w:ind w:hanging="709" w:left="709"/>
        <w:jc w:val="left"/>
        <w:rPr/>
      </w:pPr>
      <w:r>
        <w:rPr/>
        <w:t xml:space="preserve">Forbes, D. P., &amp; Milliken, F. J. (1999). Cognition and corporate governance: Understanding boards of directors as strategic decision-making groups. </w:t>
      </w:r>
      <w:r>
        <w:rPr>
          <w:i/>
        </w:rPr>
        <w:t>Academy of Management Review, 24</w:t>
      </w:r>
      <w:r>
        <w:rPr/>
        <w:t>(3), 489–505.</w:t>
      </w:r>
    </w:p>
    <w:p>
      <w:pPr>
        <w:pStyle w:val="Normal"/>
        <w:spacing w:lineRule="auto" w:line="240" w:before="0" w:after="80"/>
        <w:ind w:hanging="709" w:left="709"/>
        <w:jc w:val="left"/>
        <w:rPr/>
      </w:pPr>
      <w:r>
        <w:rPr/>
        <w:t xml:space="preserve">Freeman, R. E. (1984). </w:t>
      </w:r>
      <w:r>
        <w:rPr>
          <w:i/>
        </w:rPr>
        <w:t>Strategic management: A stakeholder approach</w:t>
      </w:r>
      <w:r>
        <w:rPr/>
        <w:t>. Pitman.</w:t>
      </w:r>
    </w:p>
    <w:p>
      <w:pPr>
        <w:pStyle w:val="Normal"/>
        <w:spacing w:lineRule="auto" w:line="240" w:before="0" w:after="80"/>
        <w:ind w:hanging="709" w:left="709"/>
        <w:jc w:val="left"/>
        <w:rPr/>
      </w:pPr>
      <w:r>
        <w:rPr/>
        <w:t xml:space="preserve">Giauque, D. (2003). New public management and organizational regulation: The liberal bureaucracy. </w:t>
      </w:r>
      <w:r>
        <w:rPr>
          <w:i/>
        </w:rPr>
        <w:t>International Review of Administrative Sciences, 69</w:t>
      </w:r>
      <w:r>
        <w:rPr/>
        <w:t>(4), 567–592.</w:t>
      </w:r>
    </w:p>
    <w:p>
      <w:pPr>
        <w:pStyle w:val="Normal"/>
        <w:spacing w:lineRule="auto" w:line="240" w:before="0" w:after="80"/>
        <w:ind w:hanging="709" w:left="709"/>
        <w:jc w:val="left"/>
        <w:rPr/>
      </w:pPr>
      <w:r>
        <w:rPr/>
        <w:t xml:space="preserve">Giauque, D. (2024). Une nouvelle économie politique des administrations publiques : la gouvernance à distance. </w:t>
      </w:r>
      <w:r>
        <w:rPr>
          <w:i/>
        </w:rPr>
        <w:t>Éthique publique, 25</w:t>
      </w:r>
      <w:r>
        <w:rPr/>
        <w:t>(2).</w:t>
      </w:r>
    </w:p>
    <w:p>
      <w:pPr>
        <w:pStyle w:val="Normal"/>
        <w:spacing w:lineRule="auto" w:line="240" w:before="0" w:after="80"/>
        <w:ind w:hanging="709" w:left="709"/>
        <w:jc w:val="left"/>
        <w:rPr/>
      </w:pPr>
      <w:r>
        <w:rPr/>
        <w:t xml:space="preserve">Giauque, D., Anderfuhren-Biget, S., &amp; Varone, F. (2013). HRM practices, intrinsic motivators, and organizational performance in the public sector. </w:t>
      </w:r>
      <w:r>
        <w:rPr>
          <w:i/>
        </w:rPr>
        <w:t>Public Personnel Management, 42</w:t>
      </w:r>
      <w:r>
        <w:rPr/>
        <w:t>(2), 123–150.</w:t>
      </w:r>
    </w:p>
    <w:p>
      <w:pPr>
        <w:pStyle w:val="Normal"/>
        <w:spacing w:lineRule="auto" w:line="240" w:before="0" w:after="80"/>
        <w:ind w:hanging="709" w:left="709"/>
        <w:jc w:val="left"/>
        <w:rPr/>
      </w:pPr>
      <w:r>
        <w:rPr/>
        <w:t xml:space="preserve">Gioia, D. A., &amp; Chittipeddi, K. (1991). Sensemaking and sensegiving in strategic change initiation. </w:t>
      </w:r>
      <w:r>
        <w:rPr>
          <w:i/>
        </w:rPr>
        <w:t>Strategic Management Journal, 12</w:t>
      </w:r>
      <w:r>
        <w:rPr/>
        <w:t>(6), 433–448.</w:t>
      </w:r>
    </w:p>
    <w:p>
      <w:pPr>
        <w:pStyle w:val="Normal"/>
        <w:spacing w:lineRule="auto" w:line="240" w:before="0" w:after="80"/>
        <w:ind w:hanging="709" w:left="709"/>
        <w:jc w:val="left"/>
        <w:rPr/>
      </w:pPr>
      <w:r>
        <w:rPr/>
        <w:t xml:space="preserve">Giovannini, C., &amp; Giauque, D. (2023). La résilience organisationnelle, entre agilité et rigidité ? </w:t>
      </w:r>
      <w:r>
        <w:rPr>
          <w:i/>
        </w:rPr>
        <w:t>Swiss Yearbook of Administrative Sciences, 14</w:t>
      </w:r>
      <w:r>
        <w:rPr/>
        <w:t>(1), 73–84.</w:t>
      </w:r>
    </w:p>
    <w:p>
      <w:pPr>
        <w:pStyle w:val="Normal"/>
        <w:spacing w:lineRule="auto" w:line="240" w:before="0" w:after="80"/>
        <w:ind w:hanging="709" w:left="709"/>
        <w:jc w:val="left"/>
        <w:rPr/>
      </w:pPr>
      <w:r>
        <w:rPr/>
        <w:t xml:space="preserve">Gooderham, P. N., Morley, M. J., Parry, E., &amp; Stavrou, E. (2015). National and firm-level drivers of the devolution of HRM decision making to line managers. </w:t>
      </w:r>
      <w:r>
        <w:rPr>
          <w:i/>
        </w:rPr>
        <w:t>Journal of International Business Studies, 46</w:t>
      </w:r>
      <w:r>
        <w:rPr/>
        <w:t>(6), 715–723.</w:t>
      </w:r>
    </w:p>
    <w:p>
      <w:pPr>
        <w:pStyle w:val="Normal"/>
        <w:spacing w:lineRule="auto" w:line="240" w:before="0" w:after="80"/>
        <w:ind w:hanging="709" w:left="709"/>
        <w:jc w:val="left"/>
        <w:rPr/>
      </w:pPr>
      <w:r>
        <w:rPr/>
        <w:t xml:space="preserve">Haleblian, J., &amp; Rajagopalan, N. (2006). A cognitive model of CEO dismissal: Understanding the influence of board perceptions, attributions and efficacy beliefs. </w:t>
      </w:r>
      <w:r>
        <w:rPr>
          <w:i/>
        </w:rPr>
        <w:t>Journal of Management Studies, 43</w:t>
      </w:r>
      <w:r>
        <w:rPr/>
        <w:t>(5), 1009–1026.</w:t>
      </w:r>
    </w:p>
    <w:p>
      <w:pPr>
        <w:pStyle w:val="Normal"/>
        <w:spacing w:lineRule="auto" w:line="240" w:before="0" w:after="80"/>
        <w:ind w:hanging="709" w:left="709"/>
        <w:jc w:val="left"/>
        <w:rPr/>
      </w:pPr>
      <w:r>
        <w:rPr/>
        <w:t xml:space="preserve">Hardy, C. (1996). Understanding power: Bringing about strategic change. </w:t>
      </w:r>
      <w:r>
        <w:rPr>
          <w:i/>
        </w:rPr>
        <w:t>British Journal of Management, 7</w:t>
      </w:r>
      <w:r>
        <w:rPr/>
        <w:t>(S1), S3–S16.</w:t>
      </w:r>
    </w:p>
    <w:p>
      <w:pPr>
        <w:pStyle w:val="Normal"/>
        <w:spacing w:lineRule="auto" w:line="240" w:before="0" w:after="80"/>
        <w:ind w:hanging="709" w:left="709"/>
        <w:jc w:val="left"/>
        <w:rPr/>
      </w:pPr>
      <w:r>
        <w:rPr/>
        <w:t xml:space="preserve">Hilb, M. (2016). </w:t>
      </w:r>
      <w:r>
        <w:rPr>
          <w:i/>
        </w:rPr>
        <w:t>New corporate governance: Successful board management tools</w:t>
      </w:r>
      <w:r>
        <w:rPr/>
        <w:t xml:space="preserve"> (5e éd.). Springer.</w:t>
      </w:r>
    </w:p>
    <w:p>
      <w:pPr>
        <w:pStyle w:val="Normal"/>
        <w:spacing w:lineRule="auto" w:line="240" w:before="0" w:after="80"/>
        <w:ind w:hanging="709" w:left="709"/>
        <w:jc w:val="left"/>
        <w:rPr/>
      </w:pPr>
      <w:r>
        <w:rPr/>
        <w:t xml:space="preserve">Janis, I. L. (1972). </w:t>
      </w:r>
      <w:r>
        <w:rPr>
          <w:i/>
        </w:rPr>
        <w:t>Victims of groupthink: A psychological study of foreign-policy decisions and fiascoes</w:t>
      </w:r>
      <w:r>
        <w:rPr/>
        <w:t>. Houghton Mifflin.</w:t>
      </w:r>
    </w:p>
    <w:p>
      <w:pPr>
        <w:pStyle w:val="Normal"/>
        <w:spacing w:lineRule="auto" w:line="240" w:before="0" w:after="80"/>
        <w:ind w:hanging="709" w:left="709"/>
        <w:jc w:val="left"/>
        <w:rPr/>
      </w:pPr>
      <w:r>
        <w:rPr/>
        <w:t xml:space="preserve">Jensen, M. C., &amp; Meckling, W. H. (1976). Theory of the firm: Managerial behavior, agency costs and ownership structure. </w:t>
      </w:r>
      <w:r>
        <w:rPr>
          <w:i/>
        </w:rPr>
        <w:t>Journal of Financial Economics, 3</w:t>
      </w:r>
      <w:r>
        <w:rPr/>
        <w:t>(4), 305–360.</w:t>
      </w:r>
    </w:p>
    <w:p>
      <w:pPr>
        <w:pStyle w:val="Normal"/>
        <w:spacing w:lineRule="auto" w:line="240" w:before="0" w:after="80"/>
        <w:ind w:hanging="709" w:left="709"/>
        <w:jc w:val="left"/>
        <w:rPr/>
      </w:pPr>
      <w:r>
        <w:rPr/>
        <w:t xml:space="preserve">Jungmann, C. (2006). The effectiveness of corporate governance in one-tier and two-tier board systems: Evidence from the UK and Germany. </w:t>
      </w:r>
      <w:r>
        <w:rPr>
          <w:i/>
        </w:rPr>
        <w:t>European Company and Financial Law Review, 3</w:t>
      </w:r>
      <w:r>
        <w:rPr/>
        <w:t>(4), 426–474.</w:t>
      </w:r>
    </w:p>
    <w:p>
      <w:pPr>
        <w:pStyle w:val="Normal"/>
        <w:spacing w:lineRule="auto" w:line="240" w:before="0" w:after="80"/>
        <w:ind w:hanging="709" w:left="709"/>
        <w:jc w:val="left"/>
        <w:rPr/>
      </w:pPr>
      <w:r>
        <w:rPr/>
        <w:t xml:space="preserve">Kahneman, D. (2012). Two systems in the mind. </w:t>
      </w:r>
      <w:r>
        <w:rPr>
          <w:i/>
        </w:rPr>
        <w:t>Bulletin of the American Academy of Arts and Sciences, 65</w:t>
      </w:r>
      <w:r>
        <w:rPr/>
        <w:t>(2), 55–59.</w:t>
      </w:r>
    </w:p>
    <w:p>
      <w:pPr>
        <w:pStyle w:val="Normal"/>
        <w:spacing w:lineRule="auto" w:line="240" w:before="0" w:after="80"/>
        <w:ind w:hanging="709" w:left="709"/>
        <w:jc w:val="left"/>
        <w:rPr/>
      </w:pPr>
      <w:r>
        <w:rPr/>
        <w:t xml:space="preserve">Kahneman, D., Lovallo, D., &amp; Sibony, O. (2011). Before you make that big decision. </w:t>
      </w:r>
      <w:r>
        <w:rPr>
          <w:i/>
        </w:rPr>
        <w:t>Harvard Business Review, 89</w:t>
      </w:r>
      <w:r>
        <w:rPr/>
        <w:t>(6), 50–60.</w:t>
      </w:r>
    </w:p>
    <w:p>
      <w:pPr>
        <w:pStyle w:val="Normal"/>
        <w:spacing w:lineRule="auto" w:line="240" w:before="0" w:after="80"/>
        <w:ind w:hanging="709" w:left="709"/>
        <w:jc w:val="left"/>
        <w:rPr/>
      </w:pPr>
      <w:r>
        <w:rPr/>
        <w:t xml:space="preserve">Klein, G. (2007). Performing a project premortem. </w:t>
      </w:r>
      <w:r>
        <w:rPr>
          <w:i/>
        </w:rPr>
        <w:t>Harvard Business Review, 85</w:t>
      </w:r>
      <w:r>
        <w:rPr/>
        <w:t>(9), 18–19.</w:t>
      </w:r>
    </w:p>
    <w:p>
      <w:pPr>
        <w:pStyle w:val="Normal"/>
        <w:spacing w:lineRule="auto" w:line="240" w:before="0" w:after="80"/>
        <w:ind w:hanging="709" w:left="709"/>
        <w:jc w:val="left"/>
        <w:rPr/>
      </w:pPr>
      <w:r>
        <w:rPr/>
        <w:t xml:space="preserve">Kunz, P. V. (2010). Swiss corporate governance: An overview. In </w:t>
      </w:r>
      <w:r>
        <w:rPr>
          <w:i/>
        </w:rPr>
        <w:t>Rapports suisses présentés au XVIIIe Congrès international de droit comparé</w:t>
      </w:r>
      <w:r>
        <w:rPr/>
        <w:t xml:space="preserve"> (pp. 99–134).</w:t>
      </w:r>
    </w:p>
    <w:p>
      <w:pPr>
        <w:pStyle w:val="Normal"/>
        <w:spacing w:lineRule="auto" w:line="240" w:before="0" w:after="80"/>
        <w:ind w:hanging="709" w:left="709"/>
        <w:jc w:val="left"/>
        <w:rPr/>
      </w:pPr>
      <w:r>
        <w:rPr/>
        <w:t xml:space="preserve">Lamari, M. (2010). Le transfert intergénérationnel des connaissances tacites : les concepts utilisés et les évidences empiriques démontrées. </w:t>
      </w:r>
      <w:r>
        <w:rPr>
          <w:i/>
        </w:rPr>
        <w:t>Télescope, 16</w:t>
      </w:r>
      <w:r>
        <w:rPr/>
        <w:t>(1), 39–65.</w:t>
      </w:r>
    </w:p>
    <w:p>
      <w:pPr>
        <w:pStyle w:val="Normal"/>
        <w:spacing w:lineRule="auto" w:line="240" w:before="0" w:after="80"/>
        <w:ind w:hanging="709" w:left="709"/>
        <w:jc w:val="left"/>
        <w:rPr/>
      </w:pPr>
      <w:r>
        <w:rPr/>
        <w:t xml:space="preserve">Lima, L., &amp; Galleli, B. (2021). Human resources management and corporate governance: Integration perspectives and future directions. </w:t>
      </w:r>
      <w:r>
        <w:rPr>
          <w:i/>
        </w:rPr>
        <w:t>European Management Journal, 39</w:t>
      </w:r>
      <w:r>
        <w:rPr/>
        <w:t>(6), 731–744.</w:t>
      </w:r>
    </w:p>
    <w:p>
      <w:pPr>
        <w:pStyle w:val="Normal"/>
        <w:spacing w:lineRule="auto" w:line="240" w:before="0" w:after="80"/>
        <w:ind w:hanging="709" w:left="709"/>
        <w:jc w:val="left"/>
        <w:rPr/>
      </w:pPr>
      <w:r>
        <w:rPr/>
        <w:t xml:space="preserve">Martin, G., Farndale, E., Paauwe, J., &amp; Stiles, P. G. (2016). Corporate governance and strategic human resource management: Four archetypes and proposals for a new approach to corporate sustainability. </w:t>
      </w:r>
      <w:r>
        <w:rPr>
          <w:i/>
        </w:rPr>
        <w:t>European Management Journal, 34</w:t>
      </w:r>
      <w:r>
        <w:rPr/>
        <w:t>(1), 22–35.</w:t>
      </w:r>
    </w:p>
    <w:p>
      <w:pPr>
        <w:pStyle w:val="Normal"/>
        <w:spacing w:lineRule="auto" w:line="240" w:before="0" w:after="80"/>
        <w:ind w:hanging="709" w:left="709"/>
        <w:jc w:val="left"/>
        <w:rPr/>
      </w:pPr>
      <w:r>
        <w:rPr/>
        <w:t xml:space="preserve">McCormick, M. J., &amp; Martinko, M. J. (2004). Identifying leader social cognitions: Integrating the causal reasoning perspective into social cognitive theory. </w:t>
      </w:r>
      <w:r>
        <w:rPr>
          <w:i/>
        </w:rPr>
        <w:t>Journal of Leadership &amp; Organizational Studies, 10</w:t>
      </w:r>
      <w:r>
        <w:rPr/>
        <w:t>(4), 2–11.</w:t>
      </w:r>
    </w:p>
    <w:p>
      <w:pPr>
        <w:pStyle w:val="Normal"/>
        <w:spacing w:lineRule="auto" w:line="240" w:before="0" w:after="80"/>
        <w:ind w:hanging="709" w:left="709"/>
        <w:jc w:val="left"/>
        <w:rPr/>
      </w:pPr>
      <w:r>
        <w:rPr/>
        <w:t xml:space="preserve">Meyer, J. W., &amp; Rowan, B. (1977). Institutionalized organizations: Formal structure as myth and ceremony. </w:t>
      </w:r>
      <w:r>
        <w:rPr>
          <w:i/>
        </w:rPr>
        <w:t>American Journal of Sociology, 83</w:t>
      </w:r>
      <w:r>
        <w:rPr/>
        <w:t>(2), 340–363.</w:t>
      </w:r>
    </w:p>
    <w:p>
      <w:pPr>
        <w:pStyle w:val="Normal"/>
        <w:spacing w:lineRule="auto" w:line="240" w:before="0" w:after="80"/>
        <w:ind w:hanging="709" w:left="709"/>
        <w:jc w:val="left"/>
        <w:rPr/>
      </w:pPr>
      <w:r>
        <w:rPr/>
        <w:t xml:space="preserve">Nonaka, I., &amp; Takeuchi, H. (1995). </w:t>
      </w:r>
      <w:r>
        <w:rPr>
          <w:i/>
        </w:rPr>
        <w:t>The knowledge-creating company: How Japanese companies create the dynamics of innovation</w:t>
      </w:r>
      <w:r>
        <w:rPr/>
        <w:t>. Oxford University Press.</w:t>
      </w:r>
    </w:p>
    <w:p>
      <w:pPr>
        <w:pStyle w:val="Normal"/>
        <w:spacing w:lineRule="auto" w:line="240" w:before="0" w:after="80"/>
        <w:ind w:hanging="709" w:left="709"/>
        <w:jc w:val="left"/>
        <w:rPr/>
      </w:pPr>
      <w:r>
        <w:rPr/>
        <w:t xml:space="preserve">Ocasio, W. (1997). Towards an attention-based view of the firm. </w:t>
      </w:r>
      <w:r>
        <w:rPr>
          <w:i/>
        </w:rPr>
        <w:t>Strategic Management Journal, 18</w:t>
      </w:r>
      <w:r>
        <w:rPr/>
        <w:t>(S1), 187–206.</w:t>
      </w:r>
    </w:p>
    <w:p>
      <w:pPr>
        <w:pStyle w:val="Normal"/>
        <w:spacing w:lineRule="auto" w:line="240" w:before="0" w:after="80"/>
        <w:ind w:hanging="709" w:left="709"/>
        <w:jc w:val="left"/>
        <w:rPr/>
      </w:pPr>
      <w:r>
        <w:rPr/>
        <w:t xml:space="preserve">Petrovic, J., Saridakis, G., &amp; Johnstone, S. (2018). An integrative approach to HRM–firm performance relationship: A missing link to corporate governance. </w:t>
      </w:r>
      <w:r>
        <w:rPr>
          <w:i/>
        </w:rPr>
        <w:t>Corporate Governance, 18</w:t>
      </w:r>
      <w:r>
        <w:rPr/>
        <w:t>(2), 331–352.</w:t>
      </w:r>
    </w:p>
    <w:p>
      <w:pPr>
        <w:pStyle w:val="Normal"/>
        <w:spacing w:lineRule="auto" w:line="240" w:before="0" w:after="80"/>
        <w:ind w:hanging="709" w:left="709"/>
        <w:jc w:val="left"/>
        <w:rPr/>
      </w:pPr>
      <w:r>
        <w:rPr/>
        <w:t xml:space="preserve">Pfeffer, J. (1992). </w:t>
      </w:r>
      <w:r>
        <w:rPr>
          <w:i/>
        </w:rPr>
        <w:t>Managing with power: Politics and influence in organizations</w:t>
      </w:r>
      <w:r>
        <w:rPr/>
        <w:t>. Harvard Business School Press.</w:t>
      </w:r>
    </w:p>
    <w:p>
      <w:pPr>
        <w:pStyle w:val="Normal"/>
        <w:spacing w:lineRule="auto" w:line="240" w:before="0" w:after="80"/>
        <w:ind w:hanging="709" w:left="709"/>
        <w:jc w:val="left"/>
        <w:rPr/>
      </w:pPr>
      <w:r>
        <w:rPr/>
        <w:t xml:space="preserve">Polanyi, M. (1966). The logic of tacit inference. </w:t>
      </w:r>
      <w:r>
        <w:rPr>
          <w:i/>
        </w:rPr>
        <w:t>Philosophy, 41</w:t>
      </w:r>
      <w:r>
        <w:rPr/>
        <w:t>(155), 1–18.</w:t>
      </w:r>
    </w:p>
    <w:p>
      <w:pPr>
        <w:pStyle w:val="Normal"/>
        <w:spacing w:lineRule="auto" w:line="240" w:before="0" w:after="80"/>
        <w:ind w:hanging="709" w:left="709"/>
        <w:jc w:val="left"/>
        <w:rPr/>
      </w:pPr>
      <w:r>
        <w:rPr/>
        <w:t xml:space="preserve">Prévot, F., Brulhart, F., &amp; Guieu, G. (2010). Perspectives fondées sur les ressources : proposition de synthèse. </w:t>
      </w:r>
      <w:r>
        <w:rPr>
          <w:i/>
        </w:rPr>
        <w:t>Revue française de gestion, 204</w:t>
      </w:r>
      <w:r>
        <w:rPr/>
        <w:t>(5), 87–103.</w:t>
      </w:r>
    </w:p>
    <w:p>
      <w:pPr>
        <w:pStyle w:val="Normal"/>
        <w:spacing w:lineRule="auto" w:line="240" w:before="0" w:after="80"/>
        <w:ind w:hanging="709" w:left="709"/>
        <w:jc w:val="left"/>
        <w:rPr/>
      </w:pPr>
      <w:r>
        <w:rPr/>
        <w:t xml:space="preserve">Reichel, A., &amp; Lazarova, M. (2013). The effects of outsourcing and devolvement on the strategic position of HR departments. </w:t>
      </w:r>
      <w:r>
        <w:rPr>
          <w:i/>
        </w:rPr>
        <w:t>Human Resource Management, 52</w:t>
      </w:r>
      <w:r>
        <w:rPr/>
        <w:t>(6), 923–946.</w:t>
      </w:r>
    </w:p>
    <w:p>
      <w:pPr>
        <w:pStyle w:val="Normal"/>
        <w:spacing w:lineRule="auto" w:line="240" w:before="0" w:after="80"/>
        <w:ind w:hanging="709" w:left="709"/>
        <w:jc w:val="left"/>
        <w:rPr/>
      </w:pPr>
      <w:r>
        <w:rPr/>
        <w:t xml:space="preserve">Ritz, A. (2009). La motivation de service public et la performance organisationnelle au sein de l'administration fédérale suisse. </w:t>
      </w:r>
      <w:r>
        <w:rPr>
          <w:i/>
        </w:rPr>
        <w:t>Revue Internationale des Sciences Administratives, 75</w:t>
      </w:r>
      <w:r>
        <w:rPr/>
        <w:t>(1), 59–86.</w:t>
      </w:r>
    </w:p>
    <w:p>
      <w:pPr>
        <w:pStyle w:val="Normal"/>
        <w:spacing w:lineRule="auto" w:line="240" w:before="0" w:after="80"/>
        <w:ind w:hanging="709" w:left="709"/>
        <w:jc w:val="left"/>
        <w:rPr/>
      </w:pPr>
      <w:r>
        <w:rPr/>
        <w:t xml:space="preserve">Schmid, M. M., &amp; Zimmermann, H. (2008). Should chairman and CEO be separated? Leadership structure and firm performance in Switzerland. </w:t>
      </w:r>
      <w:r>
        <w:rPr>
          <w:i/>
        </w:rPr>
        <w:t>Schmalenbach Business Review, 60</w:t>
      </w:r>
      <w:r>
        <w:rPr/>
        <w:t>(2), 182–204.</w:t>
      </w:r>
    </w:p>
    <w:p>
      <w:pPr>
        <w:pStyle w:val="Normal"/>
        <w:spacing w:lineRule="auto" w:line="240" w:before="0" w:after="80"/>
        <w:ind w:hanging="709" w:left="709"/>
        <w:jc w:val="left"/>
        <w:rPr/>
      </w:pPr>
      <w:r>
        <w:rPr/>
        <w:t xml:space="preserve">Schwenk, C. R. (1988). The cognitive perspective on strategic decision making. </w:t>
      </w:r>
      <w:r>
        <w:rPr>
          <w:i/>
        </w:rPr>
        <w:t>Journal of Management Studies, 25</w:t>
      </w:r>
      <w:r>
        <w:rPr/>
        <w:t>(1), 41–55.</w:t>
      </w:r>
    </w:p>
    <w:p>
      <w:pPr>
        <w:pStyle w:val="Normal"/>
        <w:spacing w:lineRule="auto" w:line="240" w:before="0" w:after="80"/>
        <w:ind w:hanging="709" w:left="709"/>
        <w:jc w:val="left"/>
        <w:rPr/>
      </w:pPr>
      <w:r>
        <w:rPr/>
        <w:t xml:space="preserve">Sheehan, C., De Cieri, H., Cooper, B., &amp; Brooks, R. (2014). Exploring the power dimensions of the human resource function. </w:t>
      </w:r>
      <w:r>
        <w:rPr>
          <w:i/>
        </w:rPr>
        <w:t>Human Resource Management Journal, 24</w:t>
      </w:r>
      <w:r>
        <w:rPr/>
        <w:t>(2), 193–210.</w:t>
      </w:r>
    </w:p>
    <w:p>
      <w:pPr>
        <w:pStyle w:val="Normal"/>
        <w:spacing w:lineRule="auto" w:line="240" w:before="0" w:after="80"/>
        <w:ind w:hanging="709" w:left="709"/>
        <w:jc w:val="left"/>
        <w:rPr/>
      </w:pPr>
      <w:r>
        <w:rPr/>
        <w:t xml:space="preserve">Simonson, I., &amp; Staw, B. M. (1992). Deescalation strategies: A comparison of techniques for reducing commitment to losing courses of action. </w:t>
      </w:r>
      <w:r>
        <w:rPr>
          <w:i/>
        </w:rPr>
        <w:t>Journal of Applied Psychology, 77</w:t>
      </w:r>
      <w:r>
        <w:rPr/>
        <w:t>(4), 419–426.</w:t>
      </w:r>
    </w:p>
    <w:p>
      <w:pPr>
        <w:pStyle w:val="Normal"/>
        <w:spacing w:lineRule="auto" w:line="240" w:before="0" w:after="80"/>
        <w:ind w:hanging="709" w:left="709"/>
        <w:jc w:val="left"/>
        <w:rPr/>
      </w:pPr>
      <w:r>
        <w:rPr/>
        <w:t xml:space="preserve">Sirmon, D. G., Hitt, M. A., Ireland, R. D., &amp; Gilbert, B. A. (2011). Resource orchestration to create competitive advantage: Breadth, depth, and life cycle effects. </w:t>
      </w:r>
      <w:r>
        <w:rPr>
          <w:i/>
        </w:rPr>
        <w:t>Journal of Management, 37</w:t>
      </w:r>
      <w:r>
        <w:rPr/>
        <w:t>(5), 1390–1412.</w:t>
      </w:r>
    </w:p>
    <w:p>
      <w:pPr>
        <w:pStyle w:val="Normal"/>
        <w:spacing w:lineRule="auto" w:line="240" w:before="0" w:after="80"/>
        <w:ind w:hanging="709" w:left="709"/>
        <w:jc w:val="left"/>
        <w:rPr/>
      </w:pPr>
      <w:r>
        <w:rPr/>
        <w:t xml:space="preserve">Stinchcombe, A. L. (1965). Social structure and organizations. In J. G. March (Ed.), </w:t>
      </w:r>
      <w:r>
        <w:rPr>
          <w:i/>
        </w:rPr>
        <w:t>Handbook of organizations</w:t>
      </w:r>
      <w:r>
        <w:rPr/>
        <w:t xml:space="preserve"> (pp. 142–193). Rand McNally.</w:t>
      </w:r>
    </w:p>
    <w:p>
      <w:pPr>
        <w:pStyle w:val="Normal"/>
        <w:spacing w:lineRule="auto" w:line="240" w:before="0" w:after="80"/>
        <w:ind w:hanging="709" w:left="709"/>
        <w:jc w:val="left"/>
        <w:rPr/>
      </w:pPr>
      <w:r>
        <w:rPr/>
        <w:t xml:space="preserve">Tetlock, P. E. (2000). Cognitive biases and organizational correctives: Do both disease and cure depend on the politics of the beholder? </w:t>
      </w:r>
      <w:r>
        <w:rPr>
          <w:i/>
        </w:rPr>
        <w:t>Administrative Science Quarterly, 45</w:t>
      </w:r>
      <w:r>
        <w:rPr/>
        <w:t>(2), 293–326.</w:t>
      </w:r>
    </w:p>
    <w:p>
      <w:pPr>
        <w:pStyle w:val="Normal"/>
        <w:spacing w:lineRule="auto" w:line="240" w:before="0" w:after="80"/>
        <w:ind w:hanging="709" w:left="709"/>
        <w:jc w:val="left"/>
        <w:rPr/>
      </w:pPr>
      <w:r>
        <w:rPr/>
        <w:t xml:space="preserve">Tversky, A., &amp; Kahneman, D. (1974). Judgment under uncertainty: Heuristics and biases. </w:t>
      </w:r>
      <w:r>
        <w:rPr>
          <w:i/>
        </w:rPr>
        <w:t>Science, 185</w:t>
      </w:r>
      <w:r>
        <w:rPr/>
        <w:t>(4157), 1124–1131.</w:t>
      </w:r>
    </w:p>
    <w:p>
      <w:pPr>
        <w:pStyle w:val="Normal"/>
        <w:spacing w:lineRule="auto" w:line="240" w:before="0" w:after="80"/>
        <w:ind w:hanging="709" w:left="709"/>
        <w:jc w:val="left"/>
        <w:rPr/>
      </w:pPr>
      <w:r>
        <w:rPr/>
        <w:t xml:space="preserve">Vandenabeele, W., Brewer, G. A., &amp; Ritz, A. (2014). Past, present, and future of public service motivation research. </w:t>
      </w:r>
      <w:r>
        <w:rPr>
          <w:i/>
        </w:rPr>
        <w:t>Public Administration, 92</w:t>
      </w:r>
      <w:r>
        <w:rPr/>
        <w:t>(4), 779–789.</w:t>
      </w:r>
    </w:p>
    <w:p>
      <w:pPr>
        <w:pStyle w:val="Normal"/>
        <w:spacing w:lineRule="auto" w:line="240" w:before="0" w:after="80"/>
        <w:ind w:hanging="709" w:left="709"/>
        <w:jc w:val="left"/>
        <w:rPr/>
      </w:pPr>
      <w:r>
        <w:rPr/>
        <w:t xml:space="preserve">Walker, J. (2026, 23 juin). Le rôle des ressources humaines est-il d'aider les employés ? Voici ce que les jeunes professionnels doivent savoir. </w:t>
      </w:r>
      <w:r>
        <w:rPr>
          <w:i/>
        </w:rPr>
        <w:t>The Conversation</w:t>
      </w:r>
      <w:r>
        <w:rPr/>
        <w:t>. https://theconversation.com/le-role-des-ressources-humaines-est-il-daider-les-employes-voici-ce-que-les-jeunes-professionnels-doivent-savoir-279497</w:t>
      </w:r>
    </w:p>
    <w:p>
      <w:pPr>
        <w:pStyle w:val="Normal"/>
        <w:spacing w:lineRule="auto" w:line="240" w:before="0" w:after="80"/>
        <w:ind w:hanging="709" w:left="709"/>
        <w:jc w:val="left"/>
        <w:rPr/>
      </w:pPr>
      <w:r>
        <w:rPr/>
        <w:t xml:space="preserve">Waterman, R. W., &amp; Meier, K. J. (1998). Principal-agent models: An expansion? </w:t>
      </w:r>
      <w:r>
        <w:rPr>
          <w:i/>
        </w:rPr>
        <w:t>Journal of Public Administration Research and Theory, 8</w:t>
      </w:r>
      <w:r>
        <w:rPr/>
        <w:t>(2), 173–202.</w:t>
      </w:r>
    </w:p>
    <w:p>
      <w:pPr>
        <w:pStyle w:val="Normal"/>
        <w:spacing w:lineRule="auto" w:line="240" w:before="0" w:after="80"/>
        <w:ind w:hanging="709" w:left="709"/>
        <w:jc w:val="left"/>
        <w:rPr/>
      </w:pPr>
      <w:r>
        <w:rPr/>
        <w:t xml:space="preserve">Weick, K. E. (1995). </w:t>
      </w:r>
      <w:r>
        <w:rPr>
          <w:i/>
        </w:rPr>
        <w:t>Sensemaking in organizations</w:t>
      </w:r>
      <w:r>
        <w:rPr/>
        <w:t>. Sage.</w:t>
      </w:r>
    </w:p>
    <w:p>
      <w:pPr>
        <w:pStyle w:val="Heading3"/>
        <w:rPr/>
      </w:pPr>
      <w:r>
        <w:rPr/>
        <w:t>Supports de cours et sources institutionnelles</w:t>
      </w:r>
    </w:p>
    <w:p>
      <w:pPr>
        <w:pStyle w:val="Normal"/>
        <w:spacing w:lineRule="auto" w:line="240" w:before="0" w:after="80"/>
        <w:ind w:hanging="709" w:left="709"/>
        <w:jc w:val="left"/>
        <w:rPr/>
      </w:pPr>
      <w:r>
        <w:rPr/>
        <w:t xml:space="preserve">Bédat, J. (2026). </w:t>
      </w:r>
      <w:r>
        <w:rPr>
          <w:i/>
        </w:rPr>
        <w:t>Orchestration stratégique RH</w:t>
      </w:r>
      <w:r>
        <w:rPr/>
        <w:t xml:space="preserve"> [Support de cours, jours 1 à 4]. CAS Stratégie et organisation, MRHC, Université de Lausanne.</w:t>
      </w:r>
    </w:p>
    <w:p>
      <w:pPr>
        <w:pStyle w:val="Normal"/>
        <w:spacing w:lineRule="auto" w:line="240" w:before="0" w:after="80"/>
        <w:ind w:hanging="709" w:left="709"/>
        <w:jc w:val="left"/>
        <w:rPr/>
      </w:pPr>
      <w:r>
        <w:rPr/>
        <w:t xml:space="preserve">CHUV. (s.d.). </w:t>
      </w:r>
      <w:r>
        <w:rPr>
          <w:i/>
        </w:rPr>
        <w:t>Le 144 sera rattaché au CHUV et la Centrale téléphonique des médecins de garde à Unisanté</w:t>
      </w:r>
      <w:r>
        <w:rPr/>
        <w:t xml:space="preserve"> [Communiqué]. https://www.chuv.ch/fr/journalistes/communique/le-144-sera-rattache-au-chuv-et-la-centrale-telephonique-des-medecins-de-garde-a-unisante</w:t>
      </w:r>
    </w:p>
    <w:p>
      <w:pPr>
        <w:pStyle w:val="Normal"/>
        <w:spacing w:lineRule="auto" w:line="240" w:before="0" w:after="80"/>
        <w:ind w:hanging="709" w:left="709"/>
        <w:jc w:val="left"/>
        <w:rPr/>
      </w:pPr>
      <w:r>
        <w:rPr/>
        <w:t xml:space="preserve">État de Vaud. (s.d.-a). </w:t>
      </w:r>
      <w:r>
        <w:rPr>
          <w:i/>
        </w:rPr>
        <w:t>Fondation Urgences Santé : rattachements des centrales d'appel</w:t>
      </w:r>
      <w:r>
        <w:rPr/>
        <w:t>. https://www.vd.ch/toutes-les-actualites/news/i-fondation-urgences-sante</w:t>
      </w:r>
    </w:p>
    <w:p>
      <w:pPr>
        <w:pStyle w:val="Normal"/>
        <w:spacing w:lineRule="auto" w:line="240" w:before="0" w:after="80"/>
        <w:ind w:hanging="709" w:left="709"/>
        <w:jc w:val="left"/>
        <w:rPr/>
      </w:pPr>
      <w:r>
        <w:rPr/>
        <w:t xml:space="preserve">État de Vaud. (s.d.-b). </w:t>
      </w:r>
      <w:r>
        <w:rPr>
          <w:i/>
        </w:rPr>
        <w:t>Le Conseil d'État désigne le directeur général d'Unisanté</w:t>
      </w:r>
      <w:r>
        <w:rPr/>
        <w:t xml:space="preserve"> [Communiqué]. https://www.vd.ch/actualites/actualite/news/24942-le-conseil-detat-designe-le-dr-karim-boubaker-comme-directeur-general-dunisante</w:t>
      </w:r>
    </w:p>
    <w:p>
      <w:pPr>
        <w:pStyle w:val="Normal"/>
        <w:spacing w:lineRule="auto" w:line="240" w:before="0" w:after="80"/>
        <w:ind w:hanging="709" w:left="709"/>
        <w:jc w:val="left"/>
        <w:rPr/>
      </w:pPr>
      <w:r>
        <w:rPr/>
        <w:t xml:space="preserve">État de Vaud. (s.d.-c). </w:t>
      </w:r>
      <w:r>
        <w:rPr>
          <w:i/>
        </w:rPr>
        <w:t>Membres du Conseil d'Unisanté pour 2022-2027</w:t>
      </w:r>
      <w:r>
        <w:rPr/>
        <w:t xml:space="preserve"> [Décision du Conseil d'État]. https://www.vd.ch/toutes-les-actualites/decisions-du-conseil-detat/seance-du-conseil-detat/decision/decision/2f2fc729-ddd7-4f12-a035-68e85f187c98</w:t>
      </w:r>
    </w:p>
    <w:p>
      <w:pPr>
        <w:pStyle w:val="Normal"/>
        <w:spacing w:lineRule="auto" w:line="240" w:before="0" w:after="80"/>
        <w:ind w:hanging="709" w:left="709"/>
        <w:jc w:val="left"/>
        <w:rPr/>
      </w:pPr>
      <w:r>
        <w:rPr/>
        <w:t xml:space="preserve">Unisanté. (2022). </w:t>
      </w:r>
      <w:r>
        <w:rPr>
          <w:i/>
        </w:rPr>
        <w:t>Plan stratégique 2020-2024 : bilan intermédiaire 2022</w:t>
      </w:r>
      <w:r>
        <w:rPr/>
        <w:t>. https://www.unisante.ch/fr/media/1208/download</w:t>
      </w:r>
    </w:p>
    <w:p>
      <w:pPr>
        <w:pStyle w:val="Normal"/>
        <w:spacing w:lineRule="auto" w:line="240" w:before="0" w:after="80"/>
        <w:ind w:hanging="709" w:left="709"/>
        <w:jc w:val="left"/>
        <w:rPr/>
      </w:pPr>
      <w:r>
        <w:rPr/>
        <w:t xml:space="preserve">Unisanté. (s.d.-a). </w:t>
      </w:r>
      <w:r>
        <w:rPr>
          <w:i/>
        </w:rPr>
        <w:t>Comité de direction</w:t>
      </w:r>
      <w:r>
        <w:rPr/>
        <w:t>. https://www.unisante.ch/fr/propos-dunisante/unisante-bref/comite-direction</w:t>
      </w:r>
    </w:p>
    <w:p>
      <w:pPr>
        <w:pStyle w:val="Normal"/>
        <w:spacing w:lineRule="auto" w:line="240" w:before="0" w:after="80"/>
        <w:ind w:hanging="709" w:left="709"/>
        <w:jc w:val="left"/>
        <w:rPr/>
      </w:pPr>
      <w:r>
        <w:rPr/>
        <w:t xml:space="preserve">Unisanté. (s.d.-b). </w:t>
      </w:r>
      <w:r>
        <w:rPr>
          <w:i/>
        </w:rPr>
        <w:t>Conseil d'Unisanté</w:t>
      </w:r>
      <w:r>
        <w:rPr/>
        <w:t>. https://www.unisante.ch/fr/propos-dunisante/unisante-bref/conseil-dunisante</w:t>
      </w:r>
    </w:p>
    <w:p>
      <w:pPr>
        <w:pStyle w:val="Normal"/>
        <w:spacing w:lineRule="auto" w:line="240" w:before="0" w:after="80"/>
        <w:ind w:hanging="709" w:left="709"/>
        <w:jc w:val="left"/>
        <w:rPr/>
      </w:pPr>
      <w:r>
        <w:rPr/>
        <w:t xml:space="preserve">Unisanté. (s.d.-c). </w:t>
      </w:r>
      <w:r>
        <w:rPr>
          <w:i/>
        </w:rPr>
        <w:t>Département urgences et santé communautaires (DUSC)</w:t>
      </w:r>
      <w:r>
        <w:rPr/>
        <w:t>. https://www.unisante.ch/fr/propos-dunisante/unisante-bref/departements/departement-urgences-sante-communautaires-dusc</w:t>
      </w:r>
      <w:r>
        <w:br w:type="page"/>
      </w:r>
    </w:p>
    <w:p>
      <w:pPr>
        <w:pStyle w:val="Heading1"/>
        <w:rPr/>
      </w:pPr>
      <w:bookmarkStart w:id="35" w:name="__RefHeading___Toc1174_2457650332"/>
      <w:bookmarkEnd w:id="35"/>
      <w:r>
        <w:rPr/>
        <w:t>Annexes</w:t>
      </w:r>
    </w:p>
    <w:p>
      <w:pPr>
        <w:pStyle w:val="Heading2"/>
        <w:rPr/>
      </w:pPr>
      <w:bookmarkStart w:id="36" w:name="__RefHeading___Toc1176_2457650332"/>
      <w:bookmarkEnd w:id="36"/>
      <w:r>
        <w:rPr/>
        <w:t>Annexe A – Organigrammes</w:t>
      </w:r>
    </w:p>
    <w:p>
      <w:pPr>
        <w:pStyle w:val="Normal"/>
        <w:rPr/>
      </w:pPr>
      <w:r>
        <w:rPr>
          <w:b/>
        </w:rPr>
        <w:t>Tableau A1. Structure hiérarchique et fonctionnelle, d'Unisanté à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Exemple CTMG / 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Gouvernance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superviser, contrôler</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Stratégique / exécutif</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Traduire la stratégie et diriger l'institution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comité de direction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Tactique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un domaine ou un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DUSC, responsables départementaux</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Faire fonctionner l'activité au quotidien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CTMG</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 de proximité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l'activité en temps réel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Exécution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Réaliser la prestation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Régulateurs sanitaires</w:t>
            </w:r>
          </w:p>
        </w:tc>
      </w:tr>
    </w:tbl>
    <w:p>
      <w:pPr>
        <w:pStyle w:val="Normal"/>
        <w:spacing w:before="0" w:after="0"/>
        <w:rPr/>
      </w:pPr>
      <w:r>
        <w:rPr/>
      </w:r>
    </w:p>
    <w:p>
      <w:pPr>
        <w:pStyle w:val="Normal"/>
        <w:rPr/>
      </w:pPr>
      <w:r>
        <w:rPr>
          <w:b/>
        </w:rPr>
        <w:t>Tableau A2. Structure hiérarchique et fonctionnelle de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Composition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Direction / stratégique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les orientations du service, garantir l'atteinte des objectifs, arbitrer les ressources, assurer l'interface avec la hiérarchie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Encadrement supérieur / médico-managérial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Décliner les orientations, superviser les activités, assurer le pilotage médical et managérial, accompagner les évolutions organisationnelles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cadres et une médecin responsable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Encadrement 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l'activité en temps réel, organiser les ressources, répartir les flux, garantir la continuité et la qualité opérationnelle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chefs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Fonctions expertes / support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Soutenir l'activité par l'administration, la formation, l'expertise médicale et le développement des compétences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Équipe administrative (2) et médecins formateurs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Production opérationnelle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Assurer la réception, l'évaluation, la régulation et l'orientation des demandes sanitaires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16 agents de front-office et 33 régulateurs sanitaires</w:t>
            </w:r>
          </w:p>
        </w:tc>
      </w:tr>
    </w:tbl>
    <w:p>
      <w:pPr>
        <w:pStyle w:val="Normal"/>
        <w:spacing w:before="0" w:after="0"/>
        <w:rPr/>
      </w:pPr>
      <w:r>
        <w:rPr/>
      </w:r>
    </w:p>
    <w:p>
      <w:pPr>
        <w:pStyle w:val="Normal"/>
        <w:rPr/>
      </w:pPr>
      <w:r>
        <w:rPr>
          <w:i/>
        </w:rPr>
        <w:t>Source : organigramme établi par l'auteur à partir de sa connaissance du service.</w:t>
      </w:r>
      <w:r>
        <w:br w:type="page"/>
      </w:r>
    </w:p>
    <w:p>
      <w:pPr>
        <w:pStyle w:val="Heading2"/>
        <w:rPr/>
      </w:pPr>
      <w:bookmarkStart w:id="37" w:name="__RefHeading___Toc1178_2457650332"/>
      <w:bookmarkEnd w:id="37"/>
      <w:r>
        <w:rPr/>
        <w:t>Annexe B – Schéma de l'orchestration stratégique RH, de la CTMG à Unisanté</w:t>
      </w:r>
    </w:p>
    <w:p>
      <w:pPr>
        <w:pStyle w:val="Normal"/>
        <w:keepNext w:val="true"/>
        <w:jc w:val="center"/>
        <w:rPr/>
      </w:pPr>
      <w:r>
        <w:rPr/>
        <w:drawing>
          <wp:inline distT="0" distB="0" distL="0" distR="0">
            <wp:extent cx="5219700" cy="66586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5219700" cy="6658610"/>
                    </a:xfrm>
                    <a:prstGeom prst="rect">
                      <a:avLst/>
                    </a:prstGeom>
                  </pic:spPr>
                </pic:pic>
              </a:graphicData>
            </a:graphic>
          </wp:inline>
        </w:drawing>
      </w:r>
    </w:p>
    <w:p>
      <w:pPr>
        <w:pStyle w:val="Normal"/>
        <w:jc w:val="center"/>
        <w:rPr/>
      </w:pPr>
      <w:r>
        <w:rPr>
          <w:i/>
          <w:sz w:val="19"/>
        </w:rPr>
        <w:t>Figure 1. Structure de gouvernance de la CTMG jusqu'à Unisanté et orchestration stratégique RH observée (synthèse de l'auteur).</w:t>
      </w:r>
    </w:p>
    <w:p>
      <w:pPr>
        <w:pStyle w:val="Normal"/>
        <w:rPr/>
      </w:pPr>
      <w:r>
        <w:rPr>
          <w:i/>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br w:type="page"/>
      </w:r>
    </w:p>
    <w:p>
      <w:pPr>
        <w:pStyle w:val="Heading2"/>
        <w:rPr/>
      </w:pPr>
      <w:bookmarkStart w:id="38" w:name="__RefHeading___Toc1180_2457650332"/>
      <w:bookmarkEnd w:id="38"/>
      <w:r>
        <w:rPr/>
        <w:t>Annexe C – Entretiens</w:t>
      </w:r>
    </w:p>
    <w:p>
      <w:pPr>
        <w:pStyle w:val="Normal"/>
        <w:rPr/>
      </w:pPr>
      <w:r>
        <w:rPr>
          <w:b/>
        </w:rPr>
        <w:t>C1. Entretien avec un chef de salle, infirmier régulateur (E1)</w:t>
      </w:r>
    </w:p>
    <w:p>
      <w:pPr>
        <w:pStyle w:val="Normal"/>
        <w:rPr/>
      </w:pPr>
      <w:r>
        <w:rPr>
          <w:i/>
        </w:rPr>
        <w:t>Date : 16.09.2026. Cadre : entretien téléphonique, consentement recueilli en début d'entretien. Restitution : retranscription automatique (Turboscribe), corrigée et complétée par réécoute. Le prénom de la personne interrogée a été remplacé par « E1 ».</w:t>
      </w:r>
    </w:p>
    <w:p>
      <w:pPr>
        <w:pStyle w:val="Normal"/>
        <w:rPr/>
      </w:pPr>
      <w:r>
        <w:rPr>
          <w:b/>
        </w:rPr>
        <w:t>Auteur :</w:t>
      </w:r>
      <w: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pPr>
        <w:pStyle w:val="Normal"/>
        <w:rPr/>
      </w:pPr>
      <w:r>
        <w:rPr/>
        <w:t>Jérémie : Oui pas de soucis.</w:t>
      </w:r>
    </w:p>
    <w:p>
      <w:pPr>
        <w:pStyle w:val="Normal"/>
        <w:rPr/>
      </w:pPr>
      <w:r>
        <w:rPr/>
        <w:t>Azdine : Très bien, je t'en remercie. Pour commencer, peux-tu présenter rapidement ton rôle à la CTMG ?</w:t>
      </w:r>
    </w:p>
    <w:p>
      <w:pPr>
        <w:pStyle w:val="Normal"/>
        <w:rPr/>
      </w:pPr>
      <w:r>
        <w:rPr>
          <w:b/>
        </w:rPr>
        <w:t>E1 :</w:t>
      </w:r>
      <w:r>
        <w:rPr/>
        <w:t xml:space="preserve">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pPr>
        <w:pStyle w:val="Normal"/>
        <w:rPr/>
      </w:pPr>
      <w:r>
        <w:rPr>
          <w:b/>
        </w:rPr>
        <w:t>Auteur :</w:t>
      </w:r>
      <w:r>
        <w:rPr/>
        <w:t xml:space="preserve"> La CTMG a connu plusieurs changements ces dernières années. Comment tu les as vécus ?</w:t>
      </w:r>
    </w:p>
    <w:p>
      <w:pPr>
        <w:pStyle w:val="Normal"/>
        <w:rPr/>
      </w:pPr>
      <w:r>
        <w:rPr>
          <w:b/>
        </w:rPr>
        <w:t>E1 :</w:t>
      </w:r>
      <w:r>
        <w:rPr/>
        <w:t xml:space="preserve">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pPr>
        <w:pStyle w:val="Normal"/>
        <w:rPr/>
      </w:pPr>
      <w:r>
        <w:rPr/>
        <w:t>La cheffe de service actuelle est arrivée pendant la période de tutelle. Les difficultés qu'on connaît aujourd'hui avec la direction sont venues après.</w:t>
      </w:r>
    </w:p>
    <w:p>
      <w:pPr>
        <w:pStyle w:val="Normal"/>
        <w:rPr/>
      </w:pPr>
      <w:r>
        <w:rPr>
          <w:b/>
        </w:rPr>
        <w:t>Auteur :</w:t>
      </w:r>
      <w:r>
        <w:rPr/>
        <w:t xml:space="preserve"> Qu'est-ce qui a changé selon toi ?</w:t>
      </w:r>
    </w:p>
    <w:p>
      <w:pPr>
        <w:pStyle w:val="Normal"/>
        <w:rPr/>
      </w:pPr>
      <w:r>
        <w:rPr>
          <w:b/>
        </w:rPr>
        <w:t>E1 :</w:t>
      </w:r>
      <w: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pPr>
        <w:pStyle w:val="Normal"/>
        <w:rPr/>
      </w:pPr>
      <w:r>
        <w:rPr>
          <w:b/>
        </w:rPr>
        <w:t>Auteur :</w:t>
      </w:r>
      <w:r>
        <w:rPr/>
        <w:t xml:space="preserve"> Est-ce que tu peux me donner une situation qui t'a particulièrement marqué ?</w:t>
      </w:r>
    </w:p>
    <w:p>
      <w:pPr>
        <w:pStyle w:val="Normal"/>
        <w:rPr/>
      </w:pPr>
      <w:r>
        <w:rPr>
          <w:b/>
        </w:rPr>
        <w:t>E1 :</w:t>
      </w:r>
      <w: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pPr>
        <w:pStyle w:val="Normal"/>
        <w:rPr/>
      </w:pPr>
      <w:r>
        <w:rPr/>
        <w:t>Mais les résultats ne nous ont pas été communiqués. Ensuite, on a reçu un mail des RH qui exprimait leur confiance envers la direction de la CTMG.</w:t>
      </w:r>
    </w:p>
    <w:p>
      <w:pPr>
        <w:pStyle w:val="Normal"/>
        <w:rPr/>
      </w:pPr>
      <w:r>
        <w:rPr>
          <w:b/>
        </w:rPr>
        <w:t>Auteur :</w:t>
      </w:r>
      <w:r>
        <w:rPr/>
        <w:t xml:space="preserve"> Comment ce message a-t-il été reçu ?</w:t>
      </w:r>
    </w:p>
    <w:p>
      <w:pPr>
        <w:pStyle w:val="Normal"/>
        <w:rPr/>
      </w:pPr>
      <w:r>
        <w:rPr>
          <w:b/>
        </w:rPr>
        <w:t>E1 :</w:t>
      </w:r>
      <w: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pPr>
        <w:pStyle w:val="Normal"/>
        <w:rPr/>
      </w:pPr>
      <w:r>
        <w:rPr>
          <w:b/>
        </w:rPr>
        <w:t>Auteur :</w:t>
      </w:r>
      <w:r>
        <w:rPr/>
        <w:t xml:space="preserve"> Est-ce qu'il y a quand même eu des changements après cet audit ?</w:t>
      </w:r>
    </w:p>
    <w:p>
      <w:pPr>
        <w:pStyle w:val="Normal"/>
        <w:rPr/>
      </w:pPr>
      <w:r>
        <w:rPr>
          <w:b/>
        </w:rPr>
        <w:t>E1 :</w:t>
      </w:r>
      <w: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pPr>
        <w:pStyle w:val="Normal"/>
        <w:rPr/>
      </w:pPr>
      <w:r>
        <w:rPr/>
        <w:t>Mais dans la façon de communiquer, oui, il y a eu une amélioration. C'est plus mesuré, plus calme, certaines choses sont mieux formulées.</w:t>
      </w:r>
    </w:p>
    <w:p>
      <w:pPr>
        <w:pStyle w:val="Normal"/>
        <w:rPr/>
      </w:pPr>
      <w:r>
        <w:rPr>
          <w:b/>
        </w:rPr>
        <w:t>Auteur :</w:t>
      </w:r>
      <w:r>
        <w:rPr/>
        <w:t xml:space="preserve"> Et dans le fonctionnement ?</w:t>
      </w:r>
    </w:p>
    <w:p>
      <w:pPr>
        <w:pStyle w:val="Normal"/>
        <w:rPr/>
      </w:pPr>
      <w:r>
        <w:rPr>
          <w:b/>
        </w:rPr>
        <w:t>E1 :</w:t>
      </w:r>
      <w: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pPr>
        <w:pStyle w:val="Normal"/>
        <w:rPr/>
      </w:pPr>
      <w:r>
        <w:rPr>
          <w:b/>
        </w:rPr>
        <w:t>Auteur :</w:t>
      </w:r>
      <w:r>
        <w:rPr/>
        <w:t xml:space="preserve"> Et les cadres, comment sont-ils perçus dans cette situation ?</w:t>
      </w:r>
    </w:p>
    <w:p>
      <w:pPr>
        <w:pStyle w:val="Normal"/>
        <w:rPr/>
      </w:pPr>
      <w:r>
        <w:rPr>
          <w:b/>
        </w:rPr>
        <w:t>E1 :</w:t>
      </w:r>
      <w: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pPr>
        <w:pStyle w:val="Normal"/>
        <w:rPr/>
      </w:pPr>
      <w:r>
        <w:rPr/>
        <w:t>Quand la confiance envers la direction baisse, ça finit forcément par avoir un effet sur eux aussi. Et nous, chefs de salle, on se retrouve encore un niveau en dessous : on reçoit beaucoup de choses du terrain, mais on n'a pas vraiment de pouvoir de décision.</w:t>
      </w:r>
    </w:p>
    <w:p>
      <w:pPr>
        <w:pStyle w:val="Normal"/>
        <w:rPr/>
      </w:pPr>
      <w:r>
        <w:rPr>
          <w:b/>
        </w:rPr>
        <w:t>Auteur :</w:t>
      </w:r>
      <w:r>
        <w:rPr/>
        <w:t xml:space="preserve"> Et les RH d'Unisanté, quelle place ont-elles pour vous ?</w:t>
      </w:r>
    </w:p>
    <w:p>
      <w:pPr>
        <w:pStyle w:val="Normal"/>
        <w:rPr/>
      </w:pPr>
      <w:r>
        <w:rPr>
          <w:b/>
        </w:rPr>
        <w:t>E1 :</w:t>
      </w:r>
      <w:r>
        <w:rPr/>
        <w:t xml:space="preserve"> Elles sont assez éloignées du quotidien. Elles ne travaillent pas à la CTMG. Un RH vient une matinée par semaine, mais je ne pense pas que beaucoup de collègues profitent de cette présence pour aller parler.</w:t>
      </w:r>
    </w:p>
    <w:p>
      <w:pPr>
        <w:pStyle w:val="Normal"/>
        <w:rPr/>
      </w:pPr>
      <w:r>
        <w:rPr>
          <w:b/>
        </w:rPr>
        <w:t>Auteur :</w:t>
      </w:r>
      <w:r>
        <w:rPr/>
        <w:t xml:space="preserve"> Pourquoi ?</w:t>
      </w:r>
    </w:p>
    <w:p>
      <w:pPr>
        <w:pStyle w:val="Normal"/>
        <w:rPr/>
      </w:pPr>
      <w:r>
        <w:rPr>
          <w:b/>
        </w:rPr>
        <w:t>E1 :</w:t>
      </w:r>
      <w:r>
        <w:rPr/>
        <w:t xml:space="preserve"> Parce qu'il y a un problème de confiance. Après tout ce qui s'est passé, une partie des collaborateurs perçoit les RH comme étant plus proches de la direction que des équipes. Le mail envoyé après l'audit n'a probablement pas aidé.</w:t>
      </w:r>
    </w:p>
    <w:p>
      <w:pPr>
        <w:pStyle w:val="Normal"/>
        <w:rPr/>
      </w:pPr>
      <w:r>
        <w:rPr/>
        <w:t>Du coup, même si le RH est présent, certains vont plutôt parler à un collègue ou à un chef de salle. Ils se demandent ce qui va se passer s'ils parlent aux RH, à qui l'information va être transmise et si ça changera réellement quelque chose.</w:t>
      </w:r>
    </w:p>
    <w:p>
      <w:pPr>
        <w:pStyle w:val="Normal"/>
        <w:rPr/>
      </w:pPr>
      <w:r>
        <w:rPr>
          <w:b/>
        </w:rPr>
        <w:t>Auteur :</w:t>
      </w:r>
      <w:r>
        <w:rPr/>
        <w:t xml:space="preserve"> Qu'est-ce que les RH auraient pu faire différemment selon toi ?</w:t>
      </w:r>
    </w:p>
    <w:p>
      <w:pPr>
        <w:pStyle w:val="Normal"/>
        <w:rPr/>
      </w:pPr>
      <w:r>
        <w:rPr>
          <w:b/>
        </w:rPr>
        <w:t>E1 :</w:t>
      </w:r>
      <w:r>
        <w:rPr/>
        <w:t xml:space="preserve"> Déjà être plus présentes quand les difficultés ont commencé à remonter. Pas forcément pour donner raison aux collaborateurs ou à la direction, mais pour écouter et montrer qu'il y avait un espace neutre.</w:t>
      </w:r>
    </w:p>
    <w:p>
      <w:pPr>
        <w:pStyle w:val="Normal"/>
        <w:rPr/>
      </w:pPr>
      <w:r>
        <w:rPr/>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pPr>
        <w:pStyle w:val="Normal"/>
        <w:rPr/>
      </w:pPr>
      <w:r>
        <w:rPr>
          <w:b/>
        </w:rPr>
        <w:t>Auteur :</w:t>
      </w:r>
      <w:r>
        <w:rPr/>
        <w:t xml:space="preserve"> Qu'est-ce qui permettrait aujourd'hui de rétablir la confiance ?</w:t>
      </w:r>
    </w:p>
    <w:p>
      <w:pPr>
        <w:pStyle w:val="Normal"/>
        <w:rPr/>
      </w:pPr>
      <w:r>
        <w:rPr>
          <w:b/>
        </w:rPr>
        <w:t>E1 :</w:t>
      </w:r>
      <w:r>
        <w:rPr/>
        <w:t xml:space="preserve"> Pour moi, il faudrait surtout de la transparence et des actes dans la durée. Les collaborateurs doivent pouvoir voir que lorsqu'un problème remonte, il est entendu, traité et qu'il y a un retour.</w:t>
      </w:r>
    </w:p>
    <w:p>
      <w:pPr>
        <w:pStyle w:val="Normal"/>
        <w:rPr/>
      </w:pPr>
      <w:r>
        <w:rPr/>
        <w:t>La communication est importante, mais elle ne suffit pas. Si on communique mieux mais que les gens ont l'impression que les décisions sont toujours prises de la même façon, la confiance ne revient pas vraiment.</w:t>
      </w:r>
    </w:p>
    <w:p>
      <w:pPr>
        <w:pStyle w:val="Normal"/>
        <w:rPr/>
      </w:pPr>
      <w:r>
        <w:rPr>
          <w:b/>
        </w:rPr>
        <w:t>Auteur :</w:t>
      </w:r>
      <w:r>
        <w:rPr/>
        <w:t xml:space="preserve"> Et si tu devais résumer la situation actuelle ?</w:t>
      </w:r>
    </w:p>
    <w:p>
      <w:pPr>
        <w:pStyle w:val="Normal"/>
        <w:rPr/>
      </w:pPr>
      <w:r>
        <w:rPr>
          <w:b/>
        </w:rPr>
        <w:t>E1 :</w:t>
      </w:r>
      <w: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pPr>
        <w:pStyle w:val="Normal"/>
        <w:rPr/>
      </w:pPr>
      <w:r>
        <w:rPr/>
        <w:t>Azdine : Super, l'entretien touche à sa fin, je te remercie d'y avoir participé et te rappelle encore une fois que cela reste strictement confidentiel dans le cadre de mon devoir de CAS.</w:t>
      </w:r>
    </w:p>
    <w:p>
      <w:pPr>
        <w:pStyle w:val="Normal"/>
        <w:rPr/>
      </w:pPr>
      <w:r>
        <w:rPr/>
        <w:t>Jérémie : Je t'en prie, merci à toi pour cet échange.</w:t>
      </w:r>
    </w:p>
    <w:p>
      <w:pPr>
        <w:pStyle w:val="Normal"/>
        <w:rPr/>
      </w:pPr>
      <w:r>
        <w:rPr>
          <w:b/>
        </w:rPr>
        <w:t>C2. Entretien avec une régulatrice sanitaire, praticienne formatrice (E2)</w:t>
      </w:r>
    </w:p>
    <w:p>
      <w:pPr>
        <w:pStyle w:val="Normal"/>
        <w:rPr/>
      </w:pPr>
      <w:r>
        <w:rPr>
          <w:i/>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r>
        <w:br w:type="page"/>
      </w:r>
    </w:p>
    <w:p>
      <w:pPr>
        <w:pStyle w:val="Heading2"/>
        <w:rPr/>
      </w:pPr>
      <w:bookmarkStart w:id="39" w:name="__RefHeading___Toc1182_2457650332"/>
      <w:bookmarkEnd w:id="39"/>
      <w:r>
        <w:rPr/>
        <w:t>Annexe D – Déclaration d'utilisation de l'intelligence artificielle</w:t>
      </w:r>
    </w:p>
    <w:p>
      <w:pPr>
        <w:pStyle w:val="Normal"/>
        <w:rPr/>
      </w:pPr>
      <w:r>
        <w:rPr>
          <w:b/>
        </w:rPr>
        <w:t>Outil utilisé.</w:t>
      </w:r>
      <w:r>
        <w:rPr/>
        <w:t xml:space="preserve"> Claude (Anthropic), utilisé via l'application Claude Code en septembre 2026.</w:t>
      </w:r>
    </w:p>
    <w:p>
      <w:pPr>
        <w:pStyle w:val="Normal"/>
        <w:rPr/>
      </w:pPr>
      <w:r>
        <w:rPr>
          <w:b/>
        </w:rPr>
        <w:t>Objectifs et étapes.</w:t>
      </w:r>
      <w: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produire le schéma de la figure 1 (script Python) à partir de l'analyse ; (6) relire, vérifier les citations des entretiens, mettre en forme la bibliographie selon les normes APA et produire le document Word.</w:t>
      </w:r>
    </w:p>
    <w:p>
      <w:pPr>
        <w:pStyle w:val="Normal"/>
        <w:rPr/>
      </w:pPr>
      <w:r>
        <w:rPr>
          <w:b/>
        </w:rPr>
        <w:t>Rôle de l'auteur.</w:t>
      </w:r>
      <w: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pPr>
        <w:pStyle w:val="Normal"/>
        <w:rPr/>
      </w:pPr>
      <w:r>
        <w:rPr>
          <w:b/>
        </w:rPr>
        <w:t>Principaux prompts.</w:t>
      </w:r>
      <w: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pPr>
        <w:pStyle w:val="Normal"/>
        <w:rPr/>
      </w:pPr>
      <w:r>
        <w:rPr>
          <w:b/>
        </w:rPr>
        <w:t>Apports et limites.</w:t>
      </w:r>
      <w: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r>
        <w:br w:type="page"/>
      </w:r>
    </w:p>
    <w:p>
      <w:pPr>
        <w:pStyle w:val="Heading2"/>
        <w:rPr/>
      </w:pPr>
      <w:bookmarkStart w:id="40" w:name="__RefHeading___Toc1184_2457650332"/>
      <w:bookmarkEnd w:id="40"/>
      <w:r>
        <w:rPr/>
        <w:t>Annexe E – Synthèse des recommandations au Conseil d'Unisanté</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Recommandation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Horizon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Mécanisme visé</w:t>
            </w:r>
          </w:p>
        </w:tc>
        <w:tc>
          <w:tcPr>
            <w:tcW w:w="2267"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Indicateur de suivi</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Restituer l'audit</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Découplage, logique de confiance</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Restitution effectuée, perception des collaborateurs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Indicateurs humains au Conseil</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Filtre d'attention, disponibilité</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Tableau de bord présenté au Conseil chaque semestre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Canal neutre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Autocensure, asymétrie d'information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Taux de participation, suites données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Outils de débiaisage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Confirmation, escalade, attribution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Procédure appliquée aux décisions sensibles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Délégation RH outillée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Rôle paradoxal des cadres, relais sans mandat</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Formation réalisée, délais contractuels respectés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6. Débriefing</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Santé psychique, rétention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Fréquence des séances, absentéisme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Évaluation externe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12 mois</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Apprentissage organisationnel</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Rapport restitué aux équipes</w:t>
            </w:r>
          </w:p>
        </w:tc>
      </w:tr>
    </w:tbl>
    <w:p>
      <w:pPr>
        <w:pStyle w:val="Normal"/>
        <w:spacing w:before="0" w:after="0"/>
        <w:rPr/>
      </w:pPr>
      <w:r>
        <w:rPr/>
      </w:r>
    </w:p>
    <w:sectPr>
      <w:headerReference w:type="default" r:id="rId9"/>
      <w:headerReference w:type="first" r:id="rId10"/>
      <w:footerReference w:type="default" r:id="rId11"/>
      <w:footerReference w:type="first" r:id="rId12"/>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Orchestration stratégique RH – Zargui-Naji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80" w:after="80"/>
      <w:jc w:val="left"/>
      <w:outlineLvl w:val="0"/>
    </w:pPr>
    <w:rPr>
      <w:rFonts w:ascii="Times New Roman" w:hAnsi="Times New Roman" w:eastAsia="Times New Roman"/>
      <w:b/>
      <w:bCs/>
      <w:i w:val="false"/>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180" w:after="80"/>
      <w:jc w:val="left"/>
      <w:outlineLvl w:val="1"/>
    </w:pPr>
    <w:rPr>
      <w:rFonts w:ascii="Times New Roman" w:hAnsi="Times New Roman" w:eastAsia="Times New Roman"/>
      <w:b/>
      <w:bCs/>
      <w:i w:val="false"/>
      <w:color w:val="1F3A5F"/>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80" w:after="80"/>
      <w:jc w:val="left"/>
      <w:outlineLvl w:val="2"/>
    </w:pPr>
    <w:rPr>
      <w:rFonts w:ascii="Times New Roman" w:hAnsi="Times New Roman" w:eastAsia="Times New Roman"/>
      <w:b/>
      <w:bCs/>
      <w:i w:val="false"/>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spacing w:lineRule="auto" w:line="240" w:before="0" w:after="34"/>
      <w:ind w:hanging="0" w:left="0"/>
    </w:pPr>
    <w:rPr>
      <w:rFonts w:ascii="Times New Roman" w:hAnsi="Times New Roman"/>
      <w:b/>
      <w:sz w:val="22"/>
    </w:rPr>
  </w:style>
  <w:style w:type="paragraph" w:styleId="TOC2">
    <w:name w:val="TOC 2"/>
    <w:basedOn w:val="Index"/>
    <w:pPr>
      <w:tabs>
        <w:tab w:val="clear" w:pos="720"/>
        <w:tab w:val="right" w:pos="8789" w:leader="dot"/>
      </w:tabs>
      <w:spacing w:lineRule="auto" w:line="240" w:before="0" w:after="0"/>
      <w:ind w:hanging="0" w:left="283"/>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2026-09-24T20:07:45Z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