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t xml:space="preserve">CAS Stratégie et organisation – MRHC, Université de Lausanne</w:t>
      </w:r>
    </w:p>
    <w:p>
      <w:pPr>
        <w:spacing w:after="80"/>
        <w:jc w:val="center"/>
      </w:pPr>
      <w:r>
        <w:rPr>
          <w:sz w:val="30"/>
          <w:szCs w:val="30"/>
        </w:rPr>
        <w:t xml:space="preserve">Audit organisationnel de l’orchestration stratégique RH</w:t>
      </w:r>
    </w:p>
    <w:p>
      <w:pPr>
        <w:spacing w:after="80"/>
        <w:jc w:val="center"/>
      </w:pPr>
      <w:r>
        <w:rPr>
          <w:sz w:val="24"/>
          <w:szCs w:val="24"/>
        </w:rPr>
        <w:t xml:space="preserve">La Centrale téléphonique des médecins de garde (CTMG) – Unisanté</w:t>
      </w:r>
    </w:p>
    <w:p>
      <w:pPr>
        <w:spacing w:after="80"/>
        <w:jc w:val="center"/>
      </w:pPr>
      <w:r>
        <w:t xml:space="preserve">Synthèse de travail : l’essentiel de chaque partie et ses références</w:t>
      </w:r>
    </w:p>
    <w:p>
      <w:pPr>
        <w:spacing w:after="80"/>
        <w:jc w:val="center"/>
      </w:pPr>
      <w:r>
        <w:t xml:space="preserve">Azdine Zargui-Naji, module de la Dr Joëlle Bédat, d’après la version V7, septembre 2026</w:t>
      </w:r>
    </w:p>
    <w:p>
      <w:pPr>
        <w:spacing w:after="200"/>
      </w:pPr>
    </w:p>
    <w:p>
      <w:pPr>
        <w:pStyle w:val="Heading1"/>
      </w:pPr>
      <w:r>
        <w:t xml:space="preserve">Introduction et démarche</w:t>
      </w:r>
    </w:p>
    <w:p>
      <w:pPr>
        <w:spacing w:after="120"/>
        <w:jc w:val="both"/>
      </w:pPr>
      <w:r>
        <w:t xml:space="preserve">Question de recherche : en quoi la structure de gouvernance, la délégation de la fonction RH et les filtres cognitifs des décideurs limitent-ils la prise en compte des enjeux humains à la CTMG, et de quels leviers le Conseil d’Unisanté dispose-t-il pour y remédier ?</w:t>
      </w:r>
    </w:p>
    <w:p>
      <w:pPr>
        <w:spacing w:after="120"/>
        <w:jc w:val="both"/>
      </w:pPr>
      <w:r>
        <w:t xml:space="preserve">Constat de départ. Depuis le rattachement à Unisanté en juillet 2024, la CTMG semble stabilisée. Pourtant, les départs se succèdent, un audit interne a été mené sans restitution aux collaborateurs, puis les RH ont envoyé un message de confiance envers la direction du service. Le fil rouge est donné par E1 : « aujourd’hui les structures existent […]. Mais ce qui manque encore, c’est la confiance entre ces différents niveaux ».</w:t>
      </w:r>
    </w:p>
    <w:p>
      <w:pPr>
        <w:spacing w:after="120"/>
        <w:jc w:val="both"/>
      </w:pPr>
      <w:r>
        <w:t xml:space="preserve">Cadre d’analyse. Le travail suit la grille du module : configuration, gouvernance, acteurs, biais cognitifs, délégation, puis diagnostic et recommandations. Il s’appuie sur trois apports. Le premier est la gouvernance comportementale, qui distingue les approches disciplinaire, cognitive et comportementale. L’hypothèse centrale en découle : les leviers disciplinaires l’emportent sur les leviers cognitifs, alors que la difficulté est cognitive, l’institution ne sachant pas, ou ne cherchant pas à savoir, ce qui se passe sur le terrain. Le deuxième apport est la perspective fondée sur les ressources : l’expertise tacite des régulateurs est une ressource VRIN (valeur, rareté, inimitabilité, organisation), qu’il faut orchestrer, sinon elle part avec les personnes. Le troisième concerne le rôle de la fonction RH : les RH ne sont pas un médiateur neutre.</w:t>
      </w:r>
    </w:p>
    <w:p>
      <w:pPr>
        <w:spacing w:after="120"/>
        <w:jc w:val="both"/>
      </w:pPr>
      <w:r>
        <w:t xml:space="preserve">Position de l’auteur et matériau. L’auteur est chef de salle, sans accès aux données RH, au rapport d’audit ni aux délibérations des organes. Le turnover est observé, pas mesuré. Le matériau comprend les observations de terrain, l’entretien E1 (chef de salle, septembre 2026), l’entretien E2 (régulatrice et praticienne formatrice, novembre 2024, réutilisé d’un module précédent) et des sources publiques. Pour limiter le biais de confirmation, les faits sont recoupés avec les sources publiques, les interprétations sur les acteurs non interrogés sont présentées comme hypothèses et les personnes sont anonymisées.</w:t>
      </w:r>
    </w:p>
    <w:p>
      <w:pPr>
        <w:spacing w:after="120"/>
        <w:jc w:val="both"/>
      </w:pPr>
      <w:r>
        <w:t xml:space="preserve">Références : Bédat (2026) ; Charreaux (2005) ; Fama &amp; Jensen (1983) ; Jensen &amp; Meckling (1976) ; Prévot et al. (2010) ; Barney (1991) ; Sirmon et al. (2011) ; Walker (2026).</w:t>
      </w:r>
    </w:p>
    <w:p>
      <w:pPr>
        <w:pStyle w:val="Heading1"/>
      </w:pPr>
      <w:r>
        <w:t xml:space="preserve">1. Présentation de l’organisation</w:t>
      </w:r>
    </w:p>
    <w:p>
      <w:pPr>
        <w:pStyle w:val="Heading2"/>
      </w:pPr>
      <w:r>
        <w:t xml:space="preserve">1.1 Mission et statut</w:t>
      </w:r>
    </w:p>
    <w:p>
      <w:pPr>
        <w:spacing w:after="120"/>
        <w:jc w:val="both"/>
      </w:pPr>
      <w:r>
        <w:t xml:space="preserve">La CTMG est une ligne publique au service des cantons de Vaud et de Neuchâtel, pour les demandes hors urgence vitale. Elle évalue les demandes médicales, psychologiques et sociales et oriente vers la ressource adaptée : garde, urgences, 144, médecin traitant, conseils ou réseau de partenaires. Depuis le 1er juillet 2024, elle est un secteur du DUSC d’Unisanté, établissement autonome de droit public placé sous la surveillance du DSAS et de l’UNIL.</w:t>
      </w:r>
    </w:p>
    <w:p>
      <w:pPr>
        <w:pStyle w:val="Heading2"/>
      </w:pPr>
      <w:r>
        <w:t xml:space="preserve">1.2 Trajectoire institutionnelle</w:t>
      </w:r>
    </w:p>
    <w:p>
      <w:pPr>
        <w:spacing w:after="120"/>
        <w:jc w:val="both"/>
      </w:pPr>
      <w:r>
        <w:t xml:space="preserve">La Fondation Urgences Santé a été dissoute : le 144 a été rattaché au CHUV, la CTMG à Unisanté. De 2022 à 2024, la centrale a été placée sous la tutelle de l’EMCC (selon E1). Le poste de cheffe de service a été créé en septembre 2022, et les trois anciens cadres ont démissionné. E1 distingue trois temps : la crise de la Fondation, la tutelle, puis la dégradation de la confiance après le rattachement. La crise actuelle est donc née dans le nouveau cadre.</w:t>
      </w:r>
    </w:p>
    <w:p>
      <w:pPr>
        <w:pStyle w:val="Heading2"/>
      </w:pPr>
      <w:r>
        <w:t xml:space="preserve">1.3 Organisation interne</w:t>
      </w:r>
    </w:p>
    <w:p>
      <w:pPr>
        <w:spacing w:after="120"/>
        <w:jc w:val="both"/>
      </w:pPr>
      <w:r>
        <w:t xml:space="preserve">La CTMG compte une cheffe de service, trois cadres, un médecin responsable, sept chefs de salle (qui coordonnent sans autorité hiérarchique), deux administratives, cinq médecins formateurs, seize agents de front-office et trente-trois régulateurs, dont cinq praticiens formateurs. La formation d’un nouveau collaborateur dure jusqu’à trois mois.</w:t>
      </w:r>
    </w:p>
    <w:p>
      <w:pPr>
        <w:pStyle w:val="Heading2"/>
      </w:pPr>
      <w:r>
        <w:t xml:space="preserve">1.4 Enjeux stratégiques</w:t>
      </w:r>
    </w:p>
    <w:p>
      <w:pPr>
        <w:spacing w:after="120"/>
        <w:jc w:val="both"/>
      </w:pPr>
      <w:r>
        <w:t xml:space="preserve">La continuité et la qualité d’une prestation assurée jour et nuit reposent sur le jugement clinique d’experts. E2 en donne un exemple : une parasitose tropicale reconnue par une régulatrice. Fidéliser les collaborateurs est donc une condition de la mission.</w:t>
      </w:r>
    </w:p>
    <w:p>
      <w:pPr>
        <w:spacing w:after="120"/>
        <w:jc w:val="both"/>
      </w:pPr>
      <w:r>
        <w:t xml:space="preserve">Références : Unisanté (2022, s.d.-c) ; CHUV (s.d.) ; État de Vaud (s.d.-a) ; entretiens E1 et E2.</w:t>
      </w:r>
    </w:p>
    <w:p>
      <w:pPr>
        <w:pStyle w:val="Heading1"/>
      </w:pPr>
      <w:r>
        <w:t xml:space="preserve">2. Configuration organisationnelle et facteurs environnementaux</w:t>
      </w:r>
    </w:p>
    <w:p>
      <w:pPr>
        <w:pStyle w:val="Heading2"/>
      </w:pPr>
      <w:r>
        <w:t xml:space="preserve">2.1 Une administration publique hybride</w:t>
      </w:r>
    </w:p>
    <w:p>
      <w:pPr>
        <w:spacing w:after="120"/>
        <w:jc w:val="both"/>
      </w:pPr>
      <w:r>
        <w:t xml:space="preserve">La CTMG combine des règles bureaucratiques et des outils de la nouvelle gestion publique : elle est pilotée par des indicateurs d’activité. Elle répond à une pluralité de principaux, sur une longue chaîne de délégations où chaque maillon ajoute de l’asymétrie d’information. Neuchâtel est mandant, mais sans voix dans la gouvernance d’Unisanté.</w:t>
      </w:r>
    </w:p>
    <w:p>
      <w:pPr>
        <w:spacing w:after="120"/>
        <w:jc w:val="both"/>
      </w:pPr>
      <w:r>
        <w:t xml:space="preserve">C’est une gouvernance à distance par les indicateurs : les volumes sont visibles, l’humain reste dans l’ombre. E2 le dit ainsi : « la seule chose positive qu’on balance, c’est que c’est des bons chiffres ». Le module parle de « myopie de l’efficience ». On retrouve la bureaucratie libérale : une autonomie clinique réelle, mais un suivi de la productivité (« petit côté flicage », E2). Ces injonctions contradictoires heurtent la motivation de service public (« aider les gens »), qui est liée à la performance.</w:t>
      </w:r>
    </w:p>
    <w:p>
      <w:pPr>
        <w:pStyle w:val="Heading2"/>
      </w:pPr>
      <w:r>
        <w:t xml:space="preserve">2.2 L’empreinte de la crise</w:t>
      </w:r>
    </w:p>
    <w:p>
      <w:pPr>
        <w:spacing w:after="120"/>
        <w:jc w:val="both"/>
      </w:pPr>
      <w:r>
        <w:t xml:space="preserve">Le pilotage par le contrôle était rationnel pendant la crise. Il s’est maintenu une fois le contexte stabilisé : la forme a changé, pas le fond (E1).</w:t>
      </w:r>
    </w:p>
    <w:p>
      <w:pPr>
        <w:spacing w:after="120"/>
        <w:jc w:val="both"/>
      </w:pPr>
      <w:r>
        <w:t xml:space="preserve">Références : Emery &amp; Giauque (2003, 2014, 2019) ; Waterman &amp; Meier (1998) ; Giauque (2003, 2024) ; Bédat (2026) ; Vandenabeele et al. (2014) ; Ritz (2009) ; Stinchcombe (1965).</w:t>
      </w:r>
    </w:p>
    <w:p>
      <w:pPr>
        <w:pStyle w:val="Heading1"/>
      </w:pPr>
      <w:r>
        <w:t xml:space="preserve">3. Structure de gouvernance : une architecture de type dualiste</w:t>
      </w:r>
    </w:p>
    <w:p>
      <w:pPr>
        <w:pStyle w:val="Heading2"/>
      </w:pPr>
      <w:r>
        <w:t xml:space="preserve">3.1 Les organes et leurs compétences</w:t>
      </w:r>
    </w:p>
    <w:p>
      <w:pPr>
        <w:spacing w:after="120"/>
        <w:jc w:val="both"/>
      </w:pPr>
      <w:r>
        <w:t xml:space="preserve">Le Conseil d’Unisanté compte sept à huit membres désignés par le Conseil d’État pour 2022-2027. Il adopte le plan stratégique (ratifié ensuite par le Conseil d’État), le budget, les objectifs, les comptes et le contrat de prestations avec le DSAS. Une représentante du DSAS y siège. Le directeur général est désigné par le Conseil d’État et préside le comité de direction, qui réunit les finances, les RH, les directions médicale et des soins, et les sept départements, dont le DUSC.</w:t>
      </w:r>
    </w:p>
    <w:p>
      <w:pPr>
        <w:pStyle w:val="Heading2"/>
      </w:pPr>
      <w:r>
        <w:t xml:space="preserve">3.2 Une logique proche du modèle dualiste</w:t>
      </w:r>
    </w:p>
    <w:p>
      <w:pPr>
        <w:spacing w:after="120"/>
        <w:jc w:val="both"/>
      </w:pPr>
      <w:r>
        <w:t xml:space="preserve">Unisanté n’est pas une société anonyme, donc la comparaison est une analogie. Son architecture se rapproche néanmoins du modèle dualiste : la séparation entre surveillance et gestion est organique, aucun membre du Conseil n’appartenant à la direction.</w:t>
      </w:r>
    </w:p>
    <w:p>
      <w:pPr>
        <w:pStyle w:val="Heading2"/>
      </w:pPr>
      <w:r>
        <w:t xml:space="preserve">3.3 Ce que cette architecture fait à l’orchestration RH</w:t>
      </w:r>
    </w:p>
    <w:p>
      <w:pPr>
        <w:spacing w:after="120"/>
        <w:jc w:val="both"/>
      </w:pPr>
      <w:r>
        <w:t xml:space="preserve">Le contrôle est indépendant mais dépend de l’information. Le conseil est un groupe de décision épisodique qui ne voit que ce qu’on lui présente, et l’information de la CTMG est résumée à chaque niveau. Il y a aussi un double principal : le Conseil ne nomme pas la direction générale, et la présence de la tutelle en son sein brouille la frontière entre surveillance et tutelle.</w:t>
      </w:r>
    </w:p>
    <w:p>
      <w:pPr>
        <w:spacing w:after="120"/>
        <w:jc w:val="both"/>
      </w:pPr>
      <w:r>
        <w:t xml:space="preserve">La fonction RH se trouve du côté de l’exécutif, sans commission RH au Conseil : l’humain n’entre dans la gouvernance que si l’exécutif l’y porte. Le dualisme se répète dans le service, entre une ligne managériale et une ligne médicale, avec les chefs de salle à l’intersection. En résumé, ce n’est pas une défaillance de conception mais une vulnérabilité : tout dépend de la remontée d’information.</w:t>
      </w:r>
    </w:p>
    <w:p>
      <w:pPr>
        <w:spacing w:after="120"/>
        <w:jc w:val="both"/>
      </w:pPr>
      <w:r>
        <w:t xml:space="preserve">Références : État de Vaud (s.d.-b, s.d.-c) ; Unisanté (s.d.-a, s.d.-b) ; Jungmann (2006) ; Kunz (2010) ; Schmid &amp; Zimmermann (2008) ; Forbes &amp; Milliken (1999) ; Waterman &amp; Meier (1998) ; Hilb (2016) ; Lima &amp; Galleli (2021) ; Martin et al. (2016) ; Petrovic et al. (2018) ; Bédat (2024).</w:t>
      </w:r>
    </w:p>
    <w:p>
      <w:pPr>
        <w:pStyle w:val="Heading1"/>
      </w:pPr>
      <w:r>
        <w:t xml:space="preserve">4. Acteurs clés, délégation et jeux de pouvoir</w:t>
      </w:r>
    </w:p>
    <w:p>
      <w:pPr>
        <w:pStyle w:val="Heading2"/>
      </w:pPr>
      <w:r>
        <w:t xml:space="preserve">4.1 La chaîne des délégations</w:t>
      </w:r>
    </w:p>
    <w:p>
      <w:pPr>
        <w:spacing w:after="120"/>
        <w:jc w:val="both"/>
      </w:pPr>
      <w:r>
        <w:t xml:space="preserve">La chaîne va du Conseil d’État au Conseil d’Unisanté, puis à la direction générale et au comité de direction, au DUSC, à la cheffe de service, aux cadres, aux chefs de salle et enfin aux équipes. Vus du terrain, les acteurs apparaissent ainsi : le Conseil est absent des récits ; la direction générale et le DUSC ont commandé un audit non restitué ; les RH sont distantes et perçues comme proches de la direction ; la cheffe de service pilote par l’activité, avec une communication plus mesurée ; les cadres incarnent la ligne hiérarchique ; les chefs de salle sont des confidents sans pouvoir de décision. Les parties prenantes externes (population, médecins de garde, partenaires, Neuchâtel) ne perçoivent pas le climat interne avant qu’il n’affecte la prestation.</w:t>
      </w:r>
    </w:p>
    <w:p>
      <w:pPr>
        <w:pStyle w:val="Heading2"/>
      </w:pPr>
      <w:r>
        <w:t xml:space="preserve">4.2 Une fonction RH déléguée et à distance</w:t>
      </w:r>
    </w:p>
    <w:p>
      <w:pPr>
        <w:spacing w:after="120"/>
        <w:jc w:val="both"/>
      </w:pPr>
      <w:r>
        <w:t xml:space="preserve">Les RH sont centralisées et présentes une matinée par semaine ; la gestion courante repose sur les cadres. Des praticiennes formatrices sont restées cinq mois sans contrat, jusqu’à l’envoi d’un courrier écrit (« ce n’est pas l’institution qui m’a aidé », E2). Les cadres sont dans une position paradoxale : ils subissent la défiance envers la direction. Les chefs de salle jouent un rôle de boundary spanners qui n’est pas reconnu : ils ne transmettent que des volumes.</w:t>
      </w:r>
    </w:p>
    <w:p>
      <w:pPr>
        <w:pStyle w:val="Heading2"/>
      </w:pPr>
      <w:r>
        <w:t xml:space="preserve">4.3 Pouvoir, crédibilité et silence</w:t>
      </w:r>
    </w:p>
    <w:p>
      <w:pPr>
        <w:spacing w:after="120"/>
        <w:jc w:val="both"/>
      </w:pPr>
      <w:r>
        <w:t xml:space="preserve">Le mail des RH après l’audit a entamé leur crédibilité : les collaborateurs ont eu le sentiment que « leur parole n’avait pas vraiment de poids » (E1), alors qu’ils attendaient un « espace neutre ». Ils ont appris le silence (« je ne veux pas m’attirer les foudres », E2). Le mécanisme se résume ainsi : le Conseil dépend de l’exécutif, la délégation passe par une ligne qui vit les remontées comme des mises en cause, les relais n’ont pas de mandat, et la perte de crédibilité des RH ferme le dernier canal.</w:t>
      </w:r>
    </w:p>
    <w:p>
      <w:pPr>
        <w:spacing w:after="120"/>
        <w:jc w:val="both"/>
      </w:pPr>
      <w:r>
        <w:t xml:space="preserve">Références : Bédat (2026) ; Freeman (1984) ; Reichel &amp; Lazarova (2013) ; Gooderham et al. (2015) ; Bonnet et al. (2017) ; Aldrich et al. (2015) ; Sheehan et al. (2014) ; Walker (2026) ; Hardy (1996) ; Pfeffer (1992).</w:t>
      </w:r>
    </w:p>
    <w:p>
      <w:pPr>
        <w:pStyle w:val="Heading1"/>
      </w:pPr>
      <w:r>
        <w:t xml:space="preserve">5. Biais cognitifs et filtres de décision</w:t>
      </w:r>
    </w:p>
    <w:p>
      <w:pPr>
        <w:spacing w:after="120"/>
        <w:jc w:val="both"/>
      </w:pPr>
      <w:r>
        <w:t xml:space="preserve">Les biais présentés ici sont des hypothèses construites depuis le terrain : les décideurs n’ont pas été interrogés.</w:t>
      </w:r>
    </w:p>
    <w:p>
      <w:pPr>
        <w:pStyle w:val="Heading2"/>
      </w:pPr>
      <w:r>
        <w:t xml:space="preserve">5.1 Filtre d’attention</w:t>
      </w:r>
    </w:p>
    <w:p>
      <w:pPr>
        <w:spacing w:after="120"/>
        <w:jc w:val="both"/>
      </w:pPr>
      <w:r>
        <w:t xml:space="preserve">Les canaux existants ne transportent que des volumes. Une procédure existe pour les incidents techniques, rien pour le managérial ou la charge vécue ; après un appel difficile, la consigne est « prends ta pause plus tôt » (E2). C’est l’organisation qui rend l’humain invisible, et cela relève de la gouvernance.</w:t>
      </w:r>
    </w:p>
    <w:p>
      <w:pPr>
        <w:pStyle w:val="Heading2"/>
      </w:pPr>
      <w:r>
        <w:t xml:space="preserve">5.2 Heuristique de disponibilité</w:t>
      </w:r>
    </w:p>
    <w:p>
      <w:pPr>
        <w:spacing w:after="120"/>
        <w:jc w:val="both"/>
      </w:pPr>
      <w:r>
        <w:t xml:space="preserve">L’absence de plainte, produite par le silence lui-même, est lue comme un signe que la situation est maîtrisée.</w:t>
      </w:r>
    </w:p>
    <w:p>
      <w:pPr>
        <w:pStyle w:val="Heading2"/>
      </w:pPr>
      <w:r>
        <w:t xml:space="preserve">5.3 Biais de confirmation et escalade d’engagement</w:t>
      </w:r>
    </w:p>
    <w:p>
      <w:pPr>
        <w:spacing w:after="120"/>
        <w:jc w:val="both"/>
      </w:pPr>
      <w:r>
        <w:t xml:space="preserve">L’audit a pu être lu dans le sens du choix initial, puisque le poste de cheffe de service a été créé pendant la tutelle. D’autres lectures restent plausibles : l’audit n’a peut-être rien révélé, les RH sont peut-être tenues à un devoir de réserve, ou le coaching a été jugé proportionné. C’est justement pour cela que l’absence de restitution pose problème.</w:t>
      </w:r>
    </w:p>
    <w:p>
      <w:pPr>
        <w:pStyle w:val="Heading2"/>
      </w:pPr>
      <w:r>
        <w:t xml:space="preserve">5.4 Erreur d’attribution</w:t>
      </w:r>
    </w:p>
    <w:p>
      <w:pPr>
        <w:spacing w:after="120"/>
        <w:jc w:val="both"/>
      </w:pPr>
      <w:r>
        <w:t xml:space="preserve">Les départs et les absences sont lus comme des cas individuels, jamais comme un phénomène organisationnel. La réorientation devient alors improbable.</w:t>
      </w:r>
    </w:p>
    <w:p>
      <w:pPr>
        <w:pStyle w:val="Heading2"/>
      </w:pPr>
      <w:r>
        <w:t xml:space="preserve">5.5 Pensée de groupe</w:t>
      </w:r>
    </w:p>
    <w:p>
      <w:pPr>
        <w:spacing w:after="120"/>
        <w:jc w:val="both"/>
      </w:pPr>
      <w:r>
        <w:t xml:space="preserve">Les conditions sont réunies, mais aucune donnée ne permet de le démontrer.</w:t>
      </w:r>
    </w:p>
    <w:p>
      <w:pPr>
        <w:pStyle w:val="Heading2"/>
      </w:pPr>
      <w:r>
        <w:t xml:space="preserve">5.6 Découplage</w:t>
      </w:r>
    </w:p>
    <w:p>
      <w:pPr>
        <w:spacing w:after="120"/>
        <w:jc w:val="both"/>
      </w:pPr>
      <w:r>
        <w:t xml:space="preserve">La forme change, pas le fond. Un audit sans restitution suivi d’un message de confiance correspond à la « logique de confiance » : l’institution gagne en légitimité sans apprendre.</w:t>
      </w:r>
    </w:p>
    <w:p>
      <w:pPr>
        <w:pStyle w:val="Heading2"/>
      </w:pPr>
      <w:r>
        <w:t xml:space="preserve">5.7 Synthèse</w:t>
      </w:r>
    </w:p>
    <w:p>
      <w:pPr>
        <w:spacing w:after="120"/>
        <w:jc w:val="both"/>
      </w:pPr>
      <w:r>
        <w:t xml:space="preserve">Il en résulte une boucle qui s’auto-entretient : des canaux centrés sur le volume, un humain invisible, une attribution aux personnes, un engagement confirmé, puis le silence. Précaution : la détection des biais dépend aussi de la position de l’observateur.</w:t>
      </w:r>
    </w:p>
    <w:p>
      <w:pPr>
        <w:spacing w:after="120"/>
        <w:jc w:val="both"/>
      </w:pPr>
      <w:r>
        <w:t xml:space="preserve">Références : Charreaux (2005) ; Ocasio (1997) ; Tversky &amp; Kahneman (1974) ; Kahneman (2012) ; Schwenk (1988) ; Simonson &amp; Staw (1992) ; McCormick &amp; Martinko (2004) ; Barker &amp; Barr (2002) ; Haleblian &amp; Rajagopalan (2006) ; Janis (1972) ; Gioia &amp; Chittipeddi (1991) ; Weick (1995) ; Meyer &amp; Rowan (1977) ; Tetlock (2000).</w:t>
      </w:r>
    </w:p>
    <w:p>
      <w:pPr>
        <w:pStyle w:val="Heading1"/>
      </w:pPr>
      <w:r>
        <w:t xml:space="preserve">6. Facteurs facilitant ou limitant le positionnement stratégique de la fonction RH</w:t>
      </w:r>
    </w:p>
    <w:p>
      <w:pPr>
        <w:spacing w:after="120"/>
        <w:jc w:val="both"/>
      </w:pPr>
      <w:r>
        <w:t xml:space="preserve">Selon le module, un capital humain qualifié « reste stérile s’il n’est pas managé par des pratiques RH structurées, initiées par la gouvernance ». Les facteurs facilitants sont une expertise VRIN, les solidarités entre pairs, un audit commandé, une communication améliorée, une présence RH hebdomadaire et un département de santé au travail. Les facteurs limitants sont la distance et la perte de crédibilité des RH, le pilotage par les volumes, l’absence des RH au Conseil, l’absence de débriefing et des circuits contractuels lents. Rien n’indique que la direction attende de la fonction RH qu’elle soit un partenaire stratégique. Or, dans le secteur public, la GRH agit sur la performance par la motivation intrinsèque.</w:t>
      </w:r>
    </w:p>
    <w:p>
      <w:pPr>
        <w:spacing w:after="120"/>
        <w:jc w:val="both"/>
      </w:pPr>
      <w:r>
        <w:t xml:space="preserve">Références : Boxall (1996) ; Bédat (2026) ; Barney &amp; Wright (1998) ; Brandl &amp; Pohler (2010) ; Giauque et al. (2013).</w:t>
      </w:r>
    </w:p>
    <w:p>
      <w:pPr>
        <w:pStyle w:val="Heading1"/>
      </w:pPr>
      <w:r>
        <w:t xml:space="preserve">7. Risques, enjeux éthiques et points de vigilance</w:t>
      </w:r>
    </w:p>
    <w:p>
      <w:pPr>
        <w:pStyle w:val="Heading2"/>
      </w:pPr>
      <w:r>
        <w:t xml:space="preserve">7.1 Les risques</w:t>
      </w:r>
    </w:p>
    <w:p>
      <w:pPr>
        <w:spacing w:after="120"/>
        <w:jc w:val="both"/>
      </w:pPr>
      <w:r>
        <w:t xml:space="preserve">Trois risques ressortent : la perte d’un capital humain largement tacite, chaque départ imposant jusqu’à trois mois de formation ; un risque opérationnel et de sécurité des patients, lié au sous-effectif et à la charge émotionnelle (le « sac à dos », E2) ; un risque de légitimité et de réputation, pour la CTMG comme pour Unisanté.</w:t>
      </w:r>
    </w:p>
    <w:p>
      <w:pPr>
        <w:pStyle w:val="Heading2"/>
      </w:pPr>
      <w:r>
        <w:t xml:space="preserve">7.2 Les enjeux éthiques</w:t>
      </w:r>
    </w:p>
    <w:p>
      <w:pPr>
        <w:spacing w:after="120"/>
        <w:jc w:val="both"/>
      </w:pPr>
      <w:r>
        <w:t xml:space="preserve">Trois enjeux éthiques se dégagent : la santé psychique, faute de débriefing ; la protection de la parole, face à la crainte de représailles ; la loyauté envers les personnes qui ont participé à l’audit.</w:t>
      </w:r>
    </w:p>
    <w:p>
      <w:pPr>
        <w:pStyle w:val="Heading2"/>
      </w:pPr>
      <w:r>
        <w:t xml:space="preserve">7.3 Les points de vigilance</w:t>
      </w:r>
    </w:p>
    <w:p>
      <w:pPr>
        <w:spacing w:after="120"/>
        <w:jc w:val="both"/>
      </w:pPr>
      <w:r>
        <w:t xml:space="preserve">Il faut ne pas personnaliser le diagnostic, et garantir la confidentialité de toute démarche dans une équipe d’une soixantaine de personnes.</w:t>
      </w:r>
    </w:p>
    <w:p>
      <w:pPr>
        <w:spacing w:after="120"/>
        <w:jc w:val="both"/>
      </w:pPr>
      <w:r>
        <w:t xml:space="preserve">Références : Polanyi (1966) ; Nonaka &amp; Takeuchi (1995) ; Lamari (2010) ; Giovannini &amp; Giauque (2023).</w:t>
      </w:r>
    </w:p>
    <w:p>
      <w:pPr>
        <w:pStyle w:val="Heading1"/>
      </w:pPr>
      <w:r>
        <w:t xml:space="preserve">8. Diagnostic et recommandations au Conseil d’Unisanté</w:t>
      </w:r>
    </w:p>
    <w:p>
      <w:pPr>
        <w:pStyle w:val="Heading2"/>
      </w:pPr>
      <w:r>
        <w:t xml:space="preserve">8.1 Diagnostic</w:t>
      </w:r>
    </w:p>
    <w:p>
      <w:pPr>
        <w:spacing w:after="120"/>
        <w:jc w:val="both"/>
      </w:pPr>
      <w:r>
        <w:t xml:space="preserve">Il ne manque pas de structures : il manque un dispositif qui permette à la gouvernance de voir l’humain. Les leviers disciplinaires sont présents, les leviers cognitifs presque absents. Le Conseil dépend de l’exécutif, la délégation passe par une ligne qui vit les remontées comme des critiques, les relais n’ont pas de canal, et les biais entretiennent une lecture rassurante. Le Conseil agit par ses compétences propres : objectifs annuels, plan stratégique, comptes rendus exigés de la direction, contrat de prestations.</w:t>
      </w:r>
    </w:p>
    <w:p>
      <w:pPr>
        <w:pStyle w:val="Heading2"/>
      </w:pPr>
      <w:r>
        <w:t xml:space="preserve">8.2 Recommandations</w:t>
      </w:r>
    </w:p>
    <w:p>
      <w:pPr>
        <w:spacing w:after="120"/>
        <w:jc w:val="both"/>
      </w:pPr>
      <w:r>
        <w:t xml:space="preserve">1. Restituer l’audit interne, à court terme, en trouvant le « juste milieu » entre tout dire et ne rien dire, pour sortir de la logique de confiance (Meyer &amp; Rowan, 1977).</w:t>
      </w:r>
    </w:p>
    <w:p>
      <w:pPr>
        <w:spacing w:after="120"/>
        <w:jc w:val="both"/>
      </w:pPr>
      <w:r>
        <w:t xml:space="preserve">2. Faire de la santé organisationnelle un objet de gouvernance, dès l’exercice suivant : rotation, absentéisme, ancienneté et motifs de départ suivis au même niveau que les volumes (Ocasio, 1997 ; Hilb, 2016).</w:t>
      </w:r>
    </w:p>
    <w:p>
      <w:pPr>
        <w:spacing w:after="120"/>
        <w:jc w:val="both"/>
      </w:pPr>
      <w:r>
        <w:t xml:space="preserve">3. Créer un canal de remontée indépendant de la hiérarchie, à court terme : une personne de confiance externe ou une enquête anonyme dont les résultats sont restitués.</w:t>
      </w:r>
    </w:p>
    <w:p>
      <w:pPr>
        <w:spacing w:after="120"/>
        <w:jc w:val="both"/>
      </w:pPr>
      <w:r>
        <w:t xml:space="preserve">4. Outiller les décisions contre les biais, dès l’exercice suivant : grille de contrôle, analyse pré-mortem, seuils d’alerte fixés à l’avance (Kahneman et al., 2011 ; Klein, 2007 ; Simonson &amp; Staw, 1992).</w:t>
      </w:r>
    </w:p>
    <w:p>
      <w:pPr>
        <w:spacing w:after="120"/>
        <w:jc w:val="both"/>
      </w:pPr>
      <w:r>
        <w:t xml:space="preserve">5. Clarifier la délégation RH, dès l’exercice suivant : former les cadres, ajouter une remontée qualitative aux comptes rendus des chefs de salle, fixer des délais pour les décisions contractuelles.</w:t>
      </w:r>
    </w:p>
    <w:p>
      <w:pPr>
        <w:spacing w:after="120"/>
        <w:jc w:val="both"/>
      </w:pPr>
      <w:r>
        <w:t xml:space="preserve">6. Institutionnaliser le débriefing après les appels difficiles, dès l’exercice suivant, avec l’appui de la santé au travail d’Unisanté.</w:t>
      </w:r>
    </w:p>
    <w:p>
      <w:pPr>
        <w:spacing w:after="120"/>
        <w:jc w:val="both"/>
      </w:pPr>
      <w:r>
        <w:t xml:space="preserve">7. Faire évaluer la situation par un tiers externe au service après douze mois, avec une restitution aux équipes.</w:t>
      </w:r>
    </w:p>
    <w:p>
      <w:pPr>
        <w:spacing w:after="120"/>
        <w:jc w:val="both"/>
      </w:pPr>
      <w:r>
        <w:t xml:space="preserve">Références : Charreaux (2005) ; Meyer &amp; Rowan (1977) ; Ocasio (1997) ; Hilb (2016) ; Kahneman et al. (2011) ; Klein (2007) ; Simonson &amp; Staw (1992) ; entretien E1.</w:t>
      </w:r>
    </w:p>
    <w:p>
      <w:pPr>
        <w:pStyle w:val="Heading1"/>
      </w:pPr>
      <w:r>
        <w:t xml:space="preserve">Conclusion</w:t>
      </w:r>
    </w:p>
    <w:p>
      <w:pPr>
        <w:spacing w:after="120"/>
        <w:jc w:val="both"/>
      </w:pPr>
      <w:r>
        <w:t xml:space="preserve">La confiance entre les niveaux fait défaut. Ce déficit tient au système autant qu’aux personnes : une gouvernance à distance par les volumes, un Conseil dépendant de l’exécutif, des RH déléguées et perçues comme alignées sur la direction, et des biais qui font de l’absence d’information un signe de maîtrise. Les recommandations visent à réparer le circuit, pour que ce que voit le terrain atteigne ceux qui gouvernent et reçoive une réponse visible. Le travail a ses limites : deux entretiens, aucune donnée interne, et pas le point de vue de la direction, des RH ni du Conseil. Une démarche contradictoire reste à mener.</w:t>
      </w:r>
    </w:p>
    <w:p>
      <w:pPr>
        <w:pStyle w:val="Heading1"/>
      </w:pPr>
      <w:r>
        <w:t xml:space="preserve">Annexes</w:t>
      </w:r>
    </w:p>
    <w:p>
      <w:pPr>
        <w:spacing w:after="120"/>
        <w:jc w:val="both"/>
      </w:pPr>
      <w:r>
        <w:t xml:space="preserve">A. Organigrammes : tableau A1, niveaux d’Unisanté à la CTMG ; tableau A2, les cinq niveaux de la CTMG, établis par l’auteur.</w:t>
      </w:r>
    </w:p>
    <w:p>
      <w:pPr>
        <w:spacing w:after="120"/>
        <w:jc w:val="both"/>
      </w:pPr>
      <w:r>
        <w:t xml:space="preserve">B. Figure 1 : la gouvernance de l’État à la CTMG, avec le pilotage descendant par les volumes et l’information humaine ascendante, filtrée à chaque niveau.</w:t>
      </w:r>
    </w:p>
    <w:p>
      <w:pPr>
        <w:spacing w:after="120"/>
        <w:jc w:val="both"/>
      </w:pPr>
      <w:r>
        <w:t xml:space="preserve">C. Entretiens : C1, entretien avec E1, chef de salle, le 16.09.2026, en transcription intégrale ; C2, entretien avec E2, praticienne formatrice, le 28.11.2024, mené dans un module précédent selon la technique des incidents critiques.</w:t>
      </w:r>
    </w:p>
    <w:p>
      <w:pPr>
        <w:spacing w:after="120"/>
        <w:jc w:val="both"/>
      </w:pPr>
      <w:r>
        <w:t xml:space="preserve">D. Déclaration d’utilisation de l’IA : Claude (Anthropic) a servi à synthétiser les cours, structurer le plan, rechercher des documents, rédiger un premier jet, produire la figure, relire et mettre en forme selon l’APA. La déclaration précise le rôle de l’auteur, les prompts, les apports et les limites.</w:t>
      </w:r>
    </w:p>
    <w:p>
      <w:pPr>
        <w:spacing w:after="120"/>
        <w:jc w:val="both"/>
      </w:pPr>
      <w:r>
        <w:t xml:space="preserve">E. Tableau de synthèse des sept recommandations : horizon, mécanisme visé, indicateur de suivi.</w:t>
      </w:r>
    </w:p>
    <w:p>
      <w:pPr>
        <w:pStyle w:val="Heading1"/>
      </w:pPr>
      <w:r>
        <w:t xml:space="preserve">Points à intégrer lors de la rédaction finale</w:t>
      </w:r>
    </w:p>
    <w:p>
      <w:pPr>
        <w:spacing w:after="120"/>
        <w:jc w:val="both"/>
      </w:pPr>
      <w:r>
        <w:t xml:space="preserve">1. Annexe C1 : les prénoms de l’auteur et de E1 figurent encore dans les deux dernières répliques de la V7 ; les remplacer.</w:t>
      </w:r>
    </w:p>
    <w:p>
      <w:pPr>
        <w:spacing w:after="120"/>
        <w:jc w:val="both"/>
      </w:pPr>
      <w:r>
        <w:t xml:space="preserve">2. Annexe C2 : compléter l’autorisation de réutilisation et joindre les extraits de E2 cités.</w:t>
      </w:r>
    </w:p>
    <w:p>
      <w:pPr>
        <w:spacing w:after="120"/>
        <w:jc w:val="both"/>
      </w:pPr>
      <w:r>
        <w:t xml:space="preserve">3. Remplacer Bonnet et al. (2017), cité pour les boundary spanners, par une référence adaptée, par exemple Tushman (1977), Aldrich &amp; Herker (1977) ou Williams (2002).</w:t>
      </w:r>
    </w:p>
    <w:p>
      <w:pPr>
        <w:spacing w:after="120"/>
        <w:jc w:val="both"/>
      </w:pPr>
      <w:r>
        <w:t xml:space="preserve">4. Charreaux : distinguer les leviers disciplinaires de la gouvernance, qui sont faibles, du contrôle managérial par indicateurs, qui est fort ; rendre la section 8.1 cohérente avec la section 3.3.</w:t>
      </w:r>
    </w:p>
    <w:p>
      <w:pPr>
        <w:spacing w:after="120"/>
        <w:jc w:val="both"/>
      </w:pPr>
      <w:r>
        <w:t xml:space="preserve">5. Ajouter l’environnement externe (pénurie infirmière, marché du travail, travail posté 24/7) et le cadre juridique du personnel.</w:t>
      </w:r>
    </w:p>
    <w:p>
      <w:pPr>
        <w:spacing w:after="120"/>
        <w:jc w:val="both"/>
      </w:pPr>
      <w:r>
        <w:t xml:space="preserve">6. Ajouter des éléments du modèle d’affaires : volumes d’appels, financement, contrat de prestations.</w:t>
      </w:r>
    </w:p>
    <w:p>
      <w:pPr>
        <w:spacing w:after="120"/>
        <w:jc w:val="both"/>
      </w:pPr>
      <w:r>
        <w:t xml:space="preserve">7. Porter les recommandations au niveau du Conseil : commission RH, politique de restitution des audits, clauses RH dans le contrat de prestations ; vérifier s’il existe déjà une personne de confiance.</w:t>
      </w:r>
    </w:p>
    <w:p>
      <w:pPr>
        <w:spacing w:after="120"/>
        <w:jc w:val="both"/>
      </w:pPr>
      <w:r>
        <w:t xml:space="preserve">8. Corriger l’APA : ordre alphabétique (Bédat avant Bonnet), DOI, éditeurs du chapitre Emery &amp; Giauque (2019), dates de consultation pour les sources « s.d. ».</w:t>
      </w:r>
    </w:p>
    <w:p>
      <w:pPr>
        <w:pStyle w:val="Heading1"/>
      </w:pPr>
      <w:r>
        <w:t xml:space="preserve">Bibliographie</w:t>
      </w:r>
    </w:p>
    <w:p>
      <w:pPr>
        <w:pStyle w:val="Heading2"/>
      </w:pPr>
      <w:r>
        <w:t xml:space="preserve">Références scientifiques</w:t>
      </w:r>
    </w:p>
    <w:p>
      <w:pPr>
        <w:spacing w:after="100"/>
        <w:ind w:left="567" w:hanging="567"/>
      </w:pPr>
      <w:r>
        <w:rPr>
          <w:i w:val="false"/>
          <w:iCs w:val="false"/>
        </w:rPr>
        <w:t xml:space="preserve">Aldrich, P., Dietz, G., Clark, T., &amp; Hamilton, P. (2015). Establishing HR professionals' influence and credibility: Lessons from the capital markets and investment banking sector. </w:t>
      </w:r>
      <w:r>
        <w:rPr>
          <w:i/>
          <w:iCs/>
        </w:rPr>
        <w:t xml:space="preserve">Human Resource Management, 54</w:t>
      </w:r>
      <w:r>
        <w:rPr>
          <w:i w:val="false"/>
          <w:iCs w:val="false"/>
        </w:rPr>
        <w:t xml:space="preserve">(1), 105–130.</w:t>
      </w:r>
    </w:p>
    <w:p>
      <w:pPr>
        <w:spacing w:after="100"/>
        <w:ind w:left="567" w:hanging="567"/>
      </w:pPr>
      <w:r>
        <w:rPr>
          <w:i w:val="false"/>
          <w:iCs w:val="false"/>
        </w:rPr>
        <w:t xml:space="preserve">Barker, V. L., III, &amp; Barr, P. S. (2002). Linking top manager attributions to strategic reorientation in declining firms attempting turnarounds. </w:t>
      </w:r>
      <w:r>
        <w:rPr>
          <w:i/>
          <w:iCs/>
        </w:rPr>
        <w:t xml:space="preserve">Journal of Business Research, 55</w:t>
      </w:r>
      <w:r>
        <w:rPr>
          <w:i w:val="false"/>
          <w:iCs w:val="false"/>
        </w:rPr>
        <w:t xml:space="preserve">(12), 963–979.</w:t>
      </w:r>
    </w:p>
    <w:p>
      <w:pPr>
        <w:spacing w:after="100"/>
        <w:ind w:left="567" w:hanging="567"/>
      </w:pPr>
      <w:r>
        <w:rPr>
          <w:i w:val="false"/>
          <w:iCs w:val="false"/>
        </w:rPr>
        <w:t xml:space="preserve">Barney, J. (1991). Firm resources and sustained competitive advantage. </w:t>
      </w:r>
      <w:r>
        <w:rPr>
          <w:i/>
          <w:iCs/>
        </w:rPr>
        <w:t xml:space="preserve">Journal of Management, 17</w:t>
      </w:r>
      <w:r>
        <w:rPr>
          <w:i w:val="false"/>
          <w:iCs w:val="false"/>
        </w:rPr>
        <w:t xml:space="preserve">(1), 99–120. https://doi.org/10.1177/014920639101700108</w:t>
      </w:r>
    </w:p>
    <w:p>
      <w:pPr>
        <w:spacing w:after="100"/>
        <w:ind w:left="567" w:hanging="567"/>
      </w:pPr>
      <w:r>
        <w:rPr>
          <w:i w:val="false"/>
          <w:iCs w:val="false"/>
        </w:rPr>
        <w:t xml:space="preserve">Barney, J. B., &amp; Wright, P. M. (1998). On becoming a strategic partner: The role of human resources in gaining competitive advantage. </w:t>
      </w:r>
      <w:r>
        <w:rPr>
          <w:i/>
          <w:iCs/>
        </w:rPr>
        <w:t xml:space="preserve">Human Resource Management, 37</w:t>
      </w:r>
      <w:r>
        <w:rPr>
          <w:i w:val="false"/>
          <w:iCs w:val="false"/>
        </w:rPr>
        <w:t xml:space="preserve">(1), 31–46.</w:t>
      </w:r>
    </w:p>
    <w:p>
      <w:pPr>
        <w:spacing w:after="100"/>
        <w:ind w:left="567" w:hanging="567"/>
      </w:pPr>
      <w:r>
        <w:rPr>
          <w:i w:val="false"/>
          <w:iCs w:val="false"/>
        </w:rPr>
        <w:t xml:space="preserve">Bonnet, C., Séville, M., &amp; Wirtz, P. (2017). Genèse et fonctionnement du conseil d'administration d'une firme entrepreneuriale : le rôle des identifications sociales des administrateurs. </w:t>
      </w:r>
      <w:r>
        <w:rPr>
          <w:i/>
          <w:iCs/>
        </w:rPr>
        <w:t xml:space="preserve">Finance Contrôle Stratégie, 20</w:t>
      </w:r>
      <w:r>
        <w:rPr>
          <w:i w:val="false"/>
          <w:iCs w:val="false"/>
        </w:rPr>
        <w:t xml:space="preserve">(3).</w:t>
      </w:r>
    </w:p>
    <w:p>
      <w:pPr>
        <w:spacing w:after="100"/>
        <w:ind w:left="567" w:hanging="567"/>
      </w:pPr>
      <w:r>
        <w:rPr>
          <w:i w:val="false"/>
          <w:iCs w:val="false"/>
        </w:rPr>
        <w:t xml:space="preserve">Boxall, P. (1996). The strategic HRM debate and the resource-based view of the firm. </w:t>
      </w:r>
      <w:r>
        <w:rPr>
          <w:i/>
          <w:iCs/>
        </w:rPr>
        <w:t xml:space="preserve">Human Resource Management Journal, 6</w:t>
      </w:r>
      <w:r>
        <w:rPr>
          <w:i w:val="false"/>
          <w:iCs w:val="false"/>
        </w:rPr>
        <w:t xml:space="preserve">(3), 59–75.</w:t>
      </w:r>
    </w:p>
    <w:p>
      <w:pPr>
        <w:spacing w:after="100"/>
        <w:ind w:left="567" w:hanging="567"/>
      </w:pPr>
      <w:r>
        <w:rPr>
          <w:i w:val="false"/>
          <w:iCs w:val="false"/>
        </w:rPr>
        <w:t xml:space="preserve">Brandl, J., &amp; Pohler, D. (2010). The human resource department's role and conditions that affect its development: Explanations from Austrian CEOs. </w:t>
      </w:r>
      <w:r>
        <w:rPr>
          <w:i/>
          <w:iCs/>
        </w:rPr>
        <w:t xml:space="preserve">Human Resource Management, 49</w:t>
      </w:r>
      <w:r>
        <w:rPr>
          <w:i w:val="false"/>
          <w:iCs w:val="false"/>
        </w:rPr>
        <w:t xml:space="preserve">(6), 1025–1046.</w:t>
      </w:r>
    </w:p>
    <w:p>
      <w:pPr>
        <w:spacing w:after="100"/>
        <w:ind w:left="567" w:hanging="567"/>
      </w:pPr>
      <w:r>
        <w:rPr>
          <w:i w:val="false"/>
          <w:iCs w:val="false"/>
        </w:rPr>
        <w:t xml:space="preserve">Bédat, J. (2024). </w:t>
      </w:r>
      <w:r>
        <w:rPr>
          <w:i/>
          <w:iCs/>
        </w:rPr>
        <w:t xml:space="preserve">The influence of the board of directors on HR strategy: Three qualitative studies in a Swiss context</w:t>
      </w:r>
      <w:r>
        <w:rPr>
          <w:i w:val="false"/>
          <w:iCs w:val="false"/>
        </w:rPr>
        <w:t xml:space="preserve"> [Thèse de doctorat, Université Jean Moulin Lyon III].</w:t>
      </w:r>
    </w:p>
    <w:p>
      <w:pPr>
        <w:spacing w:after="100"/>
        <w:ind w:left="567" w:hanging="567"/>
      </w:pPr>
      <w:r>
        <w:rPr>
          <w:i w:val="false"/>
          <w:iCs w:val="false"/>
        </w:rPr>
        <w:t xml:space="preserve">Charreaux, G. (2005). Pour une gouvernance d'entreprise « comportementale » : une réflexion exploratoire... </w:t>
      </w:r>
      <w:r>
        <w:rPr>
          <w:i/>
          <w:iCs/>
        </w:rPr>
        <w:t xml:space="preserve">Revue française de gestion, 157</w:t>
      </w:r>
      <w:r>
        <w:rPr>
          <w:i w:val="false"/>
          <w:iCs w:val="false"/>
        </w:rPr>
        <w:t xml:space="preserve">(4), 215–238.</w:t>
      </w:r>
    </w:p>
    <w:p>
      <w:pPr>
        <w:spacing w:after="100"/>
        <w:ind w:left="567" w:hanging="567"/>
      </w:pPr>
      <w:r>
        <w:rPr>
          <w:i w:val="false"/>
          <w:iCs w:val="false"/>
        </w:rPr>
        <w:t xml:space="preserve">Emery, Y., &amp; Giauque, D. (2003). Emergence of contradictory injunctions in Swiss NPM projects. </w:t>
      </w:r>
      <w:r>
        <w:rPr>
          <w:i/>
          <w:iCs/>
        </w:rPr>
        <w:t xml:space="preserve">International Journal of Public Sector Management, 16</w:t>
      </w:r>
      <w:r>
        <w:rPr>
          <w:i w:val="false"/>
          <w:iCs w:val="false"/>
        </w:rPr>
        <w:t xml:space="preserve">(6), 468–481.</w:t>
      </w:r>
    </w:p>
    <w:p>
      <w:pPr>
        <w:spacing w:after="100"/>
        <w:ind w:left="567" w:hanging="567"/>
      </w:pPr>
      <w:r>
        <w:rPr>
          <w:i w:val="false"/>
          <w:iCs w:val="false"/>
        </w:rPr>
        <w:t xml:space="preserve">Emery, Y., &amp; Giauque, D. (2014). L'univers hybride de l'administration au XXIe siècle. Introduction. </w:t>
      </w:r>
      <w:r>
        <w:rPr>
          <w:i/>
          <w:iCs/>
        </w:rPr>
        <w:t xml:space="preserve">Revue Internationale des Sciences Administratives, 80</w:t>
      </w:r>
      <w:r>
        <w:rPr>
          <w:i w:val="false"/>
          <w:iCs w:val="false"/>
        </w:rPr>
        <w:t xml:space="preserve">(1), 25–34.</w:t>
      </w:r>
    </w:p>
    <w:p>
      <w:pPr>
        <w:spacing w:after="100"/>
        <w:ind w:left="567" w:hanging="567"/>
      </w:pPr>
      <w:r>
        <w:rPr>
          <w:i w:val="false"/>
          <w:iCs w:val="false"/>
        </w:rPr>
        <w:t xml:space="preserve">Emery, Y., &amp; Giauque, D. (2019). Les paradoxes d'une gouvernance publique à distance par les indicateurs. In </w:t>
      </w:r>
      <w:r>
        <w:rPr>
          <w:i/>
          <w:iCs/>
        </w:rPr>
        <w:t xml:space="preserve">Manager les paradoxes dans le secteur public</w:t>
      </w:r>
      <w:r>
        <w:rPr>
          <w:i w:val="false"/>
          <w:iCs w:val="false"/>
        </w:rPr>
        <w:t xml:space="preserve"> (pp. 9–30).</w:t>
      </w:r>
    </w:p>
    <w:p>
      <w:pPr>
        <w:spacing w:after="100"/>
        <w:ind w:left="567" w:hanging="567"/>
      </w:pPr>
      <w:r>
        <w:rPr>
          <w:i w:val="false"/>
          <w:iCs w:val="false"/>
        </w:rPr>
        <w:t xml:space="preserve">Fama, E. F., &amp; Jensen, M. C. (1983). Separation of ownership and control. </w:t>
      </w:r>
      <w:r>
        <w:rPr>
          <w:i/>
          <w:iCs/>
        </w:rPr>
        <w:t xml:space="preserve">The Journal of Law and Economics, 26</w:t>
      </w:r>
      <w:r>
        <w:rPr>
          <w:i w:val="false"/>
          <w:iCs w:val="false"/>
        </w:rPr>
        <w:t xml:space="preserve">(2), 301–325.</w:t>
      </w:r>
    </w:p>
    <w:p>
      <w:pPr>
        <w:spacing w:after="100"/>
        <w:ind w:left="567" w:hanging="567"/>
      </w:pPr>
      <w:r>
        <w:rPr>
          <w:i w:val="false"/>
          <w:iCs w:val="false"/>
        </w:rPr>
        <w:t xml:space="preserve">Forbes, D. P., &amp; Milliken, F. J. (1999). Cognition and corporate governance: Understanding boards of directors as strategic decision-making groups. </w:t>
      </w:r>
      <w:r>
        <w:rPr>
          <w:i/>
          <w:iCs/>
        </w:rPr>
        <w:t xml:space="preserve">Academy of Management Review, 24</w:t>
      </w:r>
      <w:r>
        <w:rPr>
          <w:i w:val="false"/>
          <w:iCs w:val="false"/>
        </w:rPr>
        <w:t xml:space="preserve">(3), 489–505.</w:t>
      </w:r>
    </w:p>
    <w:p>
      <w:pPr>
        <w:spacing w:after="100"/>
        <w:ind w:left="567" w:hanging="567"/>
      </w:pPr>
      <w:r>
        <w:rPr>
          <w:i w:val="false"/>
          <w:iCs w:val="false"/>
        </w:rPr>
        <w:t xml:space="preserve">Freeman, R. E. (1984). </w:t>
      </w:r>
      <w:r>
        <w:rPr>
          <w:i/>
          <w:iCs/>
        </w:rPr>
        <w:t xml:space="preserve">Strategic management: A stakeholder approach</w:t>
      </w:r>
      <w:r>
        <w:rPr>
          <w:i w:val="false"/>
          <w:iCs w:val="false"/>
        </w:rPr>
        <w:t xml:space="preserve">. Pitman.</w:t>
      </w:r>
    </w:p>
    <w:p>
      <w:pPr>
        <w:spacing w:after="100"/>
        <w:ind w:left="567" w:hanging="567"/>
      </w:pPr>
      <w:r>
        <w:rPr>
          <w:i w:val="false"/>
          <w:iCs w:val="false"/>
        </w:rPr>
        <w:t xml:space="preserve">Giauque, D. (2003). New public management and organizational regulation: The liberal bureaucracy. </w:t>
      </w:r>
      <w:r>
        <w:rPr>
          <w:i/>
          <w:iCs/>
        </w:rPr>
        <w:t xml:space="preserve">International Review of Administrative Sciences, 69</w:t>
      </w:r>
      <w:r>
        <w:rPr>
          <w:i w:val="false"/>
          <w:iCs w:val="false"/>
        </w:rPr>
        <w:t xml:space="preserve">(4), 567–592.</w:t>
      </w:r>
    </w:p>
    <w:p>
      <w:pPr>
        <w:spacing w:after="100"/>
        <w:ind w:left="567" w:hanging="567"/>
      </w:pPr>
      <w:r>
        <w:rPr>
          <w:i w:val="false"/>
          <w:iCs w:val="false"/>
        </w:rPr>
        <w:t xml:space="preserve">Giauque, D. (2024). Une nouvelle économie politique des administrations publiques : la gouvernance à distance. </w:t>
      </w:r>
      <w:r>
        <w:rPr>
          <w:i/>
          <w:iCs/>
        </w:rPr>
        <w:t xml:space="preserve">Éthique publique, 25</w:t>
      </w:r>
      <w:r>
        <w:rPr>
          <w:i w:val="false"/>
          <w:iCs w:val="false"/>
        </w:rPr>
        <w:t xml:space="preserve">(2).</w:t>
      </w:r>
    </w:p>
    <w:p>
      <w:pPr>
        <w:spacing w:after="100"/>
        <w:ind w:left="567" w:hanging="567"/>
      </w:pPr>
      <w:r>
        <w:rPr>
          <w:i w:val="false"/>
          <w:iCs w:val="false"/>
        </w:rPr>
        <w:t xml:space="preserve">Giauque, D., Anderfuhren-Biget, S., &amp; Varone, F. (2013). HRM practices, intrinsic motivators, and organizational performance in the public sector. </w:t>
      </w:r>
      <w:r>
        <w:rPr>
          <w:i/>
          <w:iCs/>
        </w:rPr>
        <w:t xml:space="preserve">Public Personnel Management, 42</w:t>
      </w:r>
      <w:r>
        <w:rPr>
          <w:i w:val="false"/>
          <w:iCs w:val="false"/>
        </w:rPr>
        <w:t xml:space="preserve">(2), 123–150.</w:t>
      </w:r>
    </w:p>
    <w:p>
      <w:pPr>
        <w:spacing w:after="100"/>
        <w:ind w:left="567" w:hanging="567"/>
      </w:pPr>
      <w:r>
        <w:rPr>
          <w:i w:val="false"/>
          <w:iCs w:val="false"/>
        </w:rPr>
        <w:t xml:space="preserve">Gioia, D. A., &amp; Chittipeddi, K. (1991). Sensemaking and sensegiving in strategic change initiation. </w:t>
      </w:r>
      <w:r>
        <w:rPr>
          <w:i/>
          <w:iCs/>
        </w:rPr>
        <w:t xml:space="preserve">Strategic Management Journal, 12</w:t>
      </w:r>
      <w:r>
        <w:rPr>
          <w:i w:val="false"/>
          <w:iCs w:val="false"/>
        </w:rPr>
        <w:t xml:space="preserve">(6), 433–448.</w:t>
      </w:r>
    </w:p>
    <w:p>
      <w:pPr>
        <w:spacing w:after="100"/>
        <w:ind w:left="567" w:hanging="567"/>
      </w:pPr>
      <w:r>
        <w:rPr>
          <w:i w:val="false"/>
          <w:iCs w:val="false"/>
        </w:rPr>
        <w:t xml:space="preserve">Giovannini, C., &amp; Giauque, D. (2023). La résilience organisationnelle, entre agilité et rigidité ? </w:t>
      </w:r>
      <w:r>
        <w:rPr>
          <w:i/>
          <w:iCs/>
        </w:rPr>
        <w:t xml:space="preserve">Swiss Yearbook of Administrative Sciences, 14</w:t>
      </w:r>
      <w:r>
        <w:rPr>
          <w:i w:val="false"/>
          <w:iCs w:val="false"/>
        </w:rPr>
        <w:t xml:space="preserve">(1), 73–84.</w:t>
      </w:r>
    </w:p>
    <w:p>
      <w:pPr>
        <w:spacing w:after="100"/>
        <w:ind w:left="567" w:hanging="567"/>
      </w:pPr>
      <w:r>
        <w:rPr>
          <w:i w:val="false"/>
          <w:iCs w:val="false"/>
        </w:rPr>
        <w:t xml:space="preserve">Gooderham, P. N., Morley, M. J., Parry, E., &amp; Stavrou, E. (2015). National and firm-level drivers of the devolution of HRM decision making to line managers. </w:t>
      </w:r>
      <w:r>
        <w:rPr>
          <w:i/>
          <w:iCs/>
        </w:rPr>
        <w:t xml:space="preserve">Journal of International Business Studies, 46</w:t>
      </w:r>
      <w:r>
        <w:rPr>
          <w:i w:val="false"/>
          <w:iCs w:val="false"/>
        </w:rPr>
        <w:t xml:space="preserve">(6), 715–723.</w:t>
      </w:r>
    </w:p>
    <w:p>
      <w:pPr>
        <w:spacing w:after="100"/>
        <w:ind w:left="567" w:hanging="567"/>
      </w:pPr>
      <w:r>
        <w:rPr>
          <w:i w:val="false"/>
          <w:iCs w:val="false"/>
        </w:rPr>
        <w:t xml:space="preserve">Haleblian, J., &amp; Rajagopalan, N. (2006). A cognitive model of CEO dismissal: Understanding the influence of board perceptions, attributions and efficacy beliefs. </w:t>
      </w:r>
      <w:r>
        <w:rPr>
          <w:i/>
          <w:iCs/>
        </w:rPr>
        <w:t xml:space="preserve">Journal of Management Studies, 43</w:t>
      </w:r>
      <w:r>
        <w:rPr>
          <w:i w:val="false"/>
          <w:iCs w:val="false"/>
        </w:rPr>
        <w:t xml:space="preserve">(5), 1009–1026.</w:t>
      </w:r>
    </w:p>
    <w:p>
      <w:pPr>
        <w:spacing w:after="100"/>
        <w:ind w:left="567" w:hanging="567"/>
      </w:pPr>
      <w:r>
        <w:rPr>
          <w:i w:val="false"/>
          <w:iCs w:val="false"/>
        </w:rPr>
        <w:t xml:space="preserve">Hardy, C. (1996). Understanding power: Bringing about strategic change. </w:t>
      </w:r>
      <w:r>
        <w:rPr>
          <w:i/>
          <w:iCs/>
        </w:rPr>
        <w:t xml:space="preserve">British Journal of Management, 7</w:t>
      </w:r>
      <w:r>
        <w:rPr>
          <w:i w:val="false"/>
          <w:iCs w:val="false"/>
        </w:rPr>
        <w:t xml:space="preserve">(S1), S3–S16.</w:t>
      </w:r>
    </w:p>
    <w:p>
      <w:pPr>
        <w:spacing w:after="100"/>
        <w:ind w:left="567" w:hanging="567"/>
      </w:pPr>
      <w:r>
        <w:rPr>
          <w:i w:val="false"/>
          <w:iCs w:val="false"/>
        </w:rPr>
        <w:t xml:space="preserve">Hilb, M. (2016). </w:t>
      </w:r>
      <w:r>
        <w:rPr>
          <w:i/>
          <w:iCs/>
        </w:rPr>
        <w:t xml:space="preserve">New corporate governance: Successful board management tools</w:t>
      </w:r>
      <w:r>
        <w:rPr>
          <w:i w:val="false"/>
          <w:iCs w:val="false"/>
        </w:rPr>
        <w:t xml:space="preserve"> (5e éd.). Springer.</w:t>
      </w:r>
    </w:p>
    <w:p>
      <w:pPr>
        <w:spacing w:after="100"/>
        <w:ind w:left="567" w:hanging="567"/>
      </w:pPr>
      <w:r>
        <w:rPr>
          <w:i w:val="false"/>
          <w:iCs w:val="false"/>
        </w:rPr>
        <w:t xml:space="preserve">Janis, I. L. (1972). </w:t>
      </w:r>
      <w:r>
        <w:rPr>
          <w:i/>
          <w:iCs/>
        </w:rPr>
        <w:t xml:space="preserve">Victims of groupthink: A psychological study of foreign-policy decisions and fiascoes</w:t>
      </w:r>
      <w:r>
        <w:rPr>
          <w:i w:val="false"/>
          <w:iCs w:val="false"/>
        </w:rPr>
        <w:t xml:space="preserve">. Houghton Mifflin.</w:t>
      </w:r>
    </w:p>
    <w:p>
      <w:pPr>
        <w:spacing w:after="100"/>
        <w:ind w:left="567" w:hanging="567"/>
      </w:pPr>
      <w:r>
        <w:rPr>
          <w:i w:val="false"/>
          <w:iCs w:val="false"/>
        </w:rPr>
        <w:t xml:space="preserve">Jensen, M. C., &amp; Meckling, W. H. (1976). Theory of the firm: Managerial behavior, agency costs and ownership structure. </w:t>
      </w:r>
      <w:r>
        <w:rPr>
          <w:i/>
          <w:iCs/>
        </w:rPr>
        <w:t xml:space="preserve">Journal of Financial Economics, 3</w:t>
      </w:r>
      <w:r>
        <w:rPr>
          <w:i w:val="false"/>
          <w:iCs w:val="false"/>
        </w:rPr>
        <w:t xml:space="preserve">(4), 305–360.</w:t>
      </w:r>
    </w:p>
    <w:p>
      <w:pPr>
        <w:spacing w:after="100"/>
        <w:ind w:left="567" w:hanging="567"/>
      </w:pPr>
      <w:r>
        <w:rPr>
          <w:i w:val="false"/>
          <w:iCs w:val="false"/>
        </w:rPr>
        <w:t xml:space="preserve">Jungmann, C. (2006). The effectiveness of corporate governance in one-tier and two-tier board systems: Evidence from the UK and Germany. </w:t>
      </w:r>
      <w:r>
        <w:rPr>
          <w:i/>
          <w:iCs/>
        </w:rPr>
        <w:t xml:space="preserve">European Company and Financial Law Review, 3</w:t>
      </w:r>
      <w:r>
        <w:rPr>
          <w:i w:val="false"/>
          <w:iCs w:val="false"/>
        </w:rPr>
        <w:t xml:space="preserve">(4), 426–474.</w:t>
      </w:r>
    </w:p>
    <w:p>
      <w:pPr>
        <w:spacing w:after="100"/>
        <w:ind w:left="567" w:hanging="567"/>
      </w:pPr>
      <w:r>
        <w:rPr>
          <w:i w:val="false"/>
          <w:iCs w:val="false"/>
        </w:rPr>
        <w:t xml:space="preserve">Kahneman, D. (2012). Two systems in the mind. </w:t>
      </w:r>
      <w:r>
        <w:rPr>
          <w:i/>
          <w:iCs/>
        </w:rPr>
        <w:t xml:space="preserve">Bulletin of the American Academy of Arts and Sciences, 65</w:t>
      </w:r>
      <w:r>
        <w:rPr>
          <w:i w:val="false"/>
          <w:iCs w:val="false"/>
        </w:rPr>
        <w:t xml:space="preserve">(2), 55–59.</w:t>
      </w:r>
    </w:p>
    <w:p>
      <w:pPr>
        <w:spacing w:after="100"/>
        <w:ind w:left="567" w:hanging="567"/>
      </w:pPr>
      <w:r>
        <w:rPr>
          <w:i w:val="false"/>
          <w:iCs w:val="false"/>
        </w:rPr>
        <w:t xml:space="preserve">Kahneman, D., Lovallo, D., &amp; Sibony, O. (2011). Before you make that big decision. </w:t>
      </w:r>
      <w:r>
        <w:rPr>
          <w:i/>
          <w:iCs/>
        </w:rPr>
        <w:t xml:space="preserve">Harvard Business Review, 89</w:t>
      </w:r>
      <w:r>
        <w:rPr>
          <w:i w:val="false"/>
          <w:iCs w:val="false"/>
        </w:rPr>
        <w:t xml:space="preserve">(6), 50–60.</w:t>
      </w:r>
    </w:p>
    <w:p>
      <w:pPr>
        <w:spacing w:after="100"/>
        <w:ind w:left="567" w:hanging="567"/>
      </w:pPr>
      <w:r>
        <w:rPr>
          <w:i w:val="false"/>
          <w:iCs w:val="false"/>
        </w:rPr>
        <w:t xml:space="preserve">Klein, G. (2007). Performing a project premortem. </w:t>
      </w:r>
      <w:r>
        <w:rPr>
          <w:i/>
          <w:iCs/>
        </w:rPr>
        <w:t xml:space="preserve">Harvard Business Review, 85</w:t>
      </w:r>
      <w:r>
        <w:rPr>
          <w:i w:val="false"/>
          <w:iCs w:val="false"/>
        </w:rPr>
        <w:t xml:space="preserve">(9), 18–19.</w:t>
      </w:r>
    </w:p>
    <w:p>
      <w:pPr>
        <w:spacing w:after="100"/>
        <w:ind w:left="567" w:hanging="567"/>
      </w:pPr>
      <w:r>
        <w:rPr>
          <w:i w:val="false"/>
          <w:iCs w:val="false"/>
        </w:rPr>
        <w:t xml:space="preserve">Kunz, P. V. (2010). Swiss corporate governance: An overview. In </w:t>
      </w:r>
      <w:r>
        <w:rPr>
          <w:i/>
          <w:iCs/>
        </w:rPr>
        <w:t xml:space="preserve">Rapports suisses présentés au XVIIIe Congrès international de droit comparé</w:t>
      </w:r>
      <w:r>
        <w:rPr>
          <w:i w:val="false"/>
          <w:iCs w:val="false"/>
        </w:rPr>
        <w:t xml:space="preserve"> (pp. 99–134).</w:t>
      </w:r>
    </w:p>
    <w:p>
      <w:pPr>
        <w:spacing w:after="100"/>
        <w:ind w:left="567" w:hanging="567"/>
      </w:pPr>
      <w:r>
        <w:rPr>
          <w:i w:val="false"/>
          <w:iCs w:val="false"/>
        </w:rPr>
        <w:t xml:space="preserve">Lamari, M. (2010). Le transfert intergénérationnel des connaissances tacites : les concepts utilisés et les évidences empiriques démontrées. </w:t>
      </w:r>
      <w:r>
        <w:rPr>
          <w:i/>
          <w:iCs/>
        </w:rPr>
        <w:t xml:space="preserve">Télescope, 16</w:t>
      </w:r>
      <w:r>
        <w:rPr>
          <w:i w:val="false"/>
          <w:iCs w:val="false"/>
        </w:rPr>
        <w:t xml:space="preserve">(1), 39–65.</w:t>
      </w:r>
    </w:p>
    <w:p>
      <w:pPr>
        <w:spacing w:after="100"/>
        <w:ind w:left="567" w:hanging="567"/>
      </w:pPr>
      <w:r>
        <w:rPr>
          <w:i w:val="false"/>
          <w:iCs w:val="false"/>
        </w:rPr>
        <w:t xml:space="preserve">Lima, L., &amp; Galleli, B. (2021). Human resources management and corporate governance: Integration perspectives and future directions. </w:t>
      </w:r>
      <w:r>
        <w:rPr>
          <w:i/>
          <w:iCs/>
        </w:rPr>
        <w:t xml:space="preserve">European Management Journal, 39</w:t>
      </w:r>
      <w:r>
        <w:rPr>
          <w:i w:val="false"/>
          <w:iCs w:val="false"/>
        </w:rPr>
        <w:t xml:space="preserve">(6), 731–744.</w:t>
      </w:r>
    </w:p>
    <w:p>
      <w:pPr>
        <w:spacing w:after="100"/>
        <w:ind w:left="567" w:hanging="567"/>
      </w:pPr>
      <w:r>
        <w:rPr>
          <w:i w:val="false"/>
          <w:iCs w:val="false"/>
        </w:rPr>
        <w:t xml:space="preserve">Martin, G., Farndale, E., Paauwe, J., &amp; Stiles, P. G. (2016). Corporate governance and strategic human resource management: Four archetypes and proposals for a new approach to corporate sustainability. </w:t>
      </w:r>
      <w:r>
        <w:rPr>
          <w:i/>
          <w:iCs/>
        </w:rPr>
        <w:t xml:space="preserve">European Management Journal, 34</w:t>
      </w:r>
      <w:r>
        <w:rPr>
          <w:i w:val="false"/>
          <w:iCs w:val="false"/>
        </w:rPr>
        <w:t xml:space="preserve">(1), 22–35.</w:t>
      </w:r>
    </w:p>
    <w:p>
      <w:pPr>
        <w:spacing w:after="100"/>
        <w:ind w:left="567" w:hanging="567"/>
      </w:pPr>
      <w:r>
        <w:rPr>
          <w:i w:val="false"/>
          <w:iCs w:val="false"/>
        </w:rPr>
        <w:t xml:space="preserve">McCormick, M. J., &amp; Martinko, M. J. (2004). Identifying leader social cognitions: Integrating the causal reasoning perspective into social cognitive theory. </w:t>
      </w:r>
      <w:r>
        <w:rPr>
          <w:i/>
          <w:iCs/>
        </w:rPr>
        <w:t xml:space="preserve">Journal of Leadership &amp; Organizational Studies, 10</w:t>
      </w:r>
      <w:r>
        <w:rPr>
          <w:i w:val="false"/>
          <w:iCs w:val="false"/>
        </w:rPr>
        <w:t xml:space="preserve">(4), 2–11.</w:t>
      </w:r>
    </w:p>
    <w:p>
      <w:pPr>
        <w:spacing w:after="100"/>
        <w:ind w:left="567" w:hanging="567"/>
      </w:pPr>
      <w:r>
        <w:rPr>
          <w:i w:val="false"/>
          <w:iCs w:val="false"/>
        </w:rPr>
        <w:t xml:space="preserve">Meyer, J. W., &amp; Rowan, B. (1977). Institutionalized organizations: Formal structure as myth and ceremony. </w:t>
      </w:r>
      <w:r>
        <w:rPr>
          <w:i/>
          <w:iCs/>
        </w:rPr>
        <w:t xml:space="preserve">American Journal of Sociology, 83</w:t>
      </w:r>
      <w:r>
        <w:rPr>
          <w:i w:val="false"/>
          <w:iCs w:val="false"/>
        </w:rPr>
        <w:t xml:space="preserve">(2), 340–363.</w:t>
      </w:r>
    </w:p>
    <w:p>
      <w:pPr>
        <w:spacing w:after="100"/>
        <w:ind w:left="567" w:hanging="567"/>
      </w:pPr>
      <w:r>
        <w:rPr>
          <w:i w:val="false"/>
          <w:iCs w:val="false"/>
        </w:rPr>
        <w:t xml:space="preserve">Nonaka, I., &amp; Takeuchi, H. (1995). </w:t>
      </w:r>
      <w:r>
        <w:rPr>
          <w:i/>
          <w:iCs/>
        </w:rPr>
        <w:t xml:space="preserve">The knowledge-creating company: How Japanese companies create the dynamics of innovation</w:t>
      </w:r>
      <w:r>
        <w:rPr>
          <w:i w:val="false"/>
          <w:iCs w:val="false"/>
        </w:rPr>
        <w:t xml:space="preserve">. Oxford University Press.</w:t>
      </w:r>
    </w:p>
    <w:p>
      <w:pPr>
        <w:spacing w:after="100"/>
        <w:ind w:left="567" w:hanging="567"/>
      </w:pPr>
      <w:r>
        <w:rPr>
          <w:i w:val="false"/>
          <w:iCs w:val="false"/>
        </w:rPr>
        <w:t xml:space="preserve">Ocasio, W. (1997). Towards an attention-based view of the firm. </w:t>
      </w:r>
      <w:r>
        <w:rPr>
          <w:i/>
          <w:iCs/>
        </w:rPr>
        <w:t xml:space="preserve">Strategic Management Journal, 18</w:t>
      </w:r>
      <w:r>
        <w:rPr>
          <w:i w:val="false"/>
          <w:iCs w:val="false"/>
        </w:rPr>
        <w:t xml:space="preserve">(S1), 187–206.</w:t>
      </w:r>
    </w:p>
    <w:p>
      <w:pPr>
        <w:spacing w:after="100"/>
        <w:ind w:left="567" w:hanging="567"/>
      </w:pPr>
      <w:r>
        <w:rPr>
          <w:i w:val="false"/>
          <w:iCs w:val="false"/>
        </w:rPr>
        <w:t xml:space="preserve">Petrovic, J., Saridakis, G., &amp; Johnstone, S. (2018). An integrative approach to HRM–firm performance relationship: A missing link to corporate governance. </w:t>
      </w:r>
      <w:r>
        <w:rPr>
          <w:i/>
          <w:iCs/>
        </w:rPr>
        <w:t xml:space="preserve">Corporate Governance, 18</w:t>
      </w:r>
      <w:r>
        <w:rPr>
          <w:i w:val="false"/>
          <w:iCs w:val="false"/>
        </w:rPr>
        <w:t xml:space="preserve">(2), 331–352.</w:t>
      </w:r>
    </w:p>
    <w:p>
      <w:pPr>
        <w:spacing w:after="100"/>
        <w:ind w:left="567" w:hanging="567"/>
      </w:pPr>
      <w:r>
        <w:rPr>
          <w:i w:val="false"/>
          <w:iCs w:val="false"/>
        </w:rPr>
        <w:t xml:space="preserve">Pfeffer, J. (1992). </w:t>
      </w:r>
      <w:r>
        <w:rPr>
          <w:i/>
          <w:iCs/>
        </w:rPr>
        <w:t xml:space="preserve">Managing with power: Politics and influence in organizations</w:t>
      </w:r>
      <w:r>
        <w:rPr>
          <w:i w:val="false"/>
          <w:iCs w:val="false"/>
        </w:rPr>
        <w:t xml:space="preserve">. Harvard Business School Press.</w:t>
      </w:r>
    </w:p>
    <w:p>
      <w:pPr>
        <w:spacing w:after="100"/>
        <w:ind w:left="567" w:hanging="567"/>
      </w:pPr>
      <w:r>
        <w:rPr>
          <w:i w:val="false"/>
          <w:iCs w:val="false"/>
        </w:rPr>
        <w:t xml:space="preserve">Polanyi, M. (1966). The logic of tacit inference. </w:t>
      </w:r>
      <w:r>
        <w:rPr>
          <w:i/>
          <w:iCs/>
        </w:rPr>
        <w:t xml:space="preserve">Philosophy, 41</w:t>
      </w:r>
      <w:r>
        <w:rPr>
          <w:i w:val="false"/>
          <w:iCs w:val="false"/>
        </w:rPr>
        <w:t xml:space="preserve">(155), 1–18.</w:t>
      </w:r>
    </w:p>
    <w:p>
      <w:pPr>
        <w:spacing w:after="100"/>
        <w:ind w:left="567" w:hanging="567"/>
      </w:pPr>
      <w:r>
        <w:rPr>
          <w:i w:val="false"/>
          <w:iCs w:val="false"/>
        </w:rPr>
        <w:t xml:space="preserve">Prévot, F., Brulhart, F., &amp; Guieu, G. (2010). Perspectives fondées sur les ressources : proposition de synthèse. </w:t>
      </w:r>
      <w:r>
        <w:rPr>
          <w:i/>
          <w:iCs/>
        </w:rPr>
        <w:t xml:space="preserve">Revue française de gestion, 204</w:t>
      </w:r>
      <w:r>
        <w:rPr>
          <w:i w:val="false"/>
          <w:iCs w:val="false"/>
        </w:rPr>
        <w:t xml:space="preserve">(5), 87–103.</w:t>
      </w:r>
    </w:p>
    <w:p>
      <w:pPr>
        <w:spacing w:after="100"/>
        <w:ind w:left="567" w:hanging="567"/>
      </w:pPr>
      <w:r>
        <w:rPr>
          <w:i w:val="false"/>
          <w:iCs w:val="false"/>
        </w:rPr>
        <w:t xml:space="preserve">Reichel, A., &amp; Lazarova, M. (2013). The effects of outsourcing and devolvement on the strategic position of HR departments. </w:t>
      </w:r>
      <w:r>
        <w:rPr>
          <w:i/>
          <w:iCs/>
        </w:rPr>
        <w:t xml:space="preserve">Human Resource Management, 52</w:t>
      </w:r>
      <w:r>
        <w:rPr>
          <w:i w:val="false"/>
          <w:iCs w:val="false"/>
        </w:rPr>
        <w:t xml:space="preserve">(6), 923–946.</w:t>
      </w:r>
    </w:p>
    <w:p>
      <w:pPr>
        <w:spacing w:after="100"/>
        <w:ind w:left="567" w:hanging="567"/>
      </w:pPr>
      <w:r>
        <w:rPr>
          <w:i w:val="false"/>
          <w:iCs w:val="false"/>
        </w:rPr>
        <w:t xml:space="preserve">Ritz, A. (2009). La motivation de service public et la performance organisationnelle au sein de l'administration fédérale suisse. </w:t>
      </w:r>
      <w:r>
        <w:rPr>
          <w:i/>
          <w:iCs/>
        </w:rPr>
        <w:t xml:space="preserve">Revue Internationale des Sciences Administratives, 75</w:t>
      </w:r>
      <w:r>
        <w:rPr>
          <w:i w:val="false"/>
          <w:iCs w:val="false"/>
        </w:rPr>
        <w:t xml:space="preserve">(1), 59–86.</w:t>
      </w:r>
    </w:p>
    <w:p>
      <w:pPr>
        <w:spacing w:after="100"/>
        <w:ind w:left="567" w:hanging="567"/>
      </w:pPr>
      <w:r>
        <w:rPr>
          <w:i w:val="false"/>
          <w:iCs w:val="false"/>
        </w:rPr>
        <w:t xml:space="preserve">Schmid, M. M., &amp; Zimmermann, H. (2008). Should chairman and CEO be separated? Leadership structure and firm performance in Switzerland. </w:t>
      </w:r>
      <w:r>
        <w:rPr>
          <w:i/>
          <w:iCs/>
        </w:rPr>
        <w:t xml:space="preserve">Schmalenbach Business Review, 60</w:t>
      </w:r>
      <w:r>
        <w:rPr>
          <w:i w:val="false"/>
          <w:iCs w:val="false"/>
        </w:rPr>
        <w:t xml:space="preserve">(2), 182–204.</w:t>
      </w:r>
    </w:p>
    <w:p>
      <w:pPr>
        <w:spacing w:after="100"/>
        <w:ind w:left="567" w:hanging="567"/>
      </w:pPr>
      <w:r>
        <w:rPr>
          <w:i w:val="false"/>
          <w:iCs w:val="false"/>
        </w:rPr>
        <w:t xml:space="preserve">Schwenk, C. R. (1988). The cognitive perspective on strategic decision making. </w:t>
      </w:r>
      <w:r>
        <w:rPr>
          <w:i/>
          <w:iCs/>
        </w:rPr>
        <w:t xml:space="preserve">Journal of Management Studies, 25</w:t>
      </w:r>
      <w:r>
        <w:rPr>
          <w:i w:val="false"/>
          <w:iCs w:val="false"/>
        </w:rPr>
        <w:t xml:space="preserve">(1), 41–55.</w:t>
      </w:r>
    </w:p>
    <w:p>
      <w:pPr>
        <w:spacing w:after="100"/>
        <w:ind w:left="567" w:hanging="567"/>
      </w:pPr>
      <w:r>
        <w:rPr>
          <w:i w:val="false"/>
          <w:iCs w:val="false"/>
        </w:rPr>
        <w:t xml:space="preserve">Sheehan, C., De Cieri, H., Cooper, B., &amp; Brooks, R. (2014). Exploring the power dimensions of the human resource function. </w:t>
      </w:r>
      <w:r>
        <w:rPr>
          <w:i/>
          <w:iCs/>
        </w:rPr>
        <w:t xml:space="preserve">Human Resource Management Journal, 24</w:t>
      </w:r>
      <w:r>
        <w:rPr>
          <w:i w:val="false"/>
          <w:iCs w:val="false"/>
        </w:rPr>
        <w:t xml:space="preserve">(2), 193–210.</w:t>
      </w:r>
    </w:p>
    <w:p>
      <w:pPr>
        <w:spacing w:after="100"/>
        <w:ind w:left="567" w:hanging="567"/>
      </w:pPr>
      <w:r>
        <w:rPr>
          <w:i w:val="false"/>
          <w:iCs w:val="false"/>
        </w:rPr>
        <w:t xml:space="preserve">Simonson, I., &amp; Staw, B. M. (1992). Deescalation strategies: A comparison of techniques for reducing commitment to losing courses of action. </w:t>
      </w:r>
      <w:r>
        <w:rPr>
          <w:i/>
          <w:iCs/>
        </w:rPr>
        <w:t xml:space="preserve">Journal of Applied Psychology, 77</w:t>
      </w:r>
      <w:r>
        <w:rPr>
          <w:i w:val="false"/>
          <w:iCs w:val="false"/>
        </w:rPr>
        <w:t xml:space="preserve">(4), 419–426.</w:t>
      </w:r>
    </w:p>
    <w:p>
      <w:pPr>
        <w:spacing w:after="100"/>
        <w:ind w:left="567" w:hanging="567"/>
      </w:pPr>
      <w:r>
        <w:rPr>
          <w:i w:val="false"/>
          <w:iCs w:val="false"/>
        </w:rPr>
        <w:t xml:space="preserve">Sirmon, D. G., Hitt, M. A., Ireland, R. D., &amp; Gilbert, B. A. (2011). Resource orchestration to create competitive advantage: Breadth, depth, and life cycle effects. </w:t>
      </w:r>
      <w:r>
        <w:rPr>
          <w:i/>
          <w:iCs/>
        </w:rPr>
        <w:t xml:space="preserve">Journal of Management, 37</w:t>
      </w:r>
      <w:r>
        <w:rPr>
          <w:i w:val="false"/>
          <w:iCs w:val="false"/>
        </w:rPr>
        <w:t xml:space="preserve">(5), 1390–1412.</w:t>
      </w:r>
    </w:p>
    <w:p>
      <w:pPr>
        <w:spacing w:after="100"/>
        <w:ind w:left="567" w:hanging="567"/>
      </w:pPr>
      <w:r>
        <w:rPr>
          <w:i w:val="false"/>
          <w:iCs w:val="false"/>
        </w:rPr>
        <w:t xml:space="preserve">Stinchcombe, A. L. (1965). Social structure and organizations. In J. G. March (Ed.), </w:t>
      </w:r>
      <w:r>
        <w:rPr>
          <w:i/>
          <w:iCs/>
        </w:rPr>
        <w:t xml:space="preserve">Handbook of organizations</w:t>
      </w:r>
      <w:r>
        <w:rPr>
          <w:i w:val="false"/>
          <w:iCs w:val="false"/>
        </w:rPr>
        <w:t xml:space="preserve"> (pp. 142–193). Rand McNally.</w:t>
      </w:r>
    </w:p>
    <w:p>
      <w:pPr>
        <w:spacing w:after="100"/>
        <w:ind w:left="567" w:hanging="567"/>
      </w:pPr>
      <w:r>
        <w:rPr>
          <w:i w:val="false"/>
          <w:iCs w:val="false"/>
        </w:rPr>
        <w:t xml:space="preserve">Tetlock, P. E. (2000). Cognitive biases and organizational correctives: Do both disease and cure depend on the politics of the beholder? </w:t>
      </w:r>
      <w:r>
        <w:rPr>
          <w:i/>
          <w:iCs/>
        </w:rPr>
        <w:t xml:space="preserve">Administrative Science Quarterly, 45</w:t>
      </w:r>
      <w:r>
        <w:rPr>
          <w:i w:val="false"/>
          <w:iCs w:val="false"/>
        </w:rPr>
        <w:t xml:space="preserve">(2), 293–326.</w:t>
      </w:r>
    </w:p>
    <w:p>
      <w:pPr>
        <w:spacing w:after="100"/>
        <w:ind w:left="567" w:hanging="567"/>
      </w:pPr>
      <w:r>
        <w:rPr>
          <w:i w:val="false"/>
          <w:iCs w:val="false"/>
        </w:rPr>
        <w:t xml:space="preserve">Tversky, A., &amp; Kahneman, D. (1974). Judgment under uncertainty: Heuristics and biases. </w:t>
      </w:r>
      <w:r>
        <w:rPr>
          <w:i/>
          <w:iCs/>
        </w:rPr>
        <w:t xml:space="preserve">Science, 185</w:t>
      </w:r>
      <w:r>
        <w:rPr>
          <w:i w:val="false"/>
          <w:iCs w:val="false"/>
        </w:rPr>
        <w:t xml:space="preserve">(4157), 1124–1131.</w:t>
      </w:r>
    </w:p>
    <w:p>
      <w:pPr>
        <w:spacing w:after="100"/>
        <w:ind w:left="567" w:hanging="567"/>
      </w:pPr>
      <w:r>
        <w:rPr>
          <w:i w:val="false"/>
          <w:iCs w:val="false"/>
        </w:rPr>
        <w:t xml:space="preserve">Vandenabeele, W., Brewer, G. A., &amp; Ritz, A. (2014). Past, present, and future of public service motivation research. </w:t>
      </w:r>
      <w:r>
        <w:rPr>
          <w:i/>
          <w:iCs/>
        </w:rPr>
        <w:t xml:space="preserve">Public Administration, 92</w:t>
      </w:r>
      <w:r>
        <w:rPr>
          <w:i w:val="false"/>
          <w:iCs w:val="false"/>
        </w:rPr>
        <w:t xml:space="preserve">(4), 779–789.</w:t>
      </w:r>
    </w:p>
    <w:p>
      <w:pPr>
        <w:spacing w:after="100"/>
        <w:ind w:left="567" w:hanging="567"/>
      </w:pPr>
      <w:r>
        <w:rPr>
          <w:i w:val="false"/>
          <w:iCs w:val="false"/>
        </w:rPr>
        <w:t xml:space="preserve">Walker, J. (2026, 23 juin). Le rôle des ressources humaines est-il d'aider les employés ? Voici ce que les jeunes professionnels doivent savoir. </w:t>
      </w:r>
      <w:r>
        <w:rPr>
          <w:i/>
          <w:iCs/>
        </w:rPr>
        <w:t xml:space="preserve">The Conversation</w:t>
      </w:r>
      <w:r>
        <w:rPr>
          <w:i w:val="false"/>
          <w:iCs w:val="false"/>
        </w:rPr>
        <w:t xml:space="preserve">. https://theconversation.com/le-role-des-ressources-humaines-est-il-daider-les-employes-voici-ce-que-les-jeunes-professionnels-doivent-savoir-279497</w:t>
      </w:r>
    </w:p>
    <w:p>
      <w:pPr>
        <w:spacing w:after="100"/>
        <w:ind w:left="567" w:hanging="567"/>
      </w:pPr>
      <w:r>
        <w:rPr>
          <w:i w:val="false"/>
          <w:iCs w:val="false"/>
        </w:rPr>
        <w:t xml:space="preserve">Waterman, R. W., &amp; Meier, K. J. (1998). Principal-agent models: An expansion? </w:t>
      </w:r>
      <w:r>
        <w:rPr>
          <w:i/>
          <w:iCs/>
        </w:rPr>
        <w:t xml:space="preserve">Journal of Public Administration Research and Theory, 8</w:t>
      </w:r>
      <w:r>
        <w:rPr>
          <w:i w:val="false"/>
          <w:iCs w:val="false"/>
        </w:rPr>
        <w:t xml:space="preserve">(2), 173–202.</w:t>
      </w:r>
    </w:p>
    <w:p>
      <w:pPr>
        <w:spacing w:after="100"/>
        <w:ind w:left="567" w:hanging="567"/>
      </w:pPr>
      <w:r>
        <w:rPr>
          <w:i w:val="false"/>
          <w:iCs w:val="false"/>
        </w:rPr>
        <w:t xml:space="preserve">Weick, K. E. (1995). </w:t>
      </w:r>
      <w:r>
        <w:rPr>
          <w:i/>
          <w:iCs/>
        </w:rPr>
        <w:t xml:space="preserve">Sensemaking in organizations</w:t>
      </w:r>
      <w:r>
        <w:rPr>
          <w:i w:val="false"/>
          <w:iCs w:val="false"/>
        </w:rPr>
        <w:t xml:space="preserve">. Sage.</w:t>
      </w:r>
    </w:p>
    <w:p>
      <w:pPr>
        <w:pStyle w:val="Heading2"/>
      </w:pPr>
      <w:r>
        <w:t xml:space="preserve">Supports de cours et sources institutionnelles</w:t>
      </w:r>
    </w:p>
    <w:p>
      <w:pPr>
        <w:spacing w:after="100"/>
        <w:ind w:left="567" w:hanging="567"/>
      </w:pPr>
      <w:r>
        <w:rPr>
          <w:i w:val="false"/>
          <w:iCs w:val="false"/>
        </w:rPr>
        <w:t xml:space="preserve">Bédat, J. (2026). </w:t>
      </w:r>
      <w:r>
        <w:rPr>
          <w:i/>
          <w:iCs/>
        </w:rPr>
        <w:t xml:space="preserve">Orchestration stratégique RH</w:t>
      </w:r>
      <w:r>
        <w:rPr>
          <w:i w:val="false"/>
          <w:iCs w:val="false"/>
        </w:rPr>
        <w:t xml:space="preserve"> [Support de cours, jours 1 à 4]. CAS Stratégie et organisation, MRHC, Université de Lausanne.</w:t>
      </w:r>
    </w:p>
    <w:p>
      <w:pPr>
        <w:spacing w:after="100"/>
        <w:ind w:left="567" w:hanging="567"/>
      </w:pPr>
      <w:r>
        <w:rPr>
          <w:i w:val="false"/>
          <w:iCs w:val="false"/>
        </w:rPr>
        <w:t xml:space="preserve">CHUV. (s.d.). </w:t>
      </w:r>
      <w:r>
        <w:rPr>
          <w:i/>
          <w:iCs/>
        </w:rPr>
        <w:t xml:space="preserve">Le 144 sera rattaché au CHUV et la Centrale téléphonique des médecins de garde à Unisanté</w:t>
      </w:r>
      <w:r>
        <w:rPr>
          <w:i w:val="false"/>
          <w:iCs w:val="false"/>
        </w:rPr>
        <w:t xml:space="preserve"> [Communiqué]. https://www.chuv.ch/fr/journalistes/communique/le-144-sera-rattache-au-chuv-et-la-centrale-telephonique-des-medecins-de-garde-a-unisante</w:t>
      </w:r>
    </w:p>
    <w:p>
      <w:pPr>
        <w:spacing w:after="100"/>
        <w:ind w:left="567" w:hanging="567"/>
      </w:pPr>
      <w:r>
        <w:rPr>
          <w:i w:val="false"/>
          <w:iCs w:val="false"/>
        </w:rPr>
        <w:t xml:space="preserve">État de Vaud. (s.d.-a). </w:t>
      </w:r>
      <w:r>
        <w:rPr>
          <w:i/>
          <w:iCs/>
        </w:rPr>
        <w:t xml:space="preserve">Fondation Urgences Santé : rattachements des centrales d'appel</w:t>
      </w:r>
      <w:r>
        <w:rPr>
          <w:i w:val="false"/>
          <w:iCs w:val="false"/>
        </w:rPr>
        <w:t xml:space="preserve">. https://www.vd.ch/toutes-les-actualites/news/i-fondation-urgences-sante</w:t>
      </w:r>
    </w:p>
    <w:p>
      <w:pPr>
        <w:spacing w:after="100"/>
        <w:ind w:left="567" w:hanging="567"/>
      </w:pPr>
      <w:r>
        <w:rPr>
          <w:i w:val="false"/>
          <w:iCs w:val="false"/>
        </w:rPr>
        <w:t xml:space="preserve">État de Vaud. (s.d.-b). </w:t>
      </w:r>
      <w:r>
        <w:rPr>
          <w:i/>
          <w:iCs/>
        </w:rPr>
        <w:t xml:space="preserve">Le Conseil d'État désigne le directeur général d'Unisanté</w:t>
      </w:r>
      <w:r>
        <w:rPr>
          <w:i w:val="false"/>
          <w:iCs w:val="false"/>
        </w:rPr>
        <w:t xml:space="preserve"> [Communiqué]. https://www.vd.ch/actualites/actualite/news/24942-le-conseil-detat-designe-le-dr-karim-boubaker-comme-directeur-general-dunisante</w:t>
      </w:r>
    </w:p>
    <w:p>
      <w:pPr>
        <w:spacing w:after="100"/>
        <w:ind w:left="567" w:hanging="567"/>
      </w:pPr>
      <w:r>
        <w:rPr>
          <w:i w:val="false"/>
          <w:iCs w:val="false"/>
        </w:rPr>
        <w:t xml:space="preserve">État de Vaud. (s.d.-c). </w:t>
      </w:r>
      <w:r>
        <w:rPr>
          <w:i/>
          <w:iCs/>
        </w:rPr>
        <w:t xml:space="preserve">Membres du Conseil d'Unisanté pour 2022-2027</w:t>
      </w:r>
      <w:r>
        <w:rPr>
          <w:i w:val="false"/>
          <w:iCs w:val="false"/>
        </w:rPr>
        <w:t xml:space="preserve"> [Décision du Conseil d'État]. https://www.vd.ch/toutes-les-actualites/decisions-du-conseil-detat/seance-du-conseil-detat/decision/decision/2f2fc729-ddd7-4f12-a035-68e85f187c98</w:t>
      </w:r>
    </w:p>
    <w:p>
      <w:pPr>
        <w:spacing w:after="100"/>
        <w:ind w:left="567" w:hanging="567"/>
      </w:pPr>
      <w:r>
        <w:rPr>
          <w:i w:val="false"/>
          <w:iCs w:val="false"/>
        </w:rPr>
        <w:t xml:space="preserve">Unisanté. (2022). </w:t>
      </w:r>
      <w:r>
        <w:rPr>
          <w:i/>
          <w:iCs/>
        </w:rPr>
        <w:t xml:space="preserve">Plan stratégique 2020-2024 : bilan intermédiaire 2022</w:t>
      </w:r>
      <w:r>
        <w:rPr>
          <w:i w:val="false"/>
          <w:iCs w:val="false"/>
        </w:rPr>
        <w:t xml:space="preserve">. https://www.unisante.ch/fr/media/1208/download</w:t>
      </w:r>
    </w:p>
    <w:p>
      <w:pPr>
        <w:spacing w:after="100"/>
        <w:ind w:left="567" w:hanging="567"/>
      </w:pPr>
      <w:r>
        <w:rPr>
          <w:i w:val="false"/>
          <w:iCs w:val="false"/>
        </w:rPr>
        <w:t xml:space="preserve">Unisanté. (s.d.-a). </w:t>
      </w:r>
      <w:r>
        <w:rPr>
          <w:i/>
          <w:iCs/>
        </w:rPr>
        <w:t xml:space="preserve">Comité de direction</w:t>
      </w:r>
      <w:r>
        <w:rPr>
          <w:i w:val="false"/>
          <w:iCs w:val="false"/>
        </w:rPr>
        <w:t xml:space="preserve">. https://www.unisante.ch/fr/propos-dunisante/unisante-bref/comite-direction</w:t>
      </w:r>
    </w:p>
    <w:p>
      <w:pPr>
        <w:spacing w:after="100"/>
        <w:ind w:left="567" w:hanging="567"/>
      </w:pPr>
      <w:r>
        <w:rPr>
          <w:i w:val="false"/>
          <w:iCs w:val="false"/>
        </w:rPr>
        <w:t xml:space="preserve">Unisanté. (s.d.-b). </w:t>
      </w:r>
      <w:r>
        <w:rPr>
          <w:i/>
          <w:iCs/>
        </w:rPr>
        <w:t xml:space="preserve">Conseil d'Unisanté</w:t>
      </w:r>
      <w:r>
        <w:rPr>
          <w:i w:val="false"/>
          <w:iCs w:val="false"/>
        </w:rPr>
        <w:t xml:space="preserve">. https://www.unisante.ch/fr/propos-dunisante/unisante-bref/conseil-dunisante</w:t>
      </w:r>
    </w:p>
    <w:p>
      <w:pPr>
        <w:spacing w:after="100"/>
        <w:ind w:left="567" w:hanging="567"/>
      </w:pPr>
      <w:r>
        <w:rPr>
          <w:i w:val="false"/>
          <w:iCs w:val="false"/>
        </w:rPr>
        <w:t xml:space="preserve">Unisanté. (s.d.-c). </w:t>
      </w:r>
      <w:r>
        <w:rPr>
          <w:i/>
          <w:iCs/>
        </w:rPr>
        <w:t xml:space="preserve">Département urgences et santé communautaires (DUSC)</w:t>
      </w:r>
      <w:r>
        <w:rPr>
          <w:i w:val="false"/>
          <w:iCs w:val="false"/>
        </w:rPr>
        <w:t xml:space="preserve">. https://www.unisante.ch/fr/propos-dunisante/unisante-bref/departements/departement-urgences-sante-communautaires-dusc</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Times New Roman" w:cs="Times New Roman" w:eastAsia="Times New Roman" w:hAnsi="Times New Roman"/>
      <w:b w:val="false"/>
      <w:bCs w:val="false"/>
      <w:color w:val="000000"/>
      <w:sz w:val="28"/>
      <w:szCs w:val="28"/>
    </w:rPr>
  </w:style>
  <w:style w:type="paragraph" w:styleId="Heading2">
    <w:name w:val="Heading 2"/>
    <w:basedOn w:val="Normal"/>
    <w:next w:val="Normal"/>
    <w:qFormat/>
    <w:pPr>
      <w:keepNext/>
      <w:spacing w:after="80" w:before="200"/>
      <w:outlineLvl w:val="1"/>
    </w:pPr>
    <w:rPr>
      <w:rFonts w:ascii="Times New Roman" w:cs="Times New Roman" w:eastAsia="Times New Roman" w:hAnsi="Times New Roman"/>
      <w:b w:val="false"/>
      <w:bCs w:val="false"/>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CTMG – Synthèse de travail</dc:title>
  <dc:creator>Azdine Zargui-Naji</dc:creator>
  <cp:lastModifiedBy>Un-named</cp:lastModifiedBy>
  <cp:revision>1</cp:revision>
  <dcterms:created xsi:type="dcterms:W3CDTF">2026-09-25T21:06:30.141Z</dcterms:created>
  <dcterms:modified xsi:type="dcterms:W3CDTF">2026-09-25T21:06:30.144Z</dcterms:modified>
</cp:coreProperties>
</file>

<file path=docProps/custom.xml><?xml version="1.0" encoding="utf-8"?>
<Properties xmlns="http://schemas.openxmlformats.org/officeDocument/2006/custom-properties" xmlns:vt="http://schemas.openxmlformats.org/officeDocument/2006/docPropsVTypes"/>
</file>