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val="0"/>
          <w:i w:val="0"/>
          <w:sz w:val="24"/>
        </w:rPr>
        <w:t>CAS Stratégie et organisation – MRHC</w:t>
      </w:r>
    </w:p>
    <w:p>
      <w:pPr>
        <w:spacing w:before="0"/>
        <w:jc w:val="center"/>
      </w:pPr>
      <w:r>
        <w:rPr>
          <w:b w:val="0"/>
          <w:i w:val="0"/>
          <w:sz w:val="24"/>
        </w:rPr>
        <w:t>Université de Lausanne</w:t>
      </w:r>
    </w:p>
    <w:p>
      <w:pPr>
        <w:spacing w:before="1800"/>
        <w:jc w:val="center"/>
      </w:pPr>
      <w:r>
        <w:rPr>
          <w:b/>
          <w:i w:val="0"/>
          <w:sz w:val="36"/>
        </w:rPr>
        <w:t>ORCHESTRATION STRATÉGIQUE RH</w:t>
      </w:r>
    </w:p>
    <w:p>
      <w:pPr>
        <w:spacing w:before="240"/>
        <w:jc w:val="center"/>
      </w:pPr>
      <w:r>
        <w:rPr>
          <w:b w:val="0"/>
          <w:i w:val="0"/>
          <w:sz w:val="30"/>
        </w:rPr>
        <w:t>Audit organisationnel de l'orchestration stratégique RH</w:t>
      </w:r>
    </w:p>
    <w:p>
      <w:pPr>
        <w:spacing w:before="0"/>
        <w:jc w:val="center"/>
      </w:pPr>
      <w:r>
        <w:rPr>
          <w:b w:val="0"/>
          <w:i/>
          <w:sz w:val="26"/>
        </w:rPr>
        <w:t>La Centrale téléphonique des médecins de garde (CTMG) – Unisanté</w:t>
      </w:r>
    </w:p>
    <w:p>
      <w:pPr>
        <w:spacing w:before="240"/>
        <w:jc w:val="center"/>
      </w:pPr>
      <w:r>
        <w:rPr>
          <w:b w:val="0"/>
          <w:i/>
          <w:sz w:val="22"/>
        </w:rPr>
        <w:t>Partie 1 – Introduction et sections 1 à 3 (version de travail)</w:t>
      </w:r>
    </w:p>
    <w:p>
      <w:pPr>
        <w:spacing w:before="1800"/>
        <w:jc w:val="center"/>
      </w:pPr>
      <w:r>
        <w:rPr>
          <w:b w:val="0"/>
          <w:i w:val="0"/>
          <w:sz w:val="24"/>
        </w:rPr>
        <w:t>Dr Joëlle BÉDAT</w:t>
      </w:r>
    </w:p>
    <w:p>
      <w:pPr>
        <w:spacing w:before="1200"/>
        <w:jc w:val="center"/>
      </w:pPr>
      <w:r>
        <w:rPr>
          <w:b/>
          <w:i w:val="0"/>
          <w:sz w:val="26"/>
        </w:rPr>
        <w:t>Azdine ZARGUI-NAJI</w:t>
      </w:r>
    </w:p>
    <w:p>
      <w:pPr>
        <w:spacing w:before="120"/>
        <w:jc w:val="center"/>
      </w:pPr>
      <w:r>
        <w:rPr>
          <w:b w:val="0"/>
          <w:i w:val="0"/>
          <w:sz w:val="24"/>
        </w:rPr>
        <w:t>Septembre 2026</w:t>
      </w:r>
    </w:p>
    <w:p>
      <w:pPr>
        <w:sectPr>
          <w:headerReference w:type="default" r:id="rId9"/>
          <w:footerReference w:type="default" r:id="rId10"/>
          <w:pgSz w:w="11906" w:h="16838"/>
          <w:pgMar w:top="1417" w:right="1417" w:bottom="1417" w:left="1417" w:header="720" w:footer="720" w:gutter="0"/>
          <w:cols w:space="720"/>
          <w:docGrid w:linePitch="360"/>
        </w:sectPr>
      </w:pPr>
    </w:p>
    <w:p>
      <w:r>
        <w:rPr>
          <w:b/>
          <w:color w:val="1F3A5F"/>
          <w:sz w:val="28"/>
        </w:rPr>
        <w:t>Table des matières</w:t>
      </w:r>
    </w:p>
    <w:p>
      <w:r>
        <w:fldChar w:fldCharType="begin"/>
        <w:instrText xml:space="preserve">TOC \o "1-2" \h \z \u</w:instrText>
        <w:fldChar w:fldCharType="separate"/>
        <w:fldChar w:fldCharType="end"/>
      </w:r>
    </w:p>
    <w:p>
      <w:r>
        <w:br w:type="page"/>
      </w:r>
    </w:p>
    <w:p>
      <w:pPr>
        <w:pStyle w:val="Heading1"/>
      </w:pPr>
      <w:r>
        <w:t>La Centrale téléphonique des médecins de garde (CTMG) – Unisanté</w:t>
      </w:r>
    </w:p>
    <w:p>
      <w:r>
        <w:rPr>
          <w:i/>
        </w:rPr>
        <w:t>Module Orchestration stratégique RH – Dr Joëlle Bédat – CAS Stratégie et organisation, MRHC 2026</w:t>
      </w:r>
    </w:p>
    <w:p>
      <w:pPr>
        <w:pStyle w:val="Heading1"/>
      </w:pPr>
      <w:r>
        <w:t>Introduction et démarche</w:t>
      </w:r>
    </w:p>
    <w:p>
      <w:r>
        <w:t>Depuis son rattachement à Unisanté en juillet 2024, la Centrale téléphonique des médecins de garde (CTMG) semble avoir retrouvé une stabilité institutionnelle. Elle est sortie d'une crise, elle a une nouvelle tutelle et son encadrement est renouvelé. Vue du terrain, la situation est pourtant moins apaisée. Des départs se sont succédé, et Unisanté a jugé nécessaire de conduire un audit interne. Les collaborateurs n'en 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
        <w:t xml:space="preserve">C'est de ce décalage que part le présent audit. Le problème n'est pas l'absence d'organes, de procédures ou d'acteurs RH : tous sont en place.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r>
        <w:t>Nous suivons la grille d'audit proposée dans le module (Bédat, 2026) : configuration organisationnelle, structure de gouvernance, acteurs clés, biais cognitifs, enjeux de délégation, puis diagnostic et recommandations.</w:t>
      </w:r>
    </w:p>
    <w:p>
      <w:r>
        <w:rPr>
          <w:b/>
        </w:rPr>
        <w:t>Position de l'auteur et zones d'ombre.</w:t>
      </w:r>
      <w:r>
        <w:t xml:space="preserve"> Nous occupons la fonction de chef de salle à la CTMG. Cette position est à la fois la force et la limite du travail, et nous préférons l'énoncer d'emblée. Un chef de salle voit l'activité en temps réel et reçoit une grande partie de ce que les collègues n'expriment pas ailleurs. Il n'a en revanche aucun accès aux informations internes du service des ressources humaines d'Unisanté : dossiers, statistiques de rotation du personnel et d'absentéisme, entretiens de départ. Il n'a pas accès non plus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r>
        <w:t>Le matériau mobilisé est donc celui qui est accessible depuis cette position. Il comprend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éléments factuels. Ce choix découle d'une contrainte, mais il a aussi un intérêt propre : l'information de terrain est précisément celle dont nous faisons l'hypothèse qu'elle ne parvient pas jusqu'aux organes de gouvernance. Le fait qu'un chef de salle ne puisse pas savoir ce que l'audit interne a conclu constitue déjà, en soi, une observation sur l'asymétrie d'information que nous analyserons plus loin.</w:t>
      </w:r>
    </w:p>
    <w:p>
      <w: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pPr>
      <w:r>
        <w:t>1. Présentation de l'organisation</w:t>
      </w:r>
    </w:p>
    <w:p>
      <w:pPr>
        <w:pStyle w:val="Heading2"/>
      </w:pPr>
      <w:r>
        <w:t>1.1 Mission et statut</w:t>
      </w:r>
    </w:p>
    <w:p>
      <w: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reçoit les demandes d'aide médicale et de détresse psychologique qui ne relèvent pas de l'urgence vitale. Les situations sont évaluées puis orientées vers la ressource la plus adaptée : médecin de garde, service d'urgence, centrale 144, médecin traitant ou simple conseil. La CTMG est aussi l'interlocutrice de nombreux partenaires sanitaires et sociaux : centrale 144, médecins de garde, hôpitaux, centres médico-sociaux, établissements médico-sociaux, police.</w:t>
      </w:r>
    </w:p>
    <w:p>
      <w: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La CTMG relève donc pleinement de la sphère publique, et cela conditionne sa gouvernance comme sa gestion des ressources humaines (voir section 3).</w:t>
      </w:r>
    </w:p>
    <w:p>
      <w:pPr>
        <w:pStyle w:val="Heading2"/>
      </w:pPr>
      <w:r>
        <w:t>1.2 Une trajectoire institutionnelle récente et agitée</w:t>
      </w:r>
    </w:p>
    <w:p>
      <w:r>
        <w:t>La situation actuelle ne se comprend pas sans son histoire proche. 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Cette chronologie a son importance pour l'audit. La crise de confiance actuelle n'est pas un héritage de la Fondation. Elle est apparue dans le nouveau cadre institutionnel, et c'est donc dans ce cadre qu'il faut en chercher les ressorts.</w:t>
      </w:r>
    </w:p>
    <w:p>
      <w:pPr>
        <w:pStyle w:val="Heading2"/>
      </w:pPr>
      <w:r>
        <w:t>1.3 Organisation interne</w:t>
      </w:r>
    </w:p>
    <w:p>
      <w:r>
        <w:t>La CTMG compte une cheffe de service, trois cadres, une médecin responsable, sept chefs de salle, une équipe administrative de deux personnes, une équipe de médecins formateurs, seize agents de front-office et trente-trois régulateurs sanitaires. Ces effectifs proviennent de l'organigramme que nous avons établi à partir de notre connaissance du service (annexe A). Les régulateurs, de formation infirmière, évaluent le degré d'urgence et orientent les appels. Les agents de front-office assurent la première réponse à la population et écartent l'urgence vitale. Les chefs de salle sont eux-mêmes régulateurs et assurent à tour de rôle la coordination de la centrale en temps réel : appels complexes, incidents techniques, organisation de l'équipe du jour. Ils font aussi le lien avec l'encadrement, sans exercer d'autorité hiérarchique. Des praticiens formateurs, issus des régulateurs, assurent la formation des nouveaux collaborateurs, qui dure jusqu'à trois mois pour un régulateur (E2).</w:t>
      </w:r>
    </w:p>
    <w:p>
      <w:r>
        <w:t>Deux lignes coexistent dans cette organisation. La première est managériale : cheffe de service, cadres, chefs de salle. La seconde est médicale : médecin responsable, médecins formateurs, validation de l'autonomie des régulateurs. Nous y reviendrons à propos de la structure dualiste de la gouvernance (section 4).</w:t>
      </w:r>
    </w:p>
    <w:p>
      <w:pPr>
        <w:pStyle w:val="Heading2"/>
      </w:pPr>
      <w:r>
        <w:t>1.4 Enjeux stratégiques</w:t>
      </w:r>
    </w:p>
    <w:p>
      <w:r>
        <w:t>L'enjeu principal de la CTMG est la continuité et la qualité d'une prestation de santé publique qui fonctionne jour et nuit. Or cette prestation repose presque entièrement sur une ressource : le jugement clinique de régulateurs expérimentés, capables d'évaluer à distance des situations très variées. E2 en donne un exemple frappant. Il s'agit d'une patiente jugée « cinglée » par plusieurs interlocuteurs, chez qui la régulatrice reconnaît, grâce à son expérience en Afrique de l'Ouest, une parasitose tropicale, et pour qui elle obtient une consultation spécialisée. Ce type de compétence s'acquiert lentement et se transmet mal. Pour la CTMG, la fidélisation des collaborateurs conditionne donc directement la réalisation de la mission.</w:t>
      </w:r>
    </w:p>
    <w:p>
      <w:pPr>
        <w:pStyle w:val="Heading1"/>
      </w:pPr>
      <w:r>
        <w:t>2. Cadre d'analyse</w:t>
      </w:r>
    </w:p>
    <w:p>
      <w:r>
        <w:t>La notion d'orchestration stratégique RH, telle qu'elle est développée dans le module, invite à ne pas réduire la fonction RH à un service. Elle la situe au croisement de plusieurs niveaux (individus, équipes, organisation, environnement) et de plusieurs acteurs, dont les décisions s'articulent plus ou moins bien (Bédat, 2026). Trois cadres théoriques structurent notre lecture.</w:t>
      </w:r>
    </w:p>
    <w:p>
      <w:r>
        <w:t xml:space="preserve">Le premier est la </w:t>
      </w:r>
      <w:r>
        <w:rPr>
          <w:b/>
        </w:rPr>
        <w:t>gouvernance d'entreprise comportementale</w:t>
      </w:r>
      <w:r>
        <w:t xml:space="preserve"> proposée par Charreaux (2005). Les approches disciplinaires de la gouvernance, issues de la théorie de l'agence, conçoivent les mécanismes de gouvernance comme des moyens de contrôler les dirigeants et de réduire l'asymétrie d'information entre ceux qui délèguent et ceux qui exécutent (Fama &amp; Jensen, 1983 ; Jensen &amp; Meckling, 1976). Les approches cognitives insistent, elles, sur la capacité de la gouvernance à produire de la connaissance, à faire apprendre l'organisation et à orienter ses choix stratégiques. Charreaux propose d'y ajouter une dimension comportementale : dirigeants et administrateurs sont soumis à des biais, et les mécanismes de gouvernance peuvent soit les corriger, soit les amplifier. Cette grille nous servira à poser une hypothèse centrale. À la CTMG, les leviers disciplinaires de la gouvernance (indicateurs, contrôle de l'activité, procédures) semblent l'emporter nettement sur les leviers cognitifs, alors que la difficulté observée est de nature cognitive : l'institution ne sait pas, ou ne veut pas savoir, ce qui se passe sur le terrain.</w:t>
      </w:r>
    </w:p>
    <w:p>
      <w:r>
        <w:t xml:space="preserve">Le deuxième cadre est celui des </w:t>
      </w:r>
      <w:r>
        <w:rPr>
          <w:b/>
        </w:rPr>
        <w:t>perspectives fondées sur les ressources</w:t>
      </w:r>
      <w:r>
        <w:t>. Prévot, Brulhart et Guieu (2010) en proposent une synthèse. Selon Barney (1991), une ressource est source d'avantage durable lorsqu'elle est précieuse, rare, difficilement imitable et non substituable. L'expertise des régulateurs répond largement à ces critères, notamment parce qu'elle est en grande partie tacite. Sirmon et al. (2011) ajoutent qu'il ne suffit pas de posséder des ressources : encore faut-il les structurer, les combiner et les mobiliser, ce qu'ils nomment l'orchestration des ressources. Dans une organisation publique, l'enjeu n'est pas un avantage concurrentiel, mais la même logique vaut : une expertise qui s'en va avec les personnes qui partent n'est plus orchestrée, elle est perdue.</w:t>
      </w:r>
    </w:p>
    <w:p>
      <w:r>
        <w:t xml:space="preserve">Le troisième cadre concerne le </w:t>
      </w:r>
      <w:r>
        <w:rPr>
          <w:b/>
        </w:rPr>
        <w:t>rôle attendu de la fonction RH</w:t>
      </w:r>
      <w:r>
        <w:t>. Walker (2026) rappelle aux jeunes professionnels que les RH ne sont pas un médiateur neutre chargé de régler les différends entre collaborateurs et hiérarchie : elles agissent d'abord pour l'organisation. Ce rappel éclaire un point sensible de nos entretiens. E1 aurait attendu des RH qu'elles offrent « un espace neutre », et c'est précisément sur ce terrain qu'elles ont perdu une partie de leur crédibilité auprès des équipes (voir section 5).</w:t>
      </w:r>
    </w:p>
    <w:p>
      <w:pPr>
        <w:pStyle w:val="Heading1"/>
      </w:pPr>
      <w:r>
        <w:t>3. Configuration organisationnelle et facteurs environnementaux</w:t>
      </w:r>
    </w:p>
    <w:p>
      <w:pPr>
        <w:pStyle w:val="Heading2"/>
      </w:pPr>
      <w:r>
        <w:t>3.1 Une configuration d'administration publique hybride</w:t>
      </w:r>
    </w:p>
    <w:p>
      <w:r>
        <w:t>La CTMG relève d'une configuration d'administration publique. Le module en a souligné plusieurs spécificités suisses : fédéralisme, démocratie directe, système consociatif. Il a aussi insisté sur le caractère hybride des organisations publiques issues des réformes de la nouvelle gestion publique, qui combinent règles bureaucratiques et outils managériaux importés du privé (Emery &amp; Giauque, 2014). La CTMG en est un exemple. Elle est publique par son financement et sa mission, rattachée à un établissement autonome, mandatée par deux cantons, et pilotée au moyen d'indicateurs d'activité.</w:t>
      </w:r>
    </w:p>
    <w:p>
      <w:r>
        <w:rPr>
          <w:b/>
        </w:rPr>
        <w:t>Une pluralité de principaux.</w:t>
      </w:r>
      <w:r>
        <w:t xml:space="preserve"> Waterman et Meier (1998) ont montré que la relation d'agence, dans le secteur public, ne se limite pas à un couple principal-agent. Elle s'étend sur une chaîne de délégations dans laquelle chaque agent répond à plusieurs principaux, aux attentes pas toujours convergentes. Dans le cas de la CTMG, cette chaîne est longue. Elle part de la population des deux cantons, passe par les cantons mandants et par les autorités de tutelle d'Unisanté (DSAS, Université), puis par le Conseil d'Unisanté, la direction générale et le DUSC, pour aboutir à la direction du service et à ses équipes. Chaque maillon supplémentaire augmente le risque d'asymétrie d'information : ce que sait le terrain arrive au sommet, s'il y arrive, après plusieurs filtrages successifs. Par ailleurs, le Canton de Neuchâtel est mandant, mais il n'a pas de lien de gouvernance direct avec Unisanté. On retrouve ici la dispersion des responsabilités qui accompagne la délégation de missions publiques à des entités autonomes (Giauque, 2024).</w:t>
      </w:r>
    </w:p>
    <w:p>
      <w:r>
        <w:rPr>
          <w:b/>
        </w:rPr>
        <w:t>Une gouvernance à distance par les indicateurs.</w:t>
      </w:r>
      <w:r>
        <w:t xml:space="preserve"> Giauque (2024) décrit une « gouvernance à distance », dans laquelle les autorités, éloignées des lieux où le service est produit, recentralisent l'information au moyen d'indicateurs de plus en plus nombreux. Emery et Giauque (2019) en soulignent les paradoxes : les indicateurs rendent certaines dimensions de l'activité très visibles et en laissent d'autres dans l'ombre. À la CTMG, l'activité est d'abord suivie par des volumes : nombre d'appels, prises en charge adultes et pédiatriques, taux d'activité. Les entretiens montrent comment cette logique est perçue. E2 regrette que, lors des briefings, « la seule chose positive qu'on balance, c'est que c'est des bons chiffres », et ajoute : « je ne suis pas là pour faire du chiffre ». Elle ne rejette pas le principe des indicateurs (« ça ne me choque pas qu'on demande un minimum de chiffre »), mais le fait qu'ils soient présentés sans le reste : « pour expliquer les chiffres, il faut expliquer le reste ». Elle observe aussi que les chefs de salle rendent compte des volumes, mais jamais du nombre d'appels au cours desquels les régulateurs se sont fait insulter. Le module parle ici de « myopie de l'efficience » (Bédat, 2026) : l'attention portée au rendement de court terme finit par masquer l'efficacité et la soutenabilité de la prestation.</w:t>
      </w:r>
    </w:p>
    <w:p>
      <w:r>
        <w:rPr>
          <w:b/>
        </w:rPr>
        <w:t>Le paradoxe entre autonomie et contrôle.</w:t>
      </w:r>
      <w:r>
        <w:t xml:space="preserve"> Giauque (2003) a montré que les réformes managériales du secteur public produisaient une « bureaucratie libérale ». Les agents y sont appelés à davantage d'autonomie, tandis que les dispositifs de contrôle se resserrent. La CTMG illustre bien ce paradoxe. Les régulateurs disposent d'une autonomie clinique réelle, que E2 considère comme l'un des attraits du métier : « on reste assez autonomes dans nos décisions. Ça c'est quelque chose qu'on a assez peu dans notre métier d'infirmier ». Mais leur travail est suivi de près par des indicateurs de productivité, jusqu'au « petit côté flicage » qu'elle associe au suivi du taux d'activité par les chefs de salle (E2). Ce décalage alimente ce qu'Emery et Giauque (2003) appellent des injonctions contradictoires : on attend des professionnels du jugement, et on les évalue sur du débit.</w:t>
      </w:r>
    </w:p>
    <w:p>
      <w:r>
        <w:rPr>
          <w:b/>
        </w:rPr>
        <w:t>Une tension entre valeurs.</w:t>
      </w:r>
      <w:r>
        <w:t xml:space="preserve"> Les régulateurs sont, pour la plupart, des infirmiers venus des soins. Ce qui les motive relève largement de la motivation de service public, c'est-à-dire l'attachement à l'intérêt général et le désir d'aider autrui (Ritz, 2009 ; Vandenabeele et al., 2014). E2 le dit simplement : « ce qui me motive le plus dans mon travail, ça reste d'aider les gens ». Une communication managériale centrée sur les chiffres heurte ces valeurs de front. Cette tension dépasse le registre individuel. Ritz (2009) a montré, à propos de l'administration fédérale suisse, que la motivation de service public est associée à la performance organisationnelle perçue. La négliger comporte donc un coût pour l'organisation elle-même.</w:t>
      </w:r>
    </w:p>
    <w:p>
      <w:pPr>
        <w:pStyle w:val="Heading2"/>
      </w:pPr>
      <w:r>
        <w:t>3.2 Une trajectoire de transition encore active</w:t>
      </w:r>
    </w:p>
    <w:p>
      <w:r>
        <w:t>Stinchcombe (1965) a montré que les organisations gardent durablement l'empreinte des conditions dans lesquelles elles ont été formées. L'encadrement actuel de la CTMG s'est constitué pendant une période de crise et de tutelle. Il fallait alors stabiliser un service fragilisé, remplacer des cadres démissionnaires et restaurer un fonctionnement sous le regard de l'État. Dans un tel contexte, privilégier le contrôle, les procédures et les indicateurs était sans doute rationnel. L'hypothèse que nous formulons est que cette logique de gestion de crise s'est maintenue au-delà de la crise elle-même. Le contexte s'est stabilisé avec le rattachement à Unisanté, mais le mode de pilotage n'a pas changé de nature. C'est ce que suggère E1 lorsqu'il distingue une amélioration de la forme, car la communication est devenue « plus mesuré[e], plus calme », de la stabilité du fond : « la manière dont les décisions sont prises, la place donnée aux remontées du terrain ou la confiance envers les collaborateurs, je trouve que ça reste assez similaire ».</w:t>
      </w:r>
    </w:p>
    <w:p>
      <w:r>
        <w:t>Ce premier niveau d'analyse montre que les difficultés de la CTMG ne s'expliquent pas seulement par des comportements individuels, comme le travail du module 002 pouvait le laisser penser. Elles s'inscrivent dans une configuration qui favorise la distance, la mesure et le contrôle. La section suivante examine la structure de gouvernance qui encadre ce fonctionnement.</w:t>
      </w:r>
    </w:p>
    <w:p>
      <w:r>
        <w:br w:type="page"/>
      </w:r>
    </w:p>
    <w:p>
      <w:pPr>
        <w:pStyle w:val="Heading1"/>
      </w:pPr>
      <w:r>
        <w:t>Références citées dans cette partie</w:t>
      </w:r>
    </w:p>
    <w:p>
      <w:pPr>
        <w:pStyle w:val="Heading2"/>
      </w:pPr>
      <w:r>
        <w:t>Références scientifiques</w:t>
      </w:r>
    </w:p>
    <w:p>
      <w:pPr>
        <w:ind w:left="709" w:hanging="709"/>
        <w:jc w:val="left"/>
      </w:pPr>
      <w:r>
        <w:t xml:space="preserve">Barney, J. (1991). Firm resources and sustained competitive advantage. </w:t>
      </w:r>
      <w:r>
        <w:rPr>
          <w:i/>
        </w:rPr>
        <w:t>Journal of Management, 17</w:t>
      </w:r>
      <w:r>
        <w:t>(1), 99–120. https://doi.org/10.1177/014920639101700108</w:t>
      </w:r>
    </w:p>
    <w:p>
      <w:pPr>
        <w:ind w:left="709" w:hanging="709"/>
        <w:jc w:val="left"/>
      </w:pPr>
      <w:r>
        <w:t xml:space="preserve">Charreaux, G. (2005). Pour une gouvernance d'entreprise « comportementale » : une réflexion exploratoire... </w:t>
      </w:r>
      <w:r>
        <w:rPr>
          <w:i/>
        </w:rPr>
        <w:t>Revue française de gestion, 157</w:t>
      </w:r>
      <w:r>
        <w:t>(4), 215–238.</w:t>
      </w:r>
    </w:p>
    <w:p>
      <w:pPr>
        <w:ind w:left="709" w:hanging="709"/>
        <w:jc w:val="left"/>
      </w:pPr>
      <w:r>
        <w:t xml:space="preserve">Emery, Y., &amp; Giauque, D. (2003). Emergence of contradictory injunctions in Swiss NPM projects. </w:t>
      </w:r>
      <w:r>
        <w:rPr>
          <w:i/>
        </w:rPr>
        <w:t>International Journal of Public Sector Management, 16</w:t>
      </w:r>
      <w:r>
        <w:t>(6), 468–481.</w:t>
      </w:r>
    </w:p>
    <w:p>
      <w:pPr>
        <w:ind w:left="709" w:hanging="709"/>
        <w:jc w:val="left"/>
      </w:pPr>
      <w:r>
        <w:t xml:space="preserve">Emery, Y., &amp; Giauque, D. (2014). L'univers hybride de l'administration au XXIe siècle. Introduction. </w:t>
      </w:r>
      <w:r>
        <w:rPr>
          <w:i/>
        </w:rPr>
        <w:t>Revue Internationale des Sciences Administratives, 80</w:t>
      </w:r>
      <w:r>
        <w:t>(1), 25–34.</w:t>
      </w:r>
    </w:p>
    <w:p>
      <w:pPr>
        <w:ind w:left="709" w:hanging="709"/>
        <w:jc w:val="left"/>
      </w:pPr>
      <w:r>
        <w:t xml:space="preserve">Emery, Y., &amp; Giauque, D. (2019). Les paradoxes d'une gouvernance publique à distance par les indicateurs. In </w:t>
      </w:r>
      <w:r>
        <w:rPr>
          <w:i/>
        </w:rPr>
        <w:t>Manager les paradoxes dans le secteur public</w:t>
      </w:r>
      <w:r>
        <w:t xml:space="preserve"> (pp. 9–30).</w:t>
      </w:r>
    </w:p>
    <w:p>
      <w:pPr>
        <w:ind w:left="709" w:hanging="709"/>
        <w:jc w:val="left"/>
      </w:pPr>
      <w:r>
        <w:t xml:space="preserve">Fama, E. F., &amp; Jensen, M. C. (1983). Separation of ownership and control. </w:t>
      </w:r>
      <w:r>
        <w:rPr>
          <w:i/>
        </w:rPr>
        <w:t>The Journal of Law and Economics, 26</w:t>
      </w:r>
      <w:r>
        <w:t>(2), 301–325.</w:t>
      </w:r>
    </w:p>
    <w:p>
      <w:pPr>
        <w:ind w:left="709" w:hanging="709"/>
        <w:jc w:val="left"/>
      </w:pPr>
      <w:r>
        <w:t xml:space="preserve">Giauque, D. (2003). New public management and organizational regulation: The liberal bureaucracy. </w:t>
      </w:r>
      <w:r>
        <w:rPr>
          <w:i/>
        </w:rPr>
        <w:t>International Review of Administrative Sciences, 69</w:t>
      </w:r>
      <w:r>
        <w:t>(4), 567–592.</w:t>
      </w:r>
    </w:p>
    <w:p>
      <w:pPr>
        <w:ind w:left="709" w:hanging="709"/>
        <w:jc w:val="left"/>
      </w:pPr>
      <w:r>
        <w:t xml:space="preserve">Giauque, D. (2024). Une nouvelle économie politique des administrations publiques : la gouvernance à distance. </w:t>
      </w:r>
      <w:r>
        <w:rPr>
          <w:i/>
        </w:rPr>
        <w:t>Éthique publique, 25</w:t>
      </w:r>
      <w:r>
        <w:t>(2).</w:t>
      </w:r>
    </w:p>
    <w:p>
      <w:pPr>
        <w:ind w:left="709" w:hanging="709"/>
        <w:jc w:val="left"/>
      </w:pPr>
      <w:r>
        <w:t xml:space="preserve">Jensen, M. C., &amp; Meckling, W. H. (1976). Theory of the firm: Managerial behavior, agency costs and ownership structure. </w:t>
      </w:r>
      <w:r>
        <w:rPr>
          <w:i/>
        </w:rPr>
        <w:t>Journal of Financial Economics, 3</w:t>
      </w:r>
      <w:r>
        <w:t>(4), 305–360.</w:t>
      </w:r>
    </w:p>
    <w:p>
      <w:pPr>
        <w:ind w:left="709" w:hanging="709"/>
        <w:jc w:val="left"/>
      </w:pPr>
      <w:r>
        <w:t xml:space="preserve">Prévot, F., Brulhart, F., &amp; Guieu, G. (2010). Perspectives fondées sur les ressources : proposition de synthèse. </w:t>
      </w:r>
      <w:r>
        <w:rPr>
          <w:i/>
        </w:rPr>
        <w:t>Revue française de gestion, 204</w:t>
      </w:r>
      <w:r>
        <w:t>(5), 87–103.</w:t>
      </w:r>
    </w:p>
    <w:p>
      <w:pPr>
        <w:ind w:left="709" w:hanging="709"/>
        <w:jc w:val="left"/>
      </w:pPr>
      <w:r>
        <w:t xml:space="preserve">Ritz, A. (2009). La motivation de service public et la performance organisationnelle au sein de l'administration fédérale suisse. </w:t>
      </w:r>
      <w:r>
        <w:rPr>
          <w:i/>
        </w:rPr>
        <w:t>Revue Internationale des Sciences Administratives, 75</w:t>
      </w:r>
      <w:r>
        <w:t>(1), 59–86.</w:t>
      </w:r>
    </w:p>
    <w:p>
      <w:pPr>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pPr>
        <w:ind w:left="709" w:hanging="709"/>
        <w:jc w:val="left"/>
      </w:pPr>
      <w:r>
        <w:t xml:space="preserve">Stinchcombe, A. L. (1965). Social structure and organizations. In J. G. March (Ed.), </w:t>
      </w:r>
      <w:r>
        <w:rPr>
          <w:i/>
        </w:rPr>
        <w:t>Handbook of organizations</w:t>
      </w:r>
      <w:r>
        <w:t xml:space="preserve"> (pp. 142–193). Rand McNally.</w:t>
      </w:r>
    </w:p>
    <w:p>
      <w:pPr>
        <w:ind w:left="709" w:hanging="709"/>
        <w:jc w:val="left"/>
      </w:pPr>
      <w:r>
        <w:t xml:space="preserve">Vandenabeele, W., Brewer, G. A., &amp; Ritz, A. (2014). Past, present, and future of public service motivation research. </w:t>
      </w:r>
      <w:r>
        <w:rPr>
          <w:i/>
        </w:rPr>
        <w:t>Public Administration, 92</w:t>
      </w:r>
      <w:r>
        <w:t>(4), 779–789.</w:t>
      </w:r>
    </w:p>
    <w:p>
      <w:pPr>
        <w:ind w:left="709" w:hanging="709"/>
        <w:jc w:val="left"/>
      </w:pPr>
      <w:r>
        <w:t xml:space="preserve">Walker, J. (2026, 23 juin). Le rôle des ressources humaines est-il d'aider les employés ? Voici ce que les jeunes professionnels doivent savoir. </w:t>
      </w:r>
      <w:r>
        <w:rPr>
          <w:i/>
        </w:rPr>
        <w:t>The Conversation</w:t>
      </w:r>
      <w:r>
        <w:t>. https://theconversation.com/le-role-des-ressources-humaines-est-il-daider-les-employes-voici-ce-que-les-jeunes-professionnels-doivent-savoir-279497</w:t>
      </w:r>
    </w:p>
    <w:p>
      <w:pPr>
        <w:ind w:left="709" w:hanging="709"/>
        <w:jc w:val="left"/>
      </w:pPr>
      <w:r>
        <w:t xml:space="preserve">Waterman, R. W., &amp; Meier, K. J. (1998). Principal-agent models: An expansion? </w:t>
      </w:r>
      <w:r>
        <w:rPr>
          <w:i/>
        </w:rPr>
        <w:t>Journal of Public Administration Research and Theory, 8</w:t>
      </w:r>
      <w:r>
        <w:t>(2), 173–202.</w:t>
      </w:r>
    </w:p>
    <w:p>
      <w:pPr>
        <w:pStyle w:val="Heading2"/>
      </w:pPr>
      <w:r>
        <w:t>Supports de cours et sources institutionnelles</w:t>
      </w:r>
    </w:p>
    <w:p>
      <w:pPr>
        <w:ind w:left="709" w:hanging="709"/>
        <w:jc w:val="left"/>
      </w:pPr>
      <w:r>
        <w:t xml:space="preserve">Bédat, J. (2026). </w:t>
      </w:r>
      <w:r>
        <w:rPr>
          <w:i/>
        </w:rPr>
        <w:t>Orchestration stratégique RH</w:t>
      </w:r>
      <w:r>
        <w:t xml:space="preserve"> [Support de cours, jours 1 à 4]. CAS Stratégie et organisation, MRHC, Université de Lausanne.</w:t>
      </w:r>
    </w:p>
    <w:p>
      <w:pPr>
        <w:ind w:left="709" w:hanging="709"/>
        <w:jc w:val="left"/>
      </w:pPr>
      <w:r>
        <w:t xml:space="preserve">CHUV. (s.d.). </w:t>
      </w:r>
      <w:r>
        <w:rPr>
          <w:i/>
        </w:rPr>
        <w:t>Le 144 sera rattaché au CHUV et la Centrale téléphonique des médecins de garde à Unisanté</w:t>
      </w:r>
      <w:r>
        <w:t xml:space="preserve"> [Communiqué]. https://www.chuv.ch/fr/journalistes/communique/le-144-sera-rattache-au-chuv-et-la-centrale-telephonique-des-medecins-de-garde-a-unisante</w:t>
      </w:r>
    </w:p>
    <w:p>
      <w:pPr>
        <w:ind w:left="709" w:hanging="709"/>
        <w:jc w:val="left"/>
      </w:pPr>
      <w:r>
        <w:t xml:space="preserve">État de Vaud. (s.d.-a). </w:t>
      </w:r>
      <w:r>
        <w:rPr>
          <w:i/>
        </w:rPr>
        <w:t>Fondation Urgences Santé : rattachements des centrales d'appel</w:t>
      </w:r>
      <w:r>
        <w:t>. https://www.vd.ch/toutes-les-actualites/news/i-fondation-urgences-sante</w:t>
      </w:r>
    </w:p>
    <w:p>
      <w:pPr>
        <w:ind w:left="709" w:hanging="709"/>
        <w:jc w:val="left"/>
      </w:pPr>
      <w:r>
        <w:t xml:space="preserve">Unisanté. (2022). </w:t>
      </w:r>
      <w:r>
        <w:rPr>
          <w:i/>
        </w:rPr>
        <w:t>Plan stratégique 2020-2024 : bilan intermédiaire 2022</w:t>
      </w:r>
      <w:r>
        <w:t>. https://www.unisante.ch/fr/media/1208/download</w:t>
      </w:r>
    </w:p>
    <w:p>
      <w:pPr>
        <w:ind w:left="709" w:hanging="709"/>
        <w:jc w:val="left"/>
      </w:pPr>
      <w:r>
        <w:t xml:space="preserve">Unisanté. (s.d.-c). </w:t>
      </w:r>
      <w:r>
        <w:rPr>
          <w:i/>
        </w:rPr>
        <w:t>Département urgences et santé communautaires (DUSC)</w:t>
      </w:r>
      <w:r>
        <w:t>. https://www.unisante.ch/fr/propos-dunisante/unisante-bref/departements/departement-urgences-sante-communautaires-dusc</w:t>
      </w:r>
    </w:p>
    <w:sectPr w:rsidR="00FC693F" w:rsidRPr="0006063C" w:rsidSect="00034616">
      <w:headerReference w:type="default" r:id="rId11"/>
      <w:footerReference w:type="default" r:id="rId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Orchestration stratégique RH – Zargui-Naji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eastAsia="Times New Roman"/>
      <w:b/>
      <w:bCs/>
      <w:i w:val="0"/>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b/>
      <w:bCs/>
      <w:i w:val="0"/>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eastAsia="Times New Roman"/>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