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Structure de gouvernance : une architecture de type dualiste</w:t>
      </w:r>
    </w:p>
    <w:p>
      <w:pPr>
        <w:pStyle w:val="Heading2"/>
      </w:pPr>
      <w:r>
        <w:t>4.1 Les organes et leurs compétences</w:t>
      </w:r>
    </w:p>
    <w:p>
      <w:r>
        <w:t>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interim, c'est-à-dire un représentant de l'administration de tutelle (État de Vaud, s.d.-c ; Unisanté, s.d.-b). La direction générale est, elle aussi, désignée par le Conseil d'État (État de Vaud, s.d.-b). Le directeur général préside un comité de direction qui réunit les directions transversales (finances, ressources humaines, direction médicale, direction des soins) et les chefs des sept départements, dont le DUSC auquel appartient la CTMG (Unisanté, s.d.-a).</w:t>
      </w:r>
    </w:p>
    <w:p>
      <w:pPr>
        <w:pStyle w:val="Heading2"/>
      </w:pPr>
      <w:r>
        <w:t>4.2 Une logique proche du modèle dualiste</w:t>
      </w:r>
    </w:p>
    <w:p>
      <w:r>
        <w:t>Jungmann (2006) distingue deux grands systèmes de conseil. Le système moniste (</w:t>
      </w:r>
      <w:r>
        <w:rPr>
          <w:i/>
        </w:rPr>
        <w:t>one-tier</w:t>
      </w:r>
      <w:r>
        <w:t>) réunit dans un même organe la surveillance et la direction. Le système dualiste (</w:t>
      </w:r>
      <w:r>
        <w:rPr>
          <w:i/>
        </w:rPr>
        <w:t>two-tier</w:t>
      </w:r>
      <w: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(Kunz, 2010), et la question de la séparation entre présidence et direction générale y reste débattue (Schmid &amp; Zimmermann, 2008).</w:t>
      </w:r>
    </w:p>
    <w:p>
      <w: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pPr>
        <w:pStyle w:val="Heading2"/>
      </w:pPr>
      <w:r>
        <w:t>4.3 Ce que cette architecture fait à l'orchestration RH</w:t>
      </w:r>
    </w:p>
    <w:p>
      <w:r>
        <w:rPr>
          <w:b/>
        </w:rPr>
        <w:t>Un contrôle indépendant, mais dépendant de l'information.</w:t>
      </w:r>
      <w:r>
        <w:t xml:space="preserve"> L'atout classique du dualisme est l'indépendance de l'organe de surveillance, qui n'a pas à contrôler ses propres décisions. Sa limite est symétrique : ne participant pas à la gestion, il dépend de ce que la direction lui transmet. Forbes et Milliken (1999) décrivent le conseil comme un groupe de décision qui se réunit de manière épisodique. Son efficacité tient moins à sa composition formelle qu'à ses processus : l'effort consenti, la capacité à mobiliser les connaissances de ses membres et l'existence d'un débat contradictoire. Un conseil peut être parfaitement constitué et rester aveugle sur ce qu'on ne lui présente pas. Dans le cas de la CTMG, l'information chemine de l'équipe au service, puis au DUSC, au comité de direction et enfin au Conseil. Chaque étape la résume et la sélectionne. Il est peu probable que la dégradation du climat décrite par les collaborateurs parvienne au Conseil autrement que sous une forme très filtrée, par exemple à travers des indicateurs d'activité ou un compte rendu de la direction.</w:t>
      </w:r>
    </w:p>
    <w:p>
      <w:r>
        <w:rPr>
          <w:b/>
        </w:rPr>
        <w:t>Un double principal.</w:t>
      </w:r>
      <w:r>
        <w:t xml:space="preserve"> 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direction répond à plusieurs instances, dont les attentes et les moyens de contrôle ne se recouvrent pas entièrement. La présence de l'administration de tutelle au sein même du Conseil ajoute une ambiguïté. Elle peut faciliter la circulation de l'information entre l'État et l'établissement, mais elle brouille la frontière entre surveillance et tutelle que le modèle dualiste est censé garantir.</w:t>
      </w:r>
    </w:p>
    <w:p>
      <w:r>
        <w:rPr>
          <w:b/>
        </w:rPr>
        <w:t>Une fonction RH située du côté de l'exécutif.</w:t>
      </w:r>
      <w:r>
        <w:t xml:space="preserve"> La direction des ressources humaines siège au comité de direction, et donc à l'échelon exécutif. Les informations publiques que nous avons consultées ne font état d'aucune commission du Conseil consacrée aux ressources humaines. Hilb (2016) plaide précisément pour que les questions de personnel soient intégrées au travail du conseil lui-même. Lima et Galleli (2021) ainsi que Martin et al. (2016) montrent que l'articulation entre gouvernance et GRH stratégique peut prendre des formes très différentes selon la place que la gouvernance accorde au capital humain.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r>
        <w:rPr>
          <w:b/>
        </w:rPr>
        <w:t>Un dualisme qui se répète dans le service.</w:t>
      </w:r>
      <w:r>
        <w:t xml:space="preserve"> La même séparation se retrouve, à une autre échelle, au sein de la CTMG. Une ligne managériale (cheffe de service, cadres, chefs de salle) coexiste avec une ligne médicale (médecin responsable, médecins formateurs, validation clinique de l'autonomie des régulateurs). Les chefs de salle se trouvent à l'intersection de ces deux lignes. Ils coordonnent le travail médical en temps réel et rendent compte de l'activité à l'encadrement, sans avoir d'autorité dans aucune des deux.</w:t>
      </w:r>
    </w:p>
    <w:p>
      <w:r>
        <w:t>En résumé, la structure de gouvernance protège l'indépendance du contrôle, mais elle rend le Conseil dépendant d'une information que produit l'exécutif, et elle place la fonction RH du même côté que cet exécutif. Nous ne l'interprétons pas comme une défaillance de conception. Nous y voyons une vulnérabilité : tout dépend alors de la qualité de la remontée d'information. La section suivante examine comment les acteurs en situation l'assurent.</w:t>
      </w:r>
    </w:p>
    <w:p>
      <w:pPr>
        <w:pStyle w:val="Heading1"/>
      </w:pPr>
      <w:r>
        <w:t>5. Acteurs clés, délégation et jeux de pouvoir</w:t>
      </w:r>
    </w:p>
    <w:p>
      <w:pPr>
        <w:pStyle w:val="Heading2"/>
      </w:pPr>
      <w:r>
        <w:t>5.1 La chaîne des délégations</w:t>
      </w:r>
    </w:p>
    <w:p>
      <w:r>
        <w:t>Le module présente l'orchestration comme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Le tableau suivant confronte le rôle formel de chaque acteur à ce qu'en perçoivent les collaborateurs de terrain. Pour les acteurs que nous n'avons pas interrogés, la colonne de droite décrit une perception, et non un fait établi.</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color="auto" w:fill="DCE3EC"/>
          </w:tcPr>
          <w:p>
            <w:pPr>
              <w:spacing w:line="240" w:lineRule="auto" w:after="40"/>
              <w:jc w:val="left"/>
            </w:pPr>
            <w:r>
              <w:rPr>
                <w:b/>
                <w:sz w:val="20"/>
              </w:rPr>
              <w:t>Acteur</w:t>
            </w:r>
          </w:p>
        </w:tc>
        <w:tc>
          <w:tcPr>
            <w:tcW w:type="dxa" w:w="2835"/>
            <w:shd w:val="clear" w:color="auto" w:fill="DCE3EC"/>
          </w:tcPr>
          <w:p>
            <w:pPr>
              <w:spacing w:line="240" w:lineRule="auto" w:after="40"/>
              <w:jc w:val="left"/>
            </w:pPr>
            <w:r>
              <w:rPr>
                <w:b/>
                <w:sz w:val="20"/>
              </w:rPr>
              <w:t>Rôle formel</w:t>
            </w:r>
          </w:p>
        </w:tc>
        <w:tc>
          <w:tcPr>
            <w:tcW w:type="dxa" w:w="4309"/>
            <w:shd w:val="clear" w:color="auto" w:fill="DCE3EC"/>
          </w:tcPr>
          <w:p>
            <w:pPr>
              <w:spacing w:line="240" w:lineRule="auto" w:after="40"/>
              <w:jc w:val="left"/>
            </w:pPr>
            <w:r>
              <w:rPr>
                <w:b/>
                <w:sz w:val="20"/>
              </w:rPr>
              <w:t>Rôle perçu depuis le terrain</w:t>
            </w:r>
          </w:p>
        </w:tc>
      </w:tr>
      <w:tr>
        <w:tc>
          <w:tcPr>
            <w:tcW w:type="dxa" w:w="1928"/>
          </w:tcPr>
          <w:p>
            <w:pPr>
              <w:spacing w:line="240" w:lineRule="auto" w:after="40"/>
              <w:jc w:val="left"/>
            </w:pPr>
            <w:r>
              <w:rPr>
                <w:sz w:val="20"/>
              </w:rPr>
              <w:t>Conseil d'Unisanté</w:t>
            </w:r>
          </w:p>
        </w:tc>
        <w:tc>
          <w:tcPr>
            <w:tcW w:type="dxa" w:w="2835"/>
          </w:tcPr>
          <w:p>
            <w:pPr>
              <w:spacing w:line="240" w:lineRule="auto" w:after="40"/>
              <w:jc w:val="left"/>
            </w:pPr>
            <w:r>
              <w:rPr>
                <w:sz w:val="20"/>
              </w:rPr>
              <w:t>Orienter, surveiller, adopter le plan et les objectifs</w:t>
            </w:r>
          </w:p>
        </w:tc>
        <w:tc>
          <w:tcPr>
            <w:tcW w:type="dxa" w:w="4309"/>
          </w:tcPr>
          <w:p>
            <w:pPr>
              <w:spacing w:line="240" w:lineRule="auto" w:after="40"/>
              <w:jc w:val="left"/>
            </w:pPr>
            <w:r>
              <w:rPr>
                <w:sz w:val="20"/>
              </w:rPr>
              <w:t>Absent des récits : aucune trace de son action n'est visible depuis le service</w:t>
            </w:r>
          </w:p>
        </w:tc>
      </w:tr>
      <w:tr>
        <w:tc>
          <w:tcPr>
            <w:tcW w:type="dxa" w:w="1928"/>
          </w:tcPr>
          <w:p>
            <w:pPr>
              <w:spacing w:line="240" w:lineRule="auto" w:after="40"/>
              <w:jc w:val="left"/>
            </w:pPr>
            <w:r>
              <w:rPr>
                <w:sz w:val="20"/>
              </w:rPr>
              <w:t>Direction générale, DUSC</w:t>
            </w:r>
          </w:p>
        </w:tc>
        <w:tc>
          <w:tcPr>
            <w:tcW w:type="dxa" w:w="2835"/>
          </w:tcPr>
          <w:p>
            <w:pPr>
              <w:spacing w:line="240" w:lineRule="auto" w:after="40"/>
              <w:jc w:val="left"/>
            </w:pPr>
            <w:r>
              <w:rPr>
                <w:sz w:val="20"/>
              </w:rPr>
              <w:t>Conduire l'établissement et le département</w:t>
            </w:r>
          </w:p>
        </w:tc>
        <w:tc>
          <w:tcPr>
            <w:tcW w:type="dxa" w:w="4309"/>
          </w:tcPr>
          <w:p>
            <w:pPr>
              <w:spacing w:line="240" w:lineRule="auto" w:after="40"/>
              <w:jc w:val="left"/>
            </w:pPr>
            <w:r>
              <w:rPr>
                <w:sz w:val="20"/>
              </w:rPr>
              <w:t>Commanditaire de l'audit interne, dont les conclusions ne sont pas communiquées</w:t>
            </w:r>
          </w:p>
        </w:tc>
      </w:tr>
      <w:tr>
        <w:tc>
          <w:tcPr>
            <w:tcW w:type="dxa" w:w="1928"/>
          </w:tcPr>
          <w:p>
            <w:pPr>
              <w:spacing w:line="240" w:lineRule="auto" w:after="40"/>
              <w:jc w:val="left"/>
            </w:pPr>
            <w:r>
              <w:rPr>
                <w:sz w:val="20"/>
              </w:rPr>
              <w:t>Direction des RH</w:t>
            </w:r>
          </w:p>
        </w:tc>
        <w:tc>
          <w:tcPr>
            <w:tcW w:type="dxa" w:w="2835"/>
          </w:tcPr>
          <w:p>
            <w:pPr>
              <w:spacing w:line="240" w:lineRule="auto" w:after="40"/>
              <w:jc w:val="left"/>
            </w:pPr>
            <w:r>
              <w:rPr>
                <w:sz w:val="20"/>
              </w:rPr>
              <w:t>Politique RH, appui aux services</w:t>
            </w:r>
          </w:p>
        </w:tc>
        <w:tc>
          <w:tcPr>
            <w:tcW w:type="dxa" w:w="4309"/>
          </w:tcPr>
          <w:p>
            <w:pPr>
              <w:spacing w:line="240" w:lineRule="auto" w:after="40"/>
              <w:jc w:val="left"/>
            </w:pPr>
            <w:r>
              <w:rPr>
                <w:sz w:val="20"/>
              </w:rPr>
              <w:t>Distante (« un RH vient une matinée par semaine »), perçue comme proche de la direction (E1)</w:t>
            </w:r>
          </w:p>
        </w:tc>
      </w:tr>
      <w:tr>
        <w:tc>
          <w:tcPr>
            <w:tcW w:type="dxa" w:w="1928"/>
          </w:tcPr>
          <w:p>
            <w:pPr>
              <w:spacing w:line="240" w:lineRule="auto" w:after="40"/>
              <w:jc w:val="left"/>
            </w:pPr>
            <w:r>
              <w:rPr>
                <w:sz w:val="20"/>
              </w:rPr>
              <w:t>Cheffe de service</w:t>
            </w:r>
          </w:p>
        </w:tc>
        <w:tc>
          <w:tcPr>
            <w:tcW w:type="dxa" w:w="2835"/>
          </w:tcPr>
          <w:p>
            <w:pPr>
              <w:spacing w:line="240" w:lineRule="auto" w:after="40"/>
              <w:jc w:val="left"/>
            </w:pPr>
            <w:r>
              <w:rPr>
                <w:sz w:val="20"/>
              </w:rPr>
              <w:t>Piloter le service, interface avec Unisanté</w:t>
            </w:r>
          </w:p>
        </w:tc>
        <w:tc>
          <w:tcPr>
            <w:tcW w:type="dxa" w:w="4309"/>
          </w:tcPr>
          <w:p>
            <w:pPr>
              <w:spacing w:line="240" w:lineRule="auto" w:after="40"/>
              <w:jc w:val="left"/>
            </w:pPr>
            <w:r>
              <w:rPr>
                <w:sz w:val="20"/>
              </w:rPr>
              <w:t>Pilotage centré sur l'activité, communication plus mesurée depuis un accompagnement managérial (E1)</w:t>
            </w:r>
          </w:p>
        </w:tc>
      </w:tr>
      <w:tr>
        <w:tc>
          <w:tcPr>
            <w:tcW w:type="dxa" w:w="1928"/>
          </w:tcPr>
          <w:p>
            <w:pPr>
              <w:spacing w:line="240" w:lineRule="auto" w:after="40"/>
              <w:jc w:val="left"/>
            </w:pPr>
            <w:r>
              <w:rPr>
                <w:sz w:val="20"/>
              </w:rPr>
              <w:t>Cadres</w:t>
            </w:r>
          </w:p>
        </w:tc>
        <w:tc>
          <w:tcPr>
            <w:tcW w:type="dxa" w:w="2835"/>
          </w:tcPr>
          <w:p>
            <w:pPr>
              <w:spacing w:line="240" w:lineRule="auto" w:after="40"/>
              <w:jc w:val="left"/>
            </w:pPr>
            <w:r>
              <w:rPr>
                <w:sz w:val="20"/>
              </w:rPr>
              <w:t>Encadrement du personnel, gestion RH courante</w:t>
            </w:r>
          </w:p>
        </w:tc>
        <w:tc>
          <w:tcPr>
            <w:tcW w:type="dxa" w:w="4309"/>
          </w:tcPr>
          <w:p>
            <w:pPr>
              <w:spacing w:line="240" w:lineRule="auto" w:after="40"/>
              <w:jc w:val="left"/>
            </w:pPr>
            <w:r>
              <w:rPr>
                <w:sz w:val="20"/>
              </w:rPr>
              <w:t>« Entre la cheffe de service et les équipes », identifiés à la ligne hiérarchique (E1)</w:t>
            </w:r>
          </w:p>
        </w:tc>
      </w:tr>
      <w:tr>
        <w:tc>
          <w:tcPr>
            <w:tcW w:type="dxa" w:w="1928"/>
          </w:tcPr>
          <w:p>
            <w:pPr>
              <w:spacing w:line="240" w:lineRule="auto" w:after="40"/>
              <w:jc w:val="left"/>
            </w:pPr>
            <w:r>
              <w:rPr>
                <w:sz w:val="20"/>
              </w:rPr>
              <w:t>Chefs de salle</w:t>
            </w:r>
          </w:p>
        </w:tc>
        <w:tc>
          <w:tcPr>
            <w:tcW w:type="dxa" w:w="2835"/>
          </w:tcPr>
          <w:p>
            <w:pPr>
              <w:spacing w:line="240" w:lineRule="auto" w:after="40"/>
              <w:jc w:val="left"/>
            </w:pPr>
            <w:r>
              <w:rPr>
                <w:sz w:val="20"/>
              </w:rPr>
              <w:t>Coordination en temps réel, relais</w:t>
            </w:r>
          </w:p>
        </w:tc>
        <w:tc>
          <w:tcPr>
            <w:tcW w:type="dxa" w:w="4309"/>
          </w:tcPr>
          <w:p>
            <w:pPr>
              <w:spacing w:line="240" w:lineRule="auto" w:after="40"/>
              <w:jc w:val="left"/>
            </w:pPr>
            <w:r>
              <w:rPr>
                <w:sz w:val="20"/>
              </w:rPr>
              <w:t>Confidents du terrain : « on n'a pas vraiment de pouvoir de décision » (E1)</w:t>
            </w:r>
          </w:p>
        </w:tc>
      </w:tr>
    </w:tbl>
    <w:p>
      <w:pPr>
        <w:spacing w:after="0"/>
      </w:pPr>
    </w:p>
    <w:p>
      <w:pPr>
        <w:pStyle w:val="Heading2"/>
      </w:pPr>
      <w:r>
        <w:t>5.2 Une fonction RH déléguée et à distance</w:t>
      </w:r>
    </w:p>
    <w:p>
      <w:r>
        <w:t>Reichel et Lazarova (2013) distinguent deux mouvements qui transforment la position des départements RH : l'externalisation de certaines activités et la délégation de la gestion quotidienne du personnel aux managers de ligne. Gooderham et al. (2015) montrent que cette délégation dépend autant de facteurs nationaux que de choix propres à l'organisation. À la CTMG, la configuration relève clairement de la délégation. Les RH d'Unisanté sont centralisées et ne travaillent pas dans le service. La gestion courante des collaborateurs repose sur les cadres de proximité, et la présence RH sur place se limite à une matinée par semaine, dont, selon E1, peu de collègues se saisissent.</w:t>
      </w:r>
    </w:p>
    <w:p>
      <w:r>
        <w:t>Cette organisation n'est pas problématique en soi. Elle le devient lorsque le relais managérial ne fonctionne pas. Le cas des deux praticiennes formatrices rapporté par E2 en est une illustration. Sélectionnées pour cette fonction et en poste depuis juillet 2024, elles ont exercé cinq mois sans contrat ni 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r>
        <w:t>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r>
        <w:rPr>
          <w:i/>
        </w:rPr>
        <w:t>boundary spanners</w:t>
      </w:r>
      <w:r>
        <w:t>, ces acteurs qui traduisent d'une logique à l'autre (Bonnet et al., 2017). Mais ce rôle n'est ni reconnu ni outillé. Ce que les chefs de salle transmettent formellement à l'encadrement, ce sont des volumes d'appels. Les signaux humains qu'ils recueillent restent à leur niveau.</w:t>
      </w:r>
    </w:p>
    <w:p>
      <w:pPr>
        <w:pStyle w:val="Heading2"/>
      </w:pPr>
      <w:r>
        <w:t>5.3 Pouvoir, crédibilité et silence</w:t>
      </w:r>
    </w:p>
    <w:p>
      <w:r>
        <w:t>La fonction RH ne dispose pas seulement d'un pouvoir formel. Son influence repose aussi sur sa crédibilité auprès des différents acteurs (Aldrich et al., 2015 ; Sheehan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r>
        <w:t>Walker (2026) rappelle que les RH ne sont pas un médiateur neutre, et qu'il serait naïf de l'attendre d'elles. Le problème, à la CTMG, n'est pas que les RH soutiennent l'organisation, ce qui relève de leur rôle. Le problème est que, faute d'autre canal, les collaborateurs espéraient d'elles cet « espace neutre » (E1) que rien d'autre dans le dispositif ne leur offre. Cet espoir déçu a renforcé le repli vers les canaux informels : « même si le RH est présent, certains vont plutôt parler à un collègue ou à un chef de salle » (E1).</w:t>
      </w:r>
    </w:p>
    <w:p>
      <w:r>
        <w:t>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(Pfeffer, 1992).</w:t>
      </w:r>
    </w:p>
    <w:p>
      <w:r>
        <w:t>Au terme de cette analyse des acteurs, le mécanisme se précise. La structure de gouvernance rend le Conseil dépendant de l'information transmise par l'exécutif. La délégation RH confie la remontée des difficultés à une ligne managériale qui les vit comme des mises en cause. Les chefs de salle, qui recueillent cette information, n'ont ni le mandat ni les outils pour la faire remonter. Enfin, la perte de crédibilité des RH ferme le dernier canal possible. Il reste à comprendre pourquoi les décideurs, placés en haut de cette chaîne, ne cherchent pas à combler ce vide. C'est l'objet de l'analyse des biais cognitifs.</w:t>
      </w:r>
    </w:p>
    <w:p>
      <w:r>
        <w:br w:type="page"/>
      </w:r>
    </w:p>
    <w:p>
      <w:pPr>
        <w:pStyle w:val="Heading1"/>
      </w:pPr>
      <w:r>
        <w:t>Références citées dans cette partie</w:t>
      </w:r>
    </w:p>
    <w:p>
      <w:pPr>
        <w:pStyle w:val="Heading2"/>
      </w:pPr>
      <w:r>
        <w:t>Références scientifiques</w:t>
      </w:r>
    </w:p>
    <w:p>
      <w:pPr>
        <w:ind w:left="709" w:hanging="709"/>
        <w:jc w:val="left"/>
      </w:pPr>
      <w:r>
        <w:t xml:space="preserve">Aldrich, P., Dietz, G., Clark, T., &amp; Hamilton, P. (2015). Establishing HR professionals' influence and credibility: Lessons from the capital markets and investment banking sector. </w:t>
      </w:r>
      <w:r>
        <w:rPr>
          <w:i/>
        </w:rPr>
        <w:t>Human Resource Management, 54</w:t>
      </w:r>
      <w:r>
        <w:t>(1), 105–130.</w:t>
      </w:r>
    </w:p>
    <w:p>
      <w:pPr>
        <w:ind w:left="709" w:hanging="709"/>
        <w:jc w:val="left"/>
      </w:pPr>
      <w:r>
        <w:t xml:space="preserve">Bédat, J. (2024). </w:t>
      </w:r>
      <w:r>
        <w:rPr>
          <w:i/>
        </w:rPr>
        <w:t>The influence of the board of directors on HR strategy: Three qualitative studies in a Swiss context</w:t>
      </w:r>
      <w:r>
        <w:t xml:space="preserve"> [Thèse de doctorat, Université Jean Moulin Lyon III].</w:t>
      </w:r>
    </w:p>
    <w:p>
      <w:pPr>
        <w:ind w:left="709" w:hanging="709"/>
        <w:jc w:val="left"/>
      </w:pPr>
      <w:r>
        <w:t xml:space="preserve">Bonnet, C., Séville, M., &amp; Wirtz, P. (2017). Genèse et fonctionnement du conseil d'administration d'une firme entrepreneuriale : le rôle des identifications sociales des administrateurs. </w:t>
      </w:r>
      <w:r>
        <w:rPr>
          <w:i/>
        </w:rPr>
        <w:t>Finance Contrôle Stratégie, 20</w:t>
      </w:r>
      <w:r>
        <w:t>(3).</w:t>
      </w:r>
    </w:p>
    <w:p>
      <w:pPr>
        <w:ind w:left="709" w:hanging="709"/>
        <w:jc w:val="left"/>
      </w:pPr>
      <w:r>
        <w:t xml:space="preserve">Forbes, D. P., &amp; Milliken, F. J. (1999). Cognition and corporate governance: Understanding boards of directors as strategic decision-making groups. </w:t>
      </w:r>
      <w:r>
        <w:rPr>
          <w:i/>
        </w:rPr>
        <w:t>Academy of Management Review, 24</w:t>
      </w:r>
      <w:r>
        <w:t>(3), 489–505.</w:t>
      </w:r>
    </w:p>
    <w:p>
      <w:pPr>
        <w:ind w:left="709" w:hanging="709"/>
        <w:jc w:val="left"/>
      </w:pPr>
      <w:r>
        <w:t xml:space="preserve">Gooderham, P. N., Morley, M. J., Parry, E., &amp; Stavrou, E. (2015). National and firm-level drivers of the devolution of HRM decision making to line managers. </w:t>
      </w:r>
      <w:r>
        <w:rPr>
          <w:i/>
        </w:rPr>
        <w:t>Journal of International Business Studies, 46</w:t>
      </w:r>
      <w:r>
        <w:t>(6), 715–723.</w:t>
      </w:r>
    </w:p>
    <w:p>
      <w:pPr>
        <w:ind w:left="709" w:hanging="709"/>
        <w:jc w:val="left"/>
      </w:pPr>
      <w:r>
        <w:t xml:space="preserve">Hardy, C. (1996). Understanding power: Bringing about strategic change. </w:t>
      </w:r>
      <w:r>
        <w:rPr>
          <w:i/>
        </w:rPr>
        <w:t>British Journal of Management, 7</w:t>
      </w:r>
      <w:r>
        <w:t>(S1), S3–S16.</w:t>
      </w:r>
    </w:p>
    <w:p>
      <w:pPr>
        <w:ind w:left="709" w:hanging="709"/>
        <w:jc w:val="left"/>
      </w:pPr>
      <w:r>
        <w:t xml:space="preserve">Hilb, M. (2016). </w:t>
      </w:r>
      <w:r>
        <w:rPr>
          <w:i/>
        </w:rPr>
        <w:t>New corporate governance: Successful board management tools</w:t>
      </w:r>
      <w:r>
        <w:t xml:space="preserve"> (5e éd.). Springer.</w:t>
      </w:r>
    </w:p>
    <w:p>
      <w:pPr>
        <w:ind w:left="709" w:hanging="709"/>
        <w:jc w:val="left"/>
      </w:pPr>
      <w:r>
        <w:t xml:space="preserve">Jungmann, C. (2006). The effectiveness of corporate governance in one-tier and two-tier board systems: Evidence from the UK and Germany. </w:t>
      </w:r>
      <w:r>
        <w:rPr>
          <w:i/>
        </w:rPr>
        <w:t>European Company and Financial Law Review, 3</w:t>
      </w:r>
      <w:r>
        <w:t>(4), 426–474.</w:t>
      </w:r>
    </w:p>
    <w:p>
      <w:pPr>
        <w:ind w:left="709" w:hanging="709"/>
        <w:jc w:val="left"/>
      </w:pPr>
      <w:r>
        <w:t xml:space="preserve">Kunz, P. V. (2010). Swiss corporate governance: An overview. In </w:t>
      </w:r>
      <w:r>
        <w:rPr>
          <w:i/>
        </w:rPr>
        <w:t>Rapports suisses présentés au XVIIIe Congrès international de droit comparé</w:t>
      </w:r>
      <w:r>
        <w:t xml:space="preserve"> (pp. 99–134).</w:t>
      </w:r>
    </w:p>
    <w:p>
      <w:pPr>
        <w:ind w:left="709" w:hanging="709"/>
        <w:jc w:val="left"/>
      </w:pPr>
      <w:r>
        <w:t xml:space="preserve">Lima, L., &amp; Galleli, B. (2021). Human resources management and corporate governance: Integration perspectives and future directions. </w:t>
      </w:r>
      <w:r>
        <w:rPr>
          <w:i/>
        </w:rPr>
        <w:t>European Management Journal, 39</w:t>
      </w:r>
      <w:r>
        <w:t>(6), 731–744.</w:t>
      </w:r>
    </w:p>
    <w:p>
      <w:pPr>
        <w:ind w:left="709" w:hanging="709"/>
        <w:jc w:val="left"/>
      </w:pPr>
      <w:r>
        <w:t xml:space="preserve">Martin, G., Farndale, E., Paauwe, J., &amp; Stiles, P. G. (2016). Corporate governance and strategic human resource management: Four archetypes and proposals for a new approach to corporate sustainability. </w:t>
      </w:r>
      <w:r>
        <w:rPr>
          <w:i/>
        </w:rPr>
        <w:t>European Management Journal, 34</w:t>
      </w:r>
      <w:r>
        <w:t>(1), 22–35.</w:t>
      </w:r>
    </w:p>
    <w:p>
      <w:pPr>
        <w:ind w:left="709" w:hanging="709"/>
        <w:jc w:val="left"/>
      </w:pPr>
      <w:r>
        <w:t xml:space="preserve">Petrovic, J., Saridakis, G., &amp; Johnstone, S. (2018). An integrative approach to HRM–firm performance relationship: A missing link to corporate governance. </w:t>
      </w:r>
      <w:r>
        <w:rPr>
          <w:i/>
        </w:rPr>
        <w:t>Corporate Governance, 18</w:t>
      </w:r>
      <w:r>
        <w:t>(2), 331–352.</w:t>
      </w:r>
    </w:p>
    <w:p>
      <w:pPr>
        <w:ind w:left="709" w:hanging="709"/>
        <w:jc w:val="left"/>
      </w:pPr>
      <w:r>
        <w:t xml:space="preserve">Pfeffer, J. (1992). </w:t>
      </w:r>
      <w:r>
        <w:rPr>
          <w:i/>
        </w:rPr>
        <w:t>Managing with power: Politics and influence in organizations</w:t>
      </w:r>
      <w:r>
        <w:t>. Harvard Business School Press.</w:t>
      </w:r>
    </w:p>
    <w:p>
      <w:pPr>
        <w:ind w:left="709" w:hanging="709"/>
        <w:jc w:val="left"/>
      </w:pPr>
      <w:r>
        <w:t xml:space="preserve">Reichel, A., &amp; Lazarova, M. (2013). The effects of outsourcing and devolvement on the strategic position of HR departments. </w:t>
      </w:r>
      <w:r>
        <w:rPr>
          <w:i/>
        </w:rPr>
        <w:t>Human Resource Management, 52</w:t>
      </w:r>
      <w:r>
        <w:t>(6), 923–946.</w:t>
      </w:r>
    </w:p>
    <w:p>
      <w:pPr>
        <w:ind w:left="709" w:hanging="709"/>
        <w:jc w:val="left"/>
      </w:pPr>
      <w:r>
        <w:t xml:space="preserve">Schmid, M. M., &amp; Zimmermann, H. (2008). Should chairman and CEO be separated? Leadership structure and firm performance in Switzerland. </w:t>
      </w:r>
      <w:r>
        <w:rPr>
          <w:i/>
        </w:rPr>
        <w:t>Schmalenbach Business Review, 60</w:t>
      </w:r>
      <w:r>
        <w:t>(2), 182–204.</w:t>
      </w:r>
    </w:p>
    <w:p>
      <w:pPr>
        <w:ind w:left="709" w:hanging="709"/>
        <w:jc w:val="left"/>
      </w:pPr>
      <w:r>
        <w:t xml:space="preserve">Sheehan, C., De Cieri, H., Cooper, B., &amp; Brooks, R. (2014). Exploring the power dimensions of the human resource function. </w:t>
      </w:r>
      <w:r>
        <w:rPr>
          <w:i/>
        </w:rPr>
        <w:t>Human Resource Management Journal, 24</w:t>
      </w:r>
      <w:r>
        <w:t>(2), 193–210.</w:t>
      </w:r>
    </w:p>
    <w:p>
      <w:pPr>
        <w:ind w:left="709" w:hanging="709"/>
        <w:jc w:val="left"/>
      </w:pPr>
      <w:r>
        <w:t xml:space="preserve">Waterman, R. W., &amp; Meier, K. J. (1998). Principal-agent models: An expansion? </w:t>
      </w:r>
      <w:r>
        <w:rPr>
          <w:i/>
        </w:rPr>
        <w:t>Journal of Public Administration Research and Theory, 8</w:t>
      </w:r>
      <w:r>
        <w:t>(2), 173–202.</w:t>
      </w:r>
    </w:p>
    <w:p>
      <w:pPr>
        <w:pStyle w:val="Heading2"/>
      </w:pPr>
      <w:r>
        <w:t>Supports de cours et sources institutionnelles</w:t>
      </w:r>
    </w:p>
    <w:p>
      <w:pPr>
        <w:ind w:left="709" w:hanging="709"/>
        <w:jc w:val="left"/>
      </w:pPr>
      <w:r>
        <w:t xml:space="preserve">État de Vaud. (s.d.-c). </w:t>
      </w:r>
      <w:r>
        <w:rPr>
          <w:i/>
        </w:rPr>
        <w:t>Membres du Conseil d'Unisanté pour 2022-2027</w:t>
      </w:r>
      <w:r>
        <w:t xml:space="preserve"> [Décision du Conseil d'État]. https://www.vd.ch/toutes-les-actualites/decisions-du-conseil-detat/seance-du-conseil-detat/decision/decision/2f2fc729-ddd7-4f12-a035-68e85f187c98</w:t>
      </w:r>
    </w:p>
    <w:p>
      <w:pPr>
        <w:ind w:left="709" w:hanging="709"/>
        <w:jc w:val="left"/>
      </w:pPr>
      <w:r>
        <w:t xml:space="preserve">État de Vaud. (s.d.-b). </w:t>
      </w:r>
      <w:r>
        <w:rPr>
          <w:i/>
        </w:rPr>
        <w:t>Le Conseil d'État désigne le directeur général d'Unisanté</w:t>
      </w:r>
      <w:r>
        <w:t xml:space="preserve"> [Communiqué]. https://www.vd.ch/actualites/actualite/news/24942-le-conseil-detat-designe-le-dr-karim-boubaker-comme-directeur-general-dunisante</w:t>
      </w:r>
    </w:p>
    <w:p>
      <w:pPr>
        <w:ind w:left="709" w:hanging="709"/>
        <w:jc w:val="left"/>
      </w:pPr>
      <w:r>
        <w:t xml:space="preserve">Unisanté. (s.d.-b). </w:t>
      </w:r>
      <w:r>
        <w:rPr>
          <w:i/>
        </w:rPr>
        <w:t>Conseil d'Unisanté</w:t>
      </w:r>
      <w:r>
        <w:t>. https://www.unisante.ch/fr/propos-dunisante/unisante-bref/conseil-dunisante</w:t>
      </w:r>
    </w:p>
    <w:p>
      <w:pPr>
        <w:ind w:left="709" w:hanging="709"/>
        <w:jc w:val="left"/>
      </w:pPr>
      <w:r>
        <w:t xml:space="preserve">Unisanté. (s.d.-a). </w:t>
      </w:r>
      <w:r>
        <w:rPr>
          <w:i/>
        </w:rPr>
        <w:t>Comité de direction</w:t>
      </w:r>
      <w:r>
        <w:t>. https://www.unisante.ch/fr/propos-dunisante/unisante-bref/comite-direction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Orchestration stratégique RH – Zargui-Naji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jc w:val="left"/>
      <w:outlineLvl w:val="0"/>
    </w:pPr>
    <w:rPr>
      <w:rFonts w:ascii="Times New Roman" w:hAnsi="Times New Roman" w:eastAsia="Times New Roman"/>
      <w:b/>
      <w:bCs/>
      <w:i w:val="0"/>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eastAsia="Times New Roman"/>
      <w:b/>
      <w:bCs/>
      <w:i w:val="0"/>
      <w:color w:val="1F3A5F"/>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imes New Roman" w:hAnsi="Times New Roman" w:eastAsia="Times New Roman"/>
      <w:b/>
      <w:bCs/>
      <w:i w:val="0"/>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