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95959"/>
          <w:sz w:val="20"/>
          <w:szCs w:val="20"/>
        </w:rPr>
        <w:t xml:space="preserve">CAS Stratégie et organisation – MRHC · Université de Lausanne</w:t>
      </w:r>
    </w:p>
    <w:p>
      <w:pPr>
        <w:spacing w:after="60"/>
        <w:jc w:val="center"/>
      </w:pPr>
      <w:r>
        <w:rPr>
          <w:b/>
          <w:bCs/>
          <w:color w:val="1F3864"/>
          <w:sz w:val="34"/>
          <w:szCs w:val="34"/>
        </w:rPr>
        <w:t xml:space="preserve">Audit organisationnel de l’orchestration stratégique RH</w:t>
      </w:r>
    </w:p>
    <w:p>
      <w:pPr>
        <w:spacing w:after="60"/>
        <w:jc w:val="center"/>
      </w:pPr>
      <w:r>
        <w:rPr>
          <w:b/>
          <w:bCs/>
          <w:sz w:val="26"/>
          <w:szCs w:val="26"/>
        </w:rPr>
        <w:t xml:space="preserve">La CTMG – Unisanté</w:t>
      </w:r>
    </w:p>
    <w:p>
      <w:pPr>
        <w:spacing w:after="60"/>
        <w:jc w:val="center"/>
      </w:pPr>
      <w:r>
        <w:rPr>
          <w:i/>
          <w:iCs/>
          <w:sz w:val="22"/>
          <w:szCs w:val="22"/>
        </w:rPr>
        <w:t xml:space="preserve">Synthèse de travail : l’essentiel de chaque partie et ses références</w:t>
      </w:r>
    </w:p>
    <w:p>
      <w:pPr>
        <w:spacing w:after="240"/>
        <w:jc w:val="center"/>
      </w:pPr>
      <w:r>
        <w:rPr>
          <w:color w:val="595959"/>
          <w:sz w:val="20"/>
          <w:szCs w:val="20"/>
        </w:rPr>
        <w:t xml:space="preserve">Azdine Zargui-Naji · Module de la Dr Joëlle Bédat · d’après la version V7 · septembre 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1F3864" w:sz="8"/>
              <w:left w:val="single" w:color="1F3864" w:sz="8"/>
              <w:bottom w:val="single" w:color="1F3864" w:sz="8"/>
              <w:right w:val="single" w:color="1F3864" w:sz="8"/>
            </w:tcBorders>
            <w:shd w:fill="EEF2F8" w:val="clear"/>
            <w:tcMar>
              <w:top w:type="dxa" w:w="120"/>
              <w:left w:type="dxa" w:w="160"/>
              <w:bottom w:type="dxa" w:w="120"/>
              <w:right w:type="dxa" w:w="160"/>
            </w:tcMar>
          </w:tcPr>
          <w:p>
            <w:pPr>
              <w:spacing w:after="60"/>
            </w:pPr>
            <w:r>
              <w:rPr>
                <w:b/>
                <w:bCs/>
              </w:rPr>
              <w:t xml:space="preserve">Question de recherche.</w:t>
            </w:r>
            <w:r>
              <w:t xml:space="preserve"> En quoi la structure de gouvernance, la délégation de la fonction RH et les filtres cognitifs des décideurs limitent-ils la prise en compte des enjeux humains à la CTMG, et de quels leviers le Conseil d’Unisanté dispose-t-il pour y remédier ?</w:t>
            </w:r>
          </w:p>
          <w:p>
            <w:pPr>
              <w:spacing w:after="60"/>
            </w:pPr>
            <w:r>
              <w:rPr>
                <w:b/>
                <w:bCs/>
              </w:rPr>
              <w:t xml:space="preserve">Hypothèse centrale.</w:t>
            </w:r>
            <w:r>
              <w:t xml:space="preserve"> Les leviers disciplinaires (indicateurs, contrôle, procédures) l’emportent sur les leviers cognitifs, alors que la difficulté est cognitive : l’institution ne sait pas, ou ne cherche pas à savoir, ce qui se passe sur le terrain.</w:t>
            </w:r>
          </w:p>
          <w:p>
            <w:pPr>
              <w:spacing w:after="60"/>
            </w:pPr>
            <w:r>
              <w:rPr>
                <w:b/>
                <w:bCs/>
              </w:rPr>
              <w:t xml:space="preserve">Fil rouge.</w:t>
            </w:r>
            <w:r>
              <w:t xml:space="preserve"> « Aujourd’hui les structures existent […]. Mais ce qui manque encore, c’est la confiance entre ces différents niveaux » (E1).</w:t>
            </w:r>
          </w:p>
        </w:tc>
      </w:tr>
    </w:tbl>
    <w:p>
      <w:pPr>
        <w:pStyle w:val="Heading1"/>
      </w:pPr>
      <w:r>
        <w:t xml:space="preserve">Introduction et démarche</w:t>
      </w:r>
    </w:p>
    <w:p>
      <w:pPr>
        <w:pStyle w:val="ListParagraph"/>
        <w:numPr>
          <w:ilvl w:val="0"/>
          <w:numId w:val="2"/>
        </w:numPr>
        <w:spacing w:after="40"/>
      </w:pPr>
      <w:r>
        <w:rPr>
          <w:b/>
          <w:bCs/>
        </w:rPr>
        <w:t xml:space="preserve">Constat.</w:t>
      </w:r>
      <w:r>
        <w:t xml:space="preserve"> Depuis le rattachement à Unisanté (juillet 2024), la CTMG semble stabilisée. Mais les départs se succèdent, un audit interne a été mené sans restitution, puis les RH ont envoyé un message de confiance envers la direction du service.</w:t>
      </w:r>
    </w:p>
    <w:p>
      <w:pPr>
        <w:pStyle w:val="ListParagraph"/>
        <w:numPr>
          <w:ilvl w:val="0"/>
          <w:numId w:val="2"/>
        </w:numPr>
        <w:spacing w:after="40"/>
      </w:pPr>
      <w:r>
        <w:rPr>
          <w:b/>
          <w:bCs/>
        </w:rPr>
        <w:t xml:space="preserve">Cadre d’analyse</w:t>
      </w:r>
      <w:r>
        <w:t xml:space="preserve"> (grille du module) : configuration, gouvernance, acteurs, biais cognitifs, délégation, puis diagnostic et recommandations. Trois apports théoriques :</w:t>
      </w:r>
    </w:p>
    <w:p>
      <w:pPr>
        <w:pStyle w:val="ListParagraph"/>
        <w:numPr>
          <w:ilvl w:val="1"/>
          <w:numId w:val="2"/>
        </w:numPr>
        <w:spacing w:after="40"/>
      </w:pPr>
      <w:r>
        <w:t xml:space="preserve">la gouvernance comportementale : approches disciplinaire, cognitive et comportementale ;</w:t>
      </w:r>
    </w:p>
    <w:p>
      <w:pPr>
        <w:pStyle w:val="ListParagraph"/>
        <w:numPr>
          <w:ilvl w:val="1"/>
          <w:numId w:val="2"/>
        </w:numPr>
        <w:spacing w:after="40"/>
      </w:pPr>
      <w:r>
        <w:t xml:space="preserve">la perspective fondée sur les ressources : l’expertise tacite des régulateurs est une ressource VRIN (valeur, rareté, inimitabilité, organisation), à orchestrer, sinon elle est perdue avec les départs ;</w:t>
      </w:r>
    </w:p>
    <w:p>
      <w:pPr>
        <w:pStyle w:val="ListParagraph"/>
        <w:numPr>
          <w:ilvl w:val="1"/>
          <w:numId w:val="2"/>
        </w:numPr>
        <w:spacing w:after="40"/>
      </w:pPr>
      <w:r>
        <w:t xml:space="preserve">le rôle de la fonction RH : les RH ne sont pas un médiateur neutre.</w:t>
      </w:r>
    </w:p>
    <w:p>
      <w:pPr>
        <w:pStyle w:val="ListParagraph"/>
        <w:numPr>
          <w:ilvl w:val="0"/>
          <w:numId w:val="2"/>
        </w:numPr>
        <w:spacing w:after="40"/>
      </w:pPr>
      <w:r>
        <w:rPr>
          <w:b/>
          <w:bCs/>
        </w:rPr>
        <w:t xml:space="preserve">Position de l’auteur.</w:t>
      </w:r>
      <w:r>
        <w:t xml:space="preserve"> Chef de salle, sans accès aux données RH, au rapport d’audit ni aux délibérations. Le turnover est observé, pas mesuré.</w:t>
      </w:r>
    </w:p>
    <w:p>
      <w:pPr>
        <w:pStyle w:val="ListParagraph"/>
        <w:numPr>
          <w:ilvl w:val="0"/>
          <w:numId w:val="2"/>
        </w:numPr>
        <w:spacing w:after="40"/>
      </w:pPr>
      <w:r>
        <w:rPr>
          <w:b/>
          <w:bCs/>
        </w:rPr>
        <w:t xml:space="preserve">Matériau.</w:t>
      </w:r>
      <w:r>
        <w:t xml:space="preserve"> Observations de terrain, entretien E1 (chef de salle, 09.2026), entretien E2 (régulatrice et praticienne formatrice, 11.2024, réutilisé) et sources publiques.</w:t>
      </w:r>
    </w:p>
    <w:p>
      <w:pPr>
        <w:pStyle w:val="ListParagraph"/>
        <w:numPr>
          <w:ilvl w:val="0"/>
          <w:numId w:val="2"/>
        </w:numPr>
        <w:spacing w:after="40"/>
      </w:pPr>
      <w:r>
        <w:rPr>
          <w:b/>
          <w:bCs/>
        </w:rPr>
        <w:t xml:space="preserve">Biais assumés.</w:t>
      </w:r>
      <w:r>
        <w:t xml:space="preserve"> Risque de confirmation limité par le recoupement avec les sources publiques. Les interprétations sur les acteurs non interrogés sont formulées comme hypothèses. Les personnes sont anonymisées.</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Bédat (2026) ; Charreaux (2005) ; Fama &amp; Jensen (1983) ; Jensen &amp; Meckling (1976) ; Prévot et al. (2010) ; Barney (1991) ; Sirmon et al. (2011) ; Walker (2026).</w:t>
      </w:r>
    </w:p>
    <w:p>
      <w:pPr>
        <w:pStyle w:val="Heading1"/>
      </w:pPr>
      <w:r>
        <w:t xml:space="preserve">1. Présentation de l’organisation</w:t>
      </w:r>
    </w:p>
    <w:p>
      <w:pPr>
        <w:pStyle w:val="ListParagraph"/>
        <w:numPr>
          <w:ilvl w:val="0"/>
          <w:numId w:val="2"/>
        </w:numPr>
        <w:spacing w:after="40"/>
      </w:pPr>
      <w:r>
        <w:rPr>
          <w:b/>
          <w:bCs/>
        </w:rPr>
        <w:t xml:space="preserve">Mission et statut.</w:t>
      </w:r>
      <w:r>
        <w:t xml:space="preserve"> Ligne publique pour Vaud et Neuchâtel, pour les demandes hors urgence vitale. Elle évalue les demandes médicales, psychologiques et sociales et oriente vers la bonne ressource (garde, urgences, 144, médecin traitant, conseils, réseau de partenaires). Depuis le 01.07.2024, elle est un secteur du DUSC d’Unisanté, établissement autonome de droit public sous la surveillance du DSAS et de l’UNIL.</w:t>
      </w:r>
    </w:p>
    <w:p>
      <w:pPr>
        <w:pStyle w:val="ListParagraph"/>
        <w:numPr>
          <w:ilvl w:val="0"/>
          <w:numId w:val="2"/>
        </w:numPr>
        <w:spacing w:after="40"/>
      </w:pPr>
      <w:r>
        <w:rPr>
          <w:b/>
          <w:bCs/>
        </w:rPr>
        <w:t xml:space="preserve">Trajectoire.</w:t>
      </w:r>
      <w:r>
        <w:t xml:space="preserve"> La Fondation Urgences Santé a été dissoute : le 144 est allé au CHUV, la CTMG à Unisanté. La centrale a été sous tutelle de l’EMCC de 2022 à 2024 (selon E1). Le poste de cheffe de service a été créé en 09.2022 et les trois anciens cadres ont démissionné. E1 distingue trois temps : la crise de la Fondation, la tutelle, puis la dégradation de la confiance après le rattachement. La crise actuelle est donc née dans le nouveau cadre.</w:t>
      </w:r>
    </w:p>
    <w:p>
      <w:pPr>
        <w:pStyle w:val="ListParagraph"/>
        <w:numPr>
          <w:ilvl w:val="0"/>
          <w:numId w:val="2"/>
        </w:numPr>
        <w:spacing w:after="40"/>
      </w:pPr>
      <w:r>
        <w:rPr>
          <w:b/>
          <w:bCs/>
        </w:rPr>
        <w:t xml:space="preserve">Organisation interne.</w:t>
      </w:r>
      <w:r>
        <w:t xml:space="preserve"> Une cheffe de service, 3 cadres, un médecin responsable, 7 chefs de salle (coordination sans autorité hiérarchique), 2 administratives, 5 médecins formateurs, 16 agents de front-office et 33 régulateurs, dont 5 praticiens formateurs (formation jusqu’à 3 mois).</w:t>
      </w:r>
    </w:p>
    <w:p>
      <w:pPr>
        <w:pStyle w:val="ListParagraph"/>
        <w:numPr>
          <w:ilvl w:val="0"/>
          <w:numId w:val="2"/>
        </w:numPr>
        <w:spacing w:after="40"/>
      </w:pPr>
      <w:r>
        <w:rPr>
          <w:b/>
          <w:bCs/>
        </w:rPr>
        <w:t xml:space="preserve">Enjeu stratégique.</w:t>
      </w:r>
      <w:r>
        <w:t xml:space="preserve"> La continuité et la qualité, 24 heures sur 24, reposent sur le jugement clinique d’experts. Exemple : une parasitose tropicale reconnue par une régulatrice (E2). Fidéliser les collaborateurs est donc une condition de la mission.</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Unisanté (2022, s.d.-c) ; CHUV (s.d.) ; État de Vaud (s.d.-a) ; E1 ; E2.</w:t>
      </w:r>
    </w:p>
    <w:p>
      <w:pPr>
        <w:pStyle w:val="Heading1"/>
      </w:pPr>
      <w:r>
        <w:t xml:space="preserve">2. Configuration organisationnelle et facteurs environnementaux</w:t>
      </w:r>
    </w:p>
    <w:p>
      <w:pPr>
        <w:pStyle w:val="ListParagraph"/>
        <w:numPr>
          <w:ilvl w:val="0"/>
          <w:numId w:val="2"/>
        </w:numPr>
        <w:spacing w:after="40"/>
      </w:pPr>
      <w:r>
        <w:rPr>
          <w:b/>
          <w:bCs/>
        </w:rPr>
        <w:t xml:space="preserve">Administration publique hybride.</w:t>
      </w:r>
      <w:r>
        <w:t xml:space="preserve"> Règles bureaucratiques combinées à des outils de la nouvelle gestion publique : l’organisation est pilotée par des indicateurs d’activité.</w:t>
      </w:r>
    </w:p>
    <w:p>
      <w:pPr>
        <w:pStyle w:val="ListParagraph"/>
        <w:numPr>
          <w:ilvl w:val="0"/>
          <w:numId w:val="2"/>
        </w:numPr>
        <w:spacing w:after="40"/>
      </w:pPr>
      <w:r>
        <w:rPr>
          <w:b/>
          <w:bCs/>
        </w:rPr>
        <w:t xml:space="preserve">Pluralité de principaux.</w:t>
      </w:r>
      <w:r>
        <w:t xml:space="preserve"> Une longue chaîne de délégations, chaque maillon ajoutant de l’asymétrie d’information. Neuchâtel est mandant, mais sans voix dans la gouvernance.</w:t>
      </w:r>
    </w:p>
    <w:p>
      <w:pPr>
        <w:pStyle w:val="ListParagraph"/>
        <w:numPr>
          <w:ilvl w:val="0"/>
          <w:numId w:val="2"/>
        </w:numPr>
        <w:spacing w:after="40"/>
      </w:pPr>
      <w:r>
        <w:rPr>
          <w:b/>
          <w:bCs/>
        </w:rPr>
        <w:t xml:space="preserve">Gouvernance à distance par les indicateurs.</w:t>
      </w:r>
      <w:r>
        <w:t xml:space="preserve"> Les volumes sont visibles, l’humain reste dans l’ombre. « La seule chose positive qu’on balance, c’est que c’est des bons chiffres » (E2). Le module parle de « myopie de l’efficience ».</w:t>
      </w:r>
    </w:p>
    <w:p>
      <w:pPr>
        <w:pStyle w:val="ListParagraph"/>
        <w:numPr>
          <w:ilvl w:val="0"/>
          <w:numId w:val="2"/>
        </w:numPr>
        <w:spacing w:after="40"/>
      </w:pPr>
      <w:r>
        <w:rPr>
          <w:b/>
          <w:bCs/>
        </w:rPr>
        <w:t xml:space="preserve">Bureaucratie libérale.</w:t>
      </w:r>
      <w:r>
        <w:t xml:space="preserve"> Autonomie clinique, mais suivi de la productivité (« petit côté flicage », E2). Ces injonctions contradictoires heurtent la motivation de service public (« aider les gens »), qui est liée à la performance.</w:t>
      </w:r>
    </w:p>
    <w:p>
      <w:pPr>
        <w:pStyle w:val="ListParagraph"/>
        <w:numPr>
          <w:ilvl w:val="0"/>
          <w:numId w:val="2"/>
        </w:numPr>
        <w:spacing w:after="40"/>
      </w:pPr>
      <w:r>
        <w:rPr>
          <w:b/>
          <w:bCs/>
        </w:rPr>
        <w:t xml:space="preserve">Empreinte de la crise.</w:t>
      </w:r>
      <w:r>
        <w:t xml:space="preserve"> Le pilotage par le contrôle était rationnel en crise, mais il s’est maintenu ensuite : la forme a changé, pas le fond (E1).</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Emery &amp; Giauque (2003, 2014, 2019) ; Waterman &amp; Meier (1998) ; Giauque (2003, 2024) ; Bédat (2026) ; Vandenabeele et al. (2014) ; Ritz (2009) ; Stinchcombe (1965).</w:t>
      </w:r>
    </w:p>
    <w:p>
      <w:pPr>
        <w:pStyle w:val="Heading1"/>
      </w:pPr>
      <w:r>
        <w:t xml:space="preserve">3. Structure de gouvernance : une architecture de type dualiste</w:t>
      </w:r>
    </w:p>
    <w:p>
      <w:pPr>
        <w:pStyle w:val="ListParagraph"/>
        <w:numPr>
          <w:ilvl w:val="0"/>
          <w:numId w:val="2"/>
        </w:numPr>
        <w:spacing w:after="40"/>
      </w:pPr>
      <w:r>
        <w:rPr>
          <w:b/>
          <w:bCs/>
        </w:rPr>
        <w:t xml:space="preserve">Organes.</w:t>
      </w:r>
      <w:r>
        <w:t xml:space="preserve"> Le Conseil d’Unisanté compte 7 à 8 membres désignés par le Conseil d’État (2022-2027). Il adopte le plan stratégique (ratifié par le Conseil d’État), le budget, les objectifs, les comptes et le contrat de prestations avec le DSAS. Une représentante du DSAS y siège. Le directeur général est désigné par le Conseil d’État et préside le comité de direction (finances, RH, médical, soins, 7 départements dont le DUSC).</w:t>
      </w:r>
    </w:p>
    <w:p>
      <w:pPr>
        <w:pStyle w:val="ListParagraph"/>
        <w:numPr>
          <w:ilvl w:val="0"/>
          <w:numId w:val="2"/>
        </w:numPr>
        <w:spacing w:after="40"/>
      </w:pPr>
      <w:r>
        <w:rPr>
          <w:b/>
          <w:bCs/>
        </w:rPr>
        <w:t xml:space="preserve">Qualification.</w:t>
      </w:r>
      <w:r>
        <w:t xml:space="preserve"> Par analogie (Unisanté n’est pas une SA), l’architecture est proche du modèle dualiste : la séparation entre surveillance et gestion est organique.</w:t>
      </w:r>
    </w:p>
    <w:p>
      <w:pPr>
        <w:pStyle w:val="ListParagraph"/>
        <w:numPr>
          <w:ilvl w:val="0"/>
          <w:numId w:val="2"/>
        </w:numPr>
        <w:spacing w:after="40"/>
      </w:pPr>
      <w:r>
        <w:rPr>
          <w:b/>
          <w:bCs/>
        </w:rPr>
        <w:t xml:space="preserve">Effets sur l’orchestration RH :</w:t>
      </w:r>
    </w:p>
    <w:p>
      <w:pPr>
        <w:pStyle w:val="ListParagraph"/>
        <w:numPr>
          <w:ilvl w:val="1"/>
          <w:numId w:val="2"/>
        </w:numPr>
        <w:spacing w:after="40"/>
      </w:pPr>
      <w:r>
        <w:t xml:space="preserve">un contrôle indépendant mais dépendant de l’information : le conseil est un groupe épisodique qui ne voit que ce qu’on lui présente, et l’information est filtrée à chaque niveau ;</w:t>
      </w:r>
    </w:p>
    <w:p>
      <w:pPr>
        <w:pStyle w:val="ListParagraph"/>
        <w:numPr>
          <w:ilvl w:val="1"/>
          <w:numId w:val="2"/>
        </w:numPr>
        <w:spacing w:after="40"/>
      </w:pPr>
      <w:r>
        <w:t xml:space="preserve">un double principal : le Conseil ne nomme pas la direction générale, et la présence de la tutelle au sein du Conseil brouille la frontière entre surveillance et tutelle ;</w:t>
      </w:r>
    </w:p>
    <w:p>
      <w:pPr>
        <w:pStyle w:val="ListParagraph"/>
        <w:numPr>
          <w:ilvl w:val="1"/>
          <w:numId w:val="2"/>
        </w:numPr>
        <w:spacing w:after="40"/>
      </w:pPr>
      <w:r>
        <w:t xml:space="preserve">une fonction RH du côté de l’exécutif : aucune commission RH du Conseil, donc l’humain n’entre dans la gouvernance que si l’exécutif l’y porte ;</w:t>
      </w:r>
    </w:p>
    <w:p>
      <w:pPr>
        <w:pStyle w:val="ListParagraph"/>
        <w:numPr>
          <w:ilvl w:val="1"/>
          <w:numId w:val="2"/>
        </w:numPr>
        <w:spacing w:after="40"/>
      </w:pPr>
      <w:r>
        <w:t xml:space="preserve">un dualisme interne entre ligne managériale et ligne médicale, avec les chefs de salle à l’intersection.</w:t>
      </w:r>
    </w:p>
    <w:p>
      <w:pPr>
        <w:pStyle w:val="ListParagraph"/>
        <w:numPr>
          <w:ilvl w:val="0"/>
          <w:numId w:val="2"/>
        </w:numPr>
        <w:spacing w:after="40"/>
      </w:pPr>
      <w:r>
        <w:rPr>
          <w:b/>
          <w:bCs/>
        </w:rPr>
        <w:t xml:space="preserve">Synthèse.</w:t>
      </w:r>
      <w:r>
        <w:t xml:space="preserve"> Ce n’est pas une défaillance de conception mais une vulnérabilité : tout dépend de la remontée d’information (figure 1).</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État de Vaud (s.d.-b, s.d.-c) ; Unisanté (s.d.-a, s.d.-b) ; Jungmann (2006) ; Kunz (2010) ; Schmid &amp; Zimmermann (2008) ; Forbes &amp; Milliken (1999) ; Waterman &amp; Meier (1998) ; Hilb (2016) ; Lima &amp; Galleli (2021) ; Martin et al. (2016) ; Petrovic et al. (2018) ; Bédat (2024).</w:t>
      </w:r>
    </w:p>
    <w:p>
      <w:pPr>
        <w:pStyle w:val="Heading1"/>
      </w:pPr>
      <w:r>
        <w:t xml:space="preserve">4. Acteurs clés, délégation et jeux de pouvoir</w:t>
      </w:r>
    </w:p>
    <w:p>
      <w:pPr>
        <w:pStyle w:val="ListParagraph"/>
        <w:numPr>
          <w:ilvl w:val="0"/>
          <w:numId w:val="2"/>
        </w:numPr>
        <w:spacing w:after="40"/>
      </w:pPr>
      <w:r>
        <w:rPr>
          <w:b/>
          <w:bCs/>
        </w:rPr>
        <w:t xml:space="preserve">Chaîne des délégations.</w:t>
      </w:r>
      <w:r>
        <w:t xml:space="preserve"> Conseil d’État, Conseil d’Unisanté, direction générale et comité de direction, DUSC, cheffe de service, cadres, chefs de salle, équipes.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7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sz w:val="19"/>
                <w:szCs w:val="19"/>
              </w:rPr>
              <w:t xml:space="preserve">Acteur</w:t>
            </w:r>
          </w:p>
        </w:tc>
        <w:tc>
          <w:tcPr>
            <w:tcW w:type="dxa" w:w="3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sz w:val="19"/>
                <w:szCs w:val="19"/>
              </w:rPr>
              <w:t xml:space="preserve">Rôle formel</w:t>
            </w:r>
          </w:p>
        </w:tc>
        <w:tc>
          <w:tcPr>
            <w:tcW w:type="dxa" w:w="387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r>
              <w:rPr>
                <w:b/>
                <w:bCs/>
                <w:sz w:val="19"/>
                <w:szCs w:val="19"/>
              </w:rPr>
              <w:t xml:space="preserve">Rôle perçu depuis le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Conseil d’Unisanté</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Orienter, surveiller</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Absent des récits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Direction générale, DUSC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Conduire</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Commanditaire d’un audit non restitué</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Direction des RH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Politique RH, appui</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Distante, perçue proche de la direction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Cheffe de service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Piloter le service</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Pilotage par l’activité, communication plus mesurée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Cadres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Gestion RH courante</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Incarnent la ligne hiérarchique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Chefs de salle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Coordination en temps réel</w:t>
            </w:r>
          </w:p>
        </w:tc>
        <w:tc>
          <w:tcPr>
            <w:tcW w:type="dxa" w:w="38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Confidents sans pouvoir de décision</w:t>
            </w:r>
          </w:p>
        </w:tc>
      </w:tr>
    </w:tbl>
    <w:p>
      <w:pPr>
        <w:spacing w:after="60"/>
      </w:pPr>
    </w:p>
    <w:p>
      <w:pPr>
        <w:pStyle w:val="ListParagraph"/>
        <w:numPr>
          <w:ilvl w:val="0"/>
          <w:numId w:val="2"/>
        </w:numPr>
        <w:spacing w:after="40"/>
      </w:pPr>
      <w:r>
        <w:rPr>
          <w:b/>
          <w:bCs/>
        </w:rPr>
        <w:t xml:space="preserve">Parties prenantes externes</w:t>
      </w:r>
      <w:r>
        <w:t xml:space="preserve"> (population, médecins de garde, partenaires, Neuchâtel) : aucune ne perçoit le climat interne avant qu’il n’affecte la prestation.</w:t>
      </w:r>
    </w:p>
    <w:p>
      <w:pPr>
        <w:pStyle w:val="ListParagraph"/>
        <w:numPr>
          <w:ilvl w:val="0"/>
          <w:numId w:val="2"/>
        </w:numPr>
        <w:spacing w:after="40"/>
      </w:pPr>
      <w:r>
        <w:rPr>
          <w:b/>
          <w:bCs/>
        </w:rPr>
        <w:t xml:space="preserve">Une fonction RH déléguée et à distance.</w:t>
      </w:r>
      <w:r>
        <w:t xml:space="preserve"> Les RH sont centralisées et présentes une matinée par semaine. Exemple : des praticiennes formatrices restées 5 mois sans contrat, débloquées seulement par un courrier écrit (« ce n’est pas l’institution qui m’a aidé », E2).</w:t>
      </w:r>
    </w:p>
    <w:p>
      <w:pPr>
        <w:pStyle w:val="ListParagraph"/>
        <w:numPr>
          <w:ilvl w:val="0"/>
          <w:numId w:val="2"/>
        </w:numPr>
        <w:spacing w:after="40"/>
      </w:pPr>
      <w:r>
        <w:rPr>
          <w:b/>
          <w:bCs/>
        </w:rPr>
        <w:t xml:space="preserve">Les cadres</w:t>
      </w:r>
      <w:r>
        <w:t xml:space="preserve"> sont en position paradoxale : ils subissent la défiance envers la direction. </w:t>
      </w:r>
      <w:r>
        <w:rPr>
          <w:b/>
          <w:bCs/>
        </w:rPr>
        <w:t xml:space="preserve">Les chefs de salle</w:t>
      </w:r>
      <w:r>
        <w:t xml:space="preserve"> jouent un rôle de </w:t>
      </w:r>
      <w:r>
        <w:rPr>
          <w:i/>
          <w:iCs/>
        </w:rPr>
        <w:t xml:space="preserve">boundary spanners</w:t>
      </w:r>
      <w:r>
        <w:t xml:space="preserve"> non reconnu : ils ne transmettent que des volumes.</w:t>
      </w:r>
    </w:p>
    <w:p>
      <w:pPr>
        <w:pStyle w:val="ListParagraph"/>
        <w:numPr>
          <w:ilvl w:val="0"/>
          <w:numId w:val="2"/>
        </w:numPr>
        <w:spacing w:after="40"/>
      </w:pPr>
      <w:r>
        <w:rPr>
          <w:b/>
          <w:bCs/>
        </w:rPr>
        <w:t xml:space="preserve">Pouvoir, crédibilité et silence.</w:t>
      </w:r>
      <w:r>
        <w:t xml:space="preserve"> Le mail des RH après l’audit a entamé leur crédibilité (« leur parole n’avait pas vraiment de poids », E1). Les équipes attendaient un « espace neutre ». Les collaborateurs ont appris le silence (« je ne veux pas m’attirer les foudres », E2).</w:t>
      </w:r>
    </w:p>
    <w:p>
      <w:pPr>
        <w:pStyle w:val="ListParagraph"/>
        <w:numPr>
          <w:ilvl w:val="0"/>
          <w:numId w:val="2"/>
        </w:numPr>
        <w:spacing w:after="40"/>
      </w:pPr>
      <w:r>
        <w:rPr>
          <w:b/>
          <w:bCs/>
        </w:rPr>
        <w:t xml:space="preserve">Mécanisme.</w:t>
      </w:r>
      <w:r>
        <w:t xml:space="preserve"> Le Conseil dépend de l’exécutif ; la délégation passe par une ligne qui vit les remontées comme des mises en cause ; les relais n’ont pas de mandat ; et la perte de crédibilité des RH ferme le dernier canal.</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Bédat (2026) ; Freeman (1984) ; Reichel &amp; Lazarova (2013) ; Gooderham et al. (2015) ; Bonnet et al. (2017) ; Aldrich et al. (2015) ; Sheehan et al. (2014) ; Walker (2026) ; Hardy (1996) ; Pfeffer (1992).</w:t>
      </w:r>
    </w:p>
    <w:p>
      <w:pPr>
        <w:pStyle w:val="Heading1"/>
      </w:pPr>
      <w:r>
        <w:t xml:space="preserve">5. Biais cognitifs et filtres de décision</w:t>
      </w:r>
    </w:p>
    <w:p>
      <w:pPr>
        <w:spacing w:after="80"/>
      </w:pPr>
      <w:r>
        <w:rPr>
          <w:i/>
          <w:iCs/>
        </w:rPr>
        <w:t xml:space="preserve">Ce sont des hypothèses construites depuis le terrain : les décideurs n’ont pas été interrogés.</w:t>
      </w:r>
    </w:p>
    <w:p>
      <w:pPr>
        <w:pStyle w:val="ListParagraph"/>
        <w:numPr>
          <w:ilvl w:val="0"/>
          <w:numId w:val="2"/>
        </w:numPr>
        <w:spacing w:after="40"/>
      </w:pPr>
      <w:r>
        <w:rPr>
          <w:b/>
          <w:bCs/>
        </w:rPr>
        <w:t xml:space="preserve">5.1 Filtre d’attention.</w:t>
      </w:r>
      <w:r>
        <w:t xml:space="preserve"> Les canaux ne transportent que des volumes. Il existe une procédure pour les incidents techniques, rien pour le managérial ou la charge vécue (« prends ta pause plus tôt », E2). L’organisation rend l’humain invisible, ce qui relève de la gouvernance.</w:t>
      </w:r>
    </w:p>
    <w:p>
      <w:pPr>
        <w:pStyle w:val="ListParagraph"/>
        <w:numPr>
          <w:ilvl w:val="0"/>
          <w:numId w:val="2"/>
        </w:numPr>
        <w:spacing w:after="40"/>
      </w:pPr>
      <w:r>
        <w:rPr>
          <w:b/>
          <w:bCs/>
        </w:rPr>
        <w:t xml:space="preserve">5.2 Disponibilité.</w:t>
      </w:r>
      <w:r>
        <w:t xml:space="preserve"> L’absence de plainte, produite par le silence, est lue comme un signe de maîtrise.</w:t>
      </w:r>
    </w:p>
    <w:p>
      <w:pPr>
        <w:pStyle w:val="ListParagraph"/>
        <w:numPr>
          <w:ilvl w:val="0"/>
          <w:numId w:val="2"/>
        </w:numPr>
        <w:spacing w:after="40"/>
      </w:pPr>
      <w:r>
        <w:rPr>
          <w:b/>
          <w:bCs/>
        </w:rPr>
        <w:t xml:space="preserve">5.3 Confirmation et escalade.</w:t>
      </w:r>
      <w:r>
        <w:t xml:space="preserve"> L’audit a pu être lu dans le sens du choix initial (le poste a été créé pendant la tutelle). D’autres lectures sont plausibles : rien de révélé, devoir de réserve, coaching jugé proportionné. C’est justement pourquoi l’absence de restitution pose problème.</w:t>
      </w:r>
    </w:p>
    <w:p>
      <w:pPr>
        <w:pStyle w:val="ListParagraph"/>
        <w:numPr>
          <w:ilvl w:val="0"/>
          <w:numId w:val="2"/>
        </w:numPr>
        <w:spacing w:after="40"/>
      </w:pPr>
      <w:r>
        <w:rPr>
          <w:b/>
          <w:bCs/>
        </w:rPr>
        <w:t xml:space="preserve">5.4 Attribution.</w:t>
      </w:r>
      <w:r>
        <w:t xml:space="preserve"> Les départs et les absences sont lus comme des cas individuels, jamais comme un phénomène organisationnel. La réorientation devient alors improbable.</w:t>
      </w:r>
    </w:p>
    <w:p>
      <w:pPr>
        <w:pStyle w:val="ListParagraph"/>
        <w:numPr>
          <w:ilvl w:val="0"/>
          <w:numId w:val="2"/>
        </w:numPr>
        <w:spacing w:after="40"/>
      </w:pPr>
      <w:r>
        <w:rPr>
          <w:b/>
          <w:bCs/>
        </w:rPr>
        <w:t xml:space="preserve">5.5 Pensée de groupe.</w:t>
      </w:r>
      <w:r>
        <w:t xml:space="preserve"> Les conditions sont réunies, mais il n’y a pas de preuve.</w:t>
      </w:r>
    </w:p>
    <w:p>
      <w:pPr>
        <w:pStyle w:val="ListParagraph"/>
        <w:numPr>
          <w:ilvl w:val="0"/>
          <w:numId w:val="2"/>
        </w:numPr>
        <w:spacing w:after="40"/>
      </w:pPr>
      <w:r>
        <w:rPr>
          <w:b/>
          <w:bCs/>
        </w:rPr>
        <w:t xml:space="preserve">5.6 Découplage.</w:t>
      </w:r>
      <w:r>
        <w:t xml:space="preserve"> La forme change, pas le fond. Un audit sans restitution suivi d’un message de confiance correspond à la « logique de confiance » : on gagne en légitimité sans apprendre.</w:t>
      </w:r>
    </w:p>
    <w:p>
      <w:pPr>
        <w:pStyle w:val="ListParagraph"/>
        <w:numPr>
          <w:ilvl w:val="0"/>
          <w:numId w:val="2"/>
        </w:numPr>
        <w:spacing w:after="40"/>
      </w:pPr>
      <w:r>
        <w:rPr>
          <w:b/>
          <w:bCs/>
        </w:rPr>
        <w:t xml:space="preserve">5.7 Synthèse.</w:t>
      </w:r>
      <w:r>
        <w:t xml:space="preserve"> Une boucle qui s’auto-entretient : canaux centrés sur le volume, humain invisible, attribution aux personnes, engagement confirmé, silence. Précaution : la détection des biais dépend aussi de l’observateur.</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Charreaux (2005) ; Ocasio (1997) ; Tversky &amp; Kahneman (1974) ; Kahneman (2012) ; Schwenk (1988) ; Simonson &amp; Staw (1992) ; McCormick &amp; Martinko (2004) ; Barker &amp; Barr (2002) ; Haleblian &amp; Rajagopalan (2006) ; Janis (1972) ; Gioia &amp; Chittipeddi (1991) ; Weick (1995) ; Meyer &amp; Rowan (1977) ; Tetlock (2000).</w:t>
      </w:r>
    </w:p>
    <w:p>
      <w:pPr>
        <w:pStyle w:val="Heading1"/>
      </w:pPr>
      <w:r>
        <w:t xml:space="preserve">6. Facteurs facilitant ou limitant le positionnement stratégique de la fonction RH</w:t>
      </w:r>
    </w:p>
    <w:p>
      <w:pPr>
        <w:pStyle w:val="ListParagraph"/>
        <w:numPr>
          <w:ilvl w:val="0"/>
          <w:numId w:val="2"/>
        </w:numPr>
        <w:spacing w:after="40"/>
      </w:pPr>
      <w:r>
        <w:rPr>
          <w:b/>
          <w:bCs/>
        </w:rPr>
        <w:t xml:space="preserve">Idée clé.</w:t>
      </w:r>
      <w:r>
        <w:t xml:space="preserve"> Un capital humain qualifié « reste stérile s’il n’est pas managé par des pratiques RH structurées, initiées par la gouvernance » (Bédat, 2026).</w:t>
      </w:r>
    </w:p>
    <w:p>
      <w:pPr>
        <w:pStyle w:val="ListParagraph"/>
        <w:numPr>
          <w:ilvl w:val="0"/>
          <w:numId w:val="2"/>
        </w:numPr>
        <w:spacing w:after="40"/>
      </w:pPr>
      <w:r>
        <w:rPr>
          <w:b/>
          <w:bCs/>
        </w:rPr>
        <w:t xml:space="preserve">Facteurs facilitants :</w:t>
      </w:r>
      <w:r>
        <w:t xml:space="preserve"> une expertise VRIN, les solidarités entre pairs, un audit commandé, une communication améliorée, une présence RH hebdomadaire et un département de santé au travail.</w:t>
      </w:r>
    </w:p>
    <w:p>
      <w:pPr>
        <w:pStyle w:val="ListParagraph"/>
        <w:numPr>
          <w:ilvl w:val="0"/>
          <w:numId w:val="2"/>
        </w:numPr>
        <w:spacing w:after="40"/>
      </w:pPr>
      <w:r>
        <w:rPr>
          <w:b/>
          <w:bCs/>
        </w:rPr>
        <w:t xml:space="preserve">Facteurs limitants :</w:t>
      </w:r>
      <w:r>
        <w:t xml:space="preserve"> distance et perte de crédibilité des RH, pilotage par les volumes, RH absentes du Conseil, pas de débriefing, circuits contractuels lents. La direction n’attend pas de la fonction RH qu’elle soit un partenaire stratégique. Or, dans le secteur public, la GRH agit sur la performance par la motivation intrinsèque.</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Boxall (1996) ; Bédat (2026) ; Barney &amp; Wright (1998) ; Brandl &amp; Pohler (2010) ; Giauque et al. (2013).</w:t>
      </w:r>
    </w:p>
    <w:p>
      <w:pPr>
        <w:pStyle w:val="Heading1"/>
      </w:pPr>
      <w:r>
        <w:t xml:space="preserve">7. Risques, enjeux éthiques et points de vigilance</w:t>
      </w:r>
    </w:p>
    <w:p>
      <w:pPr>
        <w:pStyle w:val="ListParagraph"/>
        <w:numPr>
          <w:ilvl w:val="0"/>
          <w:numId w:val="2"/>
        </w:numPr>
        <w:spacing w:after="40"/>
      </w:pPr>
      <w:r>
        <w:rPr>
          <w:b/>
          <w:bCs/>
        </w:rPr>
        <w:t xml:space="preserve">Risques :</w:t>
      </w:r>
    </w:p>
    <w:p>
      <w:pPr>
        <w:pStyle w:val="ListParagraph"/>
        <w:numPr>
          <w:ilvl w:val="1"/>
          <w:numId w:val="2"/>
        </w:numPr>
        <w:spacing w:after="40"/>
      </w:pPr>
      <w:r>
        <w:t xml:space="preserve">perte d’un capital humain tacite, chaque départ imposant jusqu’à 3 mois de formation ;</w:t>
      </w:r>
    </w:p>
    <w:p>
      <w:pPr>
        <w:pStyle w:val="ListParagraph"/>
        <w:numPr>
          <w:ilvl w:val="1"/>
          <w:numId w:val="2"/>
        </w:numPr>
        <w:spacing w:after="40"/>
      </w:pPr>
      <w:r>
        <w:t xml:space="preserve">risque opérationnel et de sécurité des patients, avec le sous-effectif et la charge émotionnelle (le « sac à dos », E2) ;</w:t>
      </w:r>
    </w:p>
    <w:p>
      <w:pPr>
        <w:pStyle w:val="ListParagraph"/>
        <w:numPr>
          <w:ilvl w:val="1"/>
          <w:numId w:val="2"/>
        </w:numPr>
        <w:spacing w:after="40"/>
      </w:pPr>
      <w:r>
        <w:t xml:space="preserve">risque de légitimité et de réputation, pour la CTMG comme pour Unisanté.</w:t>
      </w:r>
    </w:p>
    <w:p>
      <w:pPr>
        <w:pStyle w:val="ListParagraph"/>
        <w:numPr>
          <w:ilvl w:val="0"/>
          <w:numId w:val="2"/>
        </w:numPr>
        <w:spacing w:after="40"/>
      </w:pPr>
      <w:r>
        <w:rPr>
          <w:b/>
          <w:bCs/>
        </w:rPr>
        <w:t xml:space="preserve">Enjeux éthiques :</w:t>
      </w:r>
      <w:r>
        <w:t xml:space="preserve"> santé psychique (pas de débriefing), protection de la parole (peur de représailles), loyauté envers les participants à l’audit.</w:t>
      </w:r>
    </w:p>
    <w:p>
      <w:pPr>
        <w:pStyle w:val="ListParagraph"/>
        <w:numPr>
          <w:ilvl w:val="0"/>
          <w:numId w:val="2"/>
        </w:numPr>
        <w:spacing w:after="40"/>
      </w:pPr>
      <w:r>
        <w:rPr>
          <w:b/>
          <w:bCs/>
        </w:rPr>
        <w:t xml:space="preserve">Points de vigilance :</w:t>
      </w:r>
      <w:r>
        <w:t xml:space="preserve"> ne pas personnaliser le diagnostic ; garantir la confidentialité dans une équipe d’environ 60 personnes.</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Polanyi (1966) ; Nonaka &amp; Takeuchi (1995) ; Lamari (2010) ; Giovannini &amp; Giauque (2023).</w:t>
      </w:r>
    </w:p>
    <w:p>
      <w:pPr>
        <w:pStyle w:val="Heading1"/>
      </w:pPr>
      <w:r>
        <w:t xml:space="preserve">8. Diagnostic et recommandations au Conseil d’Unisanté</w:t>
      </w:r>
    </w:p>
    <w:p>
      <w:pPr>
        <w:pStyle w:val="ListParagraph"/>
        <w:numPr>
          <w:ilvl w:val="0"/>
          <w:numId w:val="2"/>
        </w:numPr>
        <w:spacing w:after="40"/>
      </w:pPr>
      <w:r>
        <w:rPr>
          <w:b/>
          <w:bCs/>
        </w:rPr>
        <w:t xml:space="preserve">Diagnostic.</w:t>
      </w:r>
      <w:r>
        <w:t xml:space="preserve"> Il ne manque pas de structures, il manque un dispositif pour que la gouvernance voie l’humain. Les leviers disciplinaires sont présents, les leviers cognitifs quasi absents. Le Conseil dépend de l’exécutif, la délégation passe par une ligne qui vit les remontées comme des critiques, les relais n’ont pas de canal et les biais entretiennent une lecture rassurante.</w:t>
      </w:r>
    </w:p>
    <w:p>
      <w:pPr>
        <w:pStyle w:val="ListParagraph"/>
        <w:numPr>
          <w:ilvl w:val="0"/>
          <w:numId w:val="2"/>
        </w:numPr>
        <w:spacing w:after="40"/>
      </w:pPr>
      <w:r>
        <w:rPr>
          <w:b/>
          <w:bCs/>
        </w:rPr>
        <w:t xml:space="preserve">Principe.</w:t>
      </w:r>
      <w:r>
        <w:t xml:space="preserve"> Le Conseil agit par ses compétences propres : objectifs annuels, plan stratégique, comptes rendus exigés, contrat de prestations.</w:t>
      </w:r>
    </w:p>
    <w:p>
      <w:pPr>
        <w:pStyle w:val="ListParagraph"/>
        <w:numPr>
          <w:ilvl w:val="0"/>
          <w:numId w:val="3"/>
        </w:numPr>
        <w:spacing w:after="40"/>
      </w:pPr>
      <w:r>
        <w:rPr>
          <w:b/>
          <w:bCs/>
        </w:rPr>
        <w:t xml:space="preserve">Restituer l’audit interne</w:t>
      </w:r>
      <w:r>
        <w:t xml:space="preserve"> (court terme) : trouver le « juste milieu » entre tout dire et ne rien dire, et sortir de la logique de confiance. </w:t>
      </w:r>
      <w:r>
        <w:rPr>
          <w:i/>
          <w:iCs/>
        </w:rPr>
        <w:t xml:space="preserve">(Meyer &amp; Rowan, 1977)</w:t>
      </w:r>
    </w:p>
    <w:p>
      <w:pPr>
        <w:pStyle w:val="ListParagraph"/>
        <w:numPr>
          <w:ilvl w:val="0"/>
          <w:numId w:val="3"/>
        </w:numPr>
        <w:spacing w:after="40"/>
      </w:pPr>
      <w:r>
        <w:rPr>
          <w:b/>
          <w:bCs/>
        </w:rPr>
        <w:t xml:space="preserve">Faire de la santé organisationnelle un objet de gouvernance</w:t>
      </w:r>
      <w:r>
        <w:t xml:space="preserve"> (exercice suivant) : suivre rotation, absentéisme, ancienneté et motifs de départ au même niveau que les volumes. </w:t>
      </w:r>
      <w:r>
        <w:rPr>
          <w:i/>
          <w:iCs/>
        </w:rPr>
        <w:t xml:space="preserve">(Ocasio, 1997 ; Hilb, 2016)</w:t>
      </w:r>
    </w:p>
    <w:p>
      <w:pPr>
        <w:pStyle w:val="ListParagraph"/>
        <w:numPr>
          <w:ilvl w:val="0"/>
          <w:numId w:val="3"/>
        </w:numPr>
        <w:spacing w:after="40"/>
      </w:pPr>
      <w:r>
        <w:rPr>
          <w:b/>
          <w:bCs/>
        </w:rPr>
        <w:t xml:space="preserve">Créer un canal indépendant de la hiérarchie</w:t>
      </w:r>
      <w:r>
        <w:t xml:space="preserve"> (court terme) : une personne de confiance externe ou une enquête anonyme avec restitution.</w:t>
      </w:r>
    </w:p>
    <w:p>
      <w:pPr>
        <w:pStyle w:val="ListParagraph"/>
        <w:numPr>
          <w:ilvl w:val="0"/>
          <w:numId w:val="3"/>
        </w:numPr>
        <w:spacing w:after="40"/>
      </w:pPr>
      <w:r>
        <w:rPr>
          <w:b/>
          <w:bCs/>
        </w:rPr>
        <w:t xml:space="preserve">Outiller les décisions contre les biais</w:t>
      </w:r>
      <w:r>
        <w:t xml:space="preserve"> (exercice suivant) : grille de contrôle, pré-mortem, seuils d’alerte fixés à l’avance. </w:t>
      </w:r>
      <w:r>
        <w:rPr>
          <w:i/>
          <w:iCs/>
        </w:rPr>
        <w:t xml:space="preserve">(Kahneman et al., 2011 ; Klein, 2007 ; Simonson &amp; Staw, 1992)</w:t>
      </w:r>
    </w:p>
    <w:p>
      <w:pPr>
        <w:pStyle w:val="ListParagraph"/>
        <w:numPr>
          <w:ilvl w:val="0"/>
          <w:numId w:val="3"/>
        </w:numPr>
        <w:spacing w:after="40"/>
      </w:pPr>
      <w:r>
        <w:rPr>
          <w:b/>
          <w:bCs/>
        </w:rPr>
        <w:t xml:space="preserve">Clarifier la délégation RH</w:t>
      </w:r>
      <w:r>
        <w:t xml:space="preserve"> (exercice suivant) : former les cadres, ajouter une remontée qualitative aux comptes rendus des chefs de salle, fixer des délais contractuels.</w:t>
      </w:r>
    </w:p>
    <w:p>
      <w:pPr>
        <w:pStyle w:val="ListParagraph"/>
        <w:numPr>
          <w:ilvl w:val="0"/>
          <w:numId w:val="3"/>
        </w:numPr>
        <w:spacing w:after="40"/>
      </w:pPr>
      <w:r>
        <w:rPr>
          <w:b/>
          <w:bCs/>
        </w:rPr>
        <w:t xml:space="preserve">Institutionnaliser le débriefing</w:t>
      </w:r>
      <w:r>
        <w:t xml:space="preserve"> après les appels difficiles (exercice suivant), avec la santé au travail d’Unisanté.</w:t>
      </w:r>
    </w:p>
    <w:p>
      <w:pPr>
        <w:pStyle w:val="ListParagraph"/>
        <w:numPr>
          <w:ilvl w:val="0"/>
          <w:numId w:val="3"/>
        </w:numPr>
        <w:spacing w:after="40"/>
      </w:pPr>
      <w:r>
        <w:rPr>
          <w:b/>
          <w:bCs/>
        </w:rPr>
        <w:t xml:space="preserve">Faire évaluer par un tiers externe à 12 mois</w:t>
      </w:r>
      <w:r>
        <w:t xml:space="preserve">, avec restitution aux équipes.</w:t>
      </w:r>
    </w:p>
    <w:p>
      <w:pPr>
        <w:pBdr>
          <w:left w:val="single" w:color="1F3864" w:sz="12" w:space="6"/>
        </w:pBdr>
        <w:spacing w:after="160" w:before="60"/>
        <w:ind w:left="284"/>
      </w:pPr>
      <w:r>
        <w:rPr>
          <w:b/>
          <w:bCs/>
          <w:color w:val="1F3864"/>
          <w:sz w:val="20"/>
          <w:szCs w:val="20"/>
        </w:rPr>
        <w:t xml:space="preserve">Références : </w:t>
      </w:r>
      <w:r>
        <w:rPr>
          <w:color w:val="595959"/>
          <w:sz w:val="20"/>
          <w:szCs w:val="20"/>
        </w:rPr>
        <w:t xml:space="preserve">Charreaux (2005) ; Meyer &amp; Rowan (1977) ; Ocasio (1997) ; Hilb (2016) ; Kahneman et al. (2011) ; Klein (2007) ; Simonson &amp; Staw (1992) ; E1.</w:t>
      </w:r>
    </w:p>
    <w:p>
      <w:pPr>
        <w:pStyle w:val="Heading1"/>
      </w:pPr>
      <w:r>
        <w:t xml:space="preserve">Conclusion</w:t>
      </w:r>
    </w:p>
    <w:p>
      <w:pPr>
        <w:pStyle w:val="ListParagraph"/>
        <w:numPr>
          <w:ilvl w:val="0"/>
          <w:numId w:val="2"/>
        </w:numPr>
        <w:spacing w:after="40"/>
      </w:pPr>
      <w:r>
        <w:t xml:space="preserve">La confiance entre les niveaux fait défaut. Ce déficit tient au système autant qu’aux personnes : gouvernance à distance par les volumes, Conseil dépendant de l’exécutif, RH déléguées et perçues comme alignées sur la direction, biais qui font de l’absence d’information un signe de maîtrise.</w:t>
      </w:r>
    </w:p>
    <w:p>
      <w:pPr>
        <w:pStyle w:val="ListParagraph"/>
        <w:numPr>
          <w:ilvl w:val="0"/>
          <w:numId w:val="2"/>
        </w:numPr>
        <w:spacing w:after="40"/>
      </w:pPr>
      <w:r>
        <w:rPr>
          <w:b/>
          <w:bCs/>
        </w:rPr>
        <w:t xml:space="preserve">But des recommandations :</w:t>
      </w:r>
      <w:r>
        <w:t xml:space="preserve"> réparer le circuit, pour que ce que voit le terrain atteigne ceux qui gouvernent et reçoive une réponse visible.</w:t>
      </w:r>
    </w:p>
    <w:p>
      <w:pPr>
        <w:pStyle w:val="ListParagraph"/>
        <w:numPr>
          <w:ilvl w:val="0"/>
          <w:numId w:val="2"/>
        </w:numPr>
        <w:spacing w:after="40"/>
      </w:pPr>
      <w:r>
        <w:rPr>
          <w:b/>
          <w:bCs/>
        </w:rPr>
        <w:t xml:space="preserve">Limites :</w:t>
      </w:r>
      <w:r>
        <w:t xml:space="preserve"> deux entretiens, aucune donnée interne, pas de point de vue de la direction, des RH ni du Conseil. Une démarche contradictoire reste à mener.</w:t>
      </w:r>
    </w:p>
    <w:p>
      <w:pPr>
        <w:pStyle w:val="Heading1"/>
      </w:pPr>
      <w:r>
        <w:t xml:space="preserve">Annexes (contenu)</w:t>
      </w:r>
    </w:p>
    <w:p>
      <w:pPr>
        <w:pStyle w:val="ListParagraph"/>
        <w:numPr>
          <w:ilvl w:val="0"/>
          <w:numId w:val="2"/>
        </w:numPr>
        <w:spacing w:after="40"/>
      </w:pPr>
      <w:r>
        <w:rPr>
          <w:b/>
          <w:bCs/>
        </w:rPr>
        <w:t xml:space="preserve">A. Organigrammes.</w:t>
      </w:r>
      <w:r>
        <w:t xml:space="preserve"> Tableau A1, niveaux d’Unisanté à la CTMG ; tableau A2, les cinq niveaux de la CTMG (établis par l’auteur).</w:t>
      </w:r>
    </w:p>
    <w:p>
      <w:pPr>
        <w:pStyle w:val="ListParagraph"/>
        <w:numPr>
          <w:ilvl w:val="0"/>
          <w:numId w:val="2"/>
        </w:numPr>
        <w:spacing w:after="40"/>
      </w:pPr>
      <w:r>
        <w:rPr>
          <w:b/>
          <w:bCs/>
        </w:rPr>
        <w:t xml:space="preserve">B. Figure 1.</w:t>
      </w:r>
      <w:r>
        <w:t xml:space="preserve"> La gouvernance de l’État à la CTMG, avec le pilotage descendant par les volumes et l’information humaine ascendante filtrée à chaque niveau (reproduite ci-dessous).</w:t>
      </w:r>
    </w:p>
    <w:p>
      <w:pPr>
        <w:pStyle w:val="ListParagraph"/>
        <w:numPr>
          <w:ilvl w:val="0"/>
          <w:numId w:val="2"/>
        </w:numPr>
        <w:spacing w:after="40"/>
      </w:pPr>
      <w:r>
        <w:rPr>
          <w:b/>
          <w:bCs/>
        </w:rPr>
        <w:t xml:space="preserve">C. Entretiens.</w:t>
      </w:r>
      <w:r>
        <w:t xml:space="preserve"> C1 : E1, chef de salle, 16.09.2026, transcription intégrale. C2 : E2, praticienne formatrice, 28.11.2024, entretien du module précédent (technique des incidents critiques).</w:t>
      </w:r>
    </w:p>
    <w:p>
      <w:pPr>
        <w:pStyle w:val="ListParagraph"/>
        <w:numPr>
          <w:ilvl w:val="0"/>
          <w:numId w:val="2"/>
        </w:numPr>
        <w:spacing w:after="40"/>
      </w:pPr>
      <w:r>
        <w:rPr>
          <w:b/>
          <w:bCs/>
        </w:rPr>
        <w:t xml:space="preserve">D. Déclaration IA.</w:t>
      </w:r>
      <w:r>
        <w:t xml:space="preserve"> Claude (Anthropic) : synthèse des cours, structuration, recherche documentaire, premier jet, figure, relecture et mise en forme APA. Elle précise le rôle de l’auteur, les prompts, les apports et les limites.</w:t>
      </w:r>
    </w:p>
    <w:p>
      <w:pPr>
        <w:pStyle w:val="ListParagraph"/>
        <w:numPr>
          <w:ilvl w:val="0"/>
          <w:numId w:val="2"/>
        </w:numPr>
        <w:spacing w:after="40"/>
      </w:pPr>
      <w:r>
        <w:rPr>
          <w:b/>
          <w:bCs/>
        </w:rPr>
        <w:t xml:space="preserve">E. Tableau de synthèse</w:t>
      </w:r>
      <w:r>
        <w:t xml:space="preserve"> des 7 recommandations : horizon, mécanisme visé, indicateur de suivi.</w:t>
      </w:r>
    </w:p>
    <w:p>
      <w:pPr>
        <w:spacing w:before="120"/>
        <w:jc w:val="center"/>
      </w:pPr>
      <w:r>
        <w:drawing>
          <wp:inline distT="0" distB="0" distL="0" distR="0">
            <wp:extent cx="4095750" cy="5676900"/>
            <wp:effectExtent t="0" r="0" b="0" l="0"/>
            <wp:docPr id="1" name="figure1" descr="Schéma de gouvernance et d’orchestration RH CTMG – Unisanté"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i/>
          <w:iCs/>
          <w:color w:val="595959"/>
          <w:sz w:val="18"/>
          <w:szCs w:val="18"/>
        </w:rPr>
        <w:t xml:space="preserve">Figure 1. Structure de gouvernance de la CTMG à Unisanté et orchestration stratégique RH observée (synthèse de l’auteur).</w:t>
      </w:r>
    </w:p>
    <w:p>
      <w:pPr>
        <w:pStyle w:val="Heading1"/>
      </w:pPr>
      <w:r>
        <w:t xml:space="preserve">Points à intégrer lors de la rédaction finale</w:t>
      </w:r>
    </w:p>
    <w:p>
      <w:pPr>
        <w:pStyle w:val="ListParagraph"/>
        <w:numPr>
          <w:ilvl w:val="0"/>
          <w:numId w:val="2"/>
        </w:numPr>
        <w:spacing w:after="40"/>
      </w:pPr>
      <w:r>
        <w:t xml:space="preserve">Anonymisation de l’annexe C1 : les prénoms de l’auteur et de E1 figurent encore dans les deux dernières répliques de la V7.</w:t>
      </w:r>
    </w:p>
    <w:p>
      <w:pPr>
        <w:pStyle w:val="ListParagraph"/>
        <w:numPr>
          <w:ilvl w:val="0"/>
          <w:numId w:val="2"/>
        </w:numPr>
        <w:spacing w:after="40"/>
      </w:pPr>
      <w:r>
        <w:t xml:space="preserve">Annexe C2 : compléter l’autorisation de réutilisation et joindre les extraits de E2 cités.</w:t>
      </w:r>
    </w:p>
    <w:p>
      <w:pPr>
        <w:pStyle w:val="ListParagraph"/>
        <w:numPr>
          <w:ilvl w:val="0"/>
          <w:numId w:val="2"/>
        </w:numPr>
        <w:spacing w:after="40"/>
      </w:pPr>
      <w:r>
        <w:t xml:space="preserve">Remplacer Bonnet et al. (2017) pour les </w:t>
      </w:r>
      <w:r>
        <w:rPr>
          <w:i/>
          <w:iCs/>
        </w:rPr>
        <w:t xml:space="preserve">boundary spanners</w:t>
      </w:r>
      <w:r>
        <w:t xml:space="preserve">, par exemple Tushman (1977), Aldrich &amp; Herker (1977) ou Williams (2002).</w:t>
      </w:r>
    </w:p>
    <w:p>
      <w:pPr>
        <w:pStyle w:val="ListParagraph"/>
        <w:numPr>
          <w:ilvl w:val="0"/>
          <w:numId w:val="2"/>
        </w:numPr>
        <w:spacing w:after="40"/>
      </w:pPr>
      <w:r>
        <w:t xml:space="preserve">Charreaux : distinguer les leviers disciplinaires de la gouvernance (faibles) du contrôle managérial par indicateurs (fort) ; rendre le § 8.1 cohérent avec le § 3.3.</w:t>
      </w:r>
    </w:p>
    <w:p>
      <w:pPr>
        <w:pStyle w:val="ListParagraph"/>
        <w:numPr>
          <w:ilvl w:val="0"/>
          <w:numId w:val="2"/>
        </w:numPr>
        <w:spacing w:after="40"/>
      </w:pPr>
      <w:r>
        <w:t xml:space="preserve">Ajouter l’environnement externe (pénurie infirmière, marché du travail, travail posté 24/7) et le cadre juridique du personnel.</w:t>
      </w:r>
    </w:p>
    <w:p>
      <w:pPr>
        <w:pStyle w:val="ListParagraph"/>
        <w:numPr>
          <w:ilvl w:val="0"/>
          <w:numId w:val="2"/>
        </w:numPr>
        <w:spacing w:after="40"/>
      </w:pPr>
      <w:r>
        <w:t xml:space="preserve">Ajouter des éléments du modèle d’affaires : volumes d’appels, financement, contrat de prestations.</w:t>
      </w:r>
    </w:p>
    <w:p>
      <w:pPr>
        <w:pStyle w:val="ListParagraph"/>
        <w:numPr>
          <w:ilvl w:val="0"/>
          <w:numId w:val="2"/>
        </w:numPr>
        <w:spacing w:after="40"/>
      </w:pPr>
      <w:r>
        <w:t xml:space="preserve">Porter les recommandations au niveau du Conseil : commission RH, politique de restitution des audits, clauses RH dans le contrat de prestations ; vérifier s’il existe déjà une personne de confiance.</w:t>
      </w:r>
    </w:p>
    <w:p>
      <w:pPr>
        <w:pStyle w:val="ListParagraph"/>
        <w:numPr>
          <w:ilvl w:val="0"/>
          <w:numId w:val="2"/>
        </w:numPr>
        <w:spacing w:after="40"/>
      </w:pPr>
      <w:r>
        <w:t xml:space="preserve">APA : ordre alphabétique (Bédat avant Bonnet), DOI, éditeurs du chapitre Emery &amp; Giauque (2019), dates de consultation pour les « s.d. ».</w:t>
      </w:r>
    </w:p>
    <w:p>
      <w:pPr>
        <w:pStyle w:val="Heading1"/>
      </w:pPr>
      <w:r>
        <w:t xml:space="preserve">Bibliographie</w:t>
      </w:r>
    </w:p>
    <w:p>
      <w:pPr>
        <w:pStyle w:val="Heading2"/>
      </w:pPr>
      <w:r>
        <w:t xml:space="preserve">Références scientifiques</w:t>
      </w:r>
    </w:p>
    <w:p>
      <w:pPr>
        <w:spacing w:after="100"/>
        <w:ind w:left="567" w:hanging="567"/>
      </w:pPr>
      <w:r>
        <w:rPr>
          <w:i w:val="false"/>
          <w:iCs w:val="false"/>
          <w:sz w:val="21"/>
          <w:szCs w:val="21"/>
        </w:rPr>
        <w:t xml:space="preserve">Aldrich, P., Dietz, G., Clark, T., &amp; Hamilton, P. (2015). Establishing HR professionals' influence and credibility: Lessons from the capital markets and investment banking sector. </w:t>
      </w:r>
      <w:r>
        <w:rPr>
          <w:i/>
          <w:iCs/>
          <w:sz w:val="21"/>
          <w:szCs w:val="21"/>
        </w:rPr>
        <w:t xml:space="preserve">Human Resource Management, 54</w:t>
      </w:r>
      <w:r>
        <w:rPr>
          <w:i w:val="false"/>
          <w:iCs w:val="false"/>
          <w:sz w:val="21"/>
          <w:szCs w:val="21"/>
        </w:rPr>
        <w:t xml:space="preserve">(1), 105–130.</w:t>
      </w:r>
    </w:p>
    <w:p>
      <w:pPr>
        <w:spacing w:after="100"/>
        <w:ind w:left="567" w:hanging="567"/>
      </w:pPr>
      <w:r>
        <w:rPr>
          <w:i w:val="false"/>
          <w:iCs w:val="false"/>
          <w:sz w:val="21"/>
          <w:szCs w:val="21"/>
        </w:rPr>
        <w:t xml:space="preserve">Barker, V. L., III, &amp; Barr, P. S. (2002). Linking top manager attributions to strategic reorientation in declining firms attempting turnarounds. </w:t>
      </w:r>
      <w:r>
        <w:rPr>
          <w:i/>
          <w:iCs/>
          <w:sz w:val="21"/>
          <w:szCs w:val="21"/>
        </w:rPr>
        <w:t xml:space="preserve">Journal of Business Research, 55</w:t>
      </w:r>
      <w:r>
        <w:rPr>
          <w:i w:val="false"/>
          <w:iCs w:val="false"/>
          <w:sz w:val="21"/>
          <w:szCs w:val="21"/>
        </w:rPr>
        <w:t xml:space="preserve">(12), 963–979.</w:t>
      </w:r>
    </w:p>
    <w:p>
      <w:pPr>
        <w:spacing w:after="100"/>
        <w:ind w:left="567" w:hanging="567"/>
      </w:pPr>
      <w:r>
        <w:rPr>
          <w:i w:val="false"/>
          <w:iCs w:val="false"/>
          <w:sz w:val="21"/>
          <w:szCs w:val="21"/>
        </w:rPr>
        <w:t xml:space="preserve">Barney, J. (1991). Firm resources and sustained competitive advantage. </w:t>
      </w:r>
      <w:r>
        <w:rPr>
          <w:i/>
          <w:iCs/>
          <w:sz w:val="21"/>
          <w:szCs w:val="21"/>
        </w:rPr>
        <w:t xml:space="preserve">Journal of Management, 17</w:t>
      </w:r>
      <w:r>
        <w:rPr>
          <w:i w:val="false"/>
          <w:iCs w:val="false"/>
          <w:sz w:val="21"/>
          <w:szCs w:val="21"/>
        </w:rPr>
        <w:t xml:space="preserve">(1), 99–120. https://doi.org/10.1177/014920639101700108</w:t>
      </w:r>
    </w:p>
    <w:p>
      <w:pPr>
        <w:spacing w:after="100"/>
        <w:ind w:left="567" w:hanging="567"/>
      </w:pPr>
      <w:r>
        <w:rPr>
          <w:i w:val="false"/>
          <w:iCs w:val="false"/>
          <w:sz w:val="21"/>
          <w:szCs w:val="21"/>
        </w:rPr>
        <w:t xml:space="preserve">Barney, J. B., &amp; Wright, P. M. (1998). On becoming a strategic partner: The role of human resources in gaining competitive advantage. </w:t>
      </w:r>
      <w:r>
        <w:rPr>
          <w:i/>
          <w:iCs/>
          <w:sz w:val="21"/>
          <w:szCs w:val="21"/>
        </w:rPr>
        <w:t xml:space="preserve">Human Resource Management, 37</w:t>
      </w:r>
      <w:r>
        <w:rPr>
          <w:i w:val="false"/>
          <w:iCs w:val="false"/>
          <w:sz w:val="21"/>
          <w:szCs w:val="21"/>
        </w:rPr>
        <w:t xml:space="preserve">(1), 31–46.</w:t>
      </w:r>
    </w:p>
    <w:p>
      <w:pPr>
        <w:spacing w:after="100"/>
        <w:ind w:left="567" w:hanging="567"/>
      </w:pPr>
      <w:r>
        <w:rPr>
          <w:i w:val="false"/>
          <w:iCs w:val="false"/>
          <w:sz w:val="21"/>
          <w:szCs w:val="21"/>
        </w:rPr>
        <w:t xml:space="preserve">Bonnet, C., Séville, M., &amp; Wirtz, P. (2017). Genèse et fonctionnement du conseil d'administration d'une firme entrepreneuriale : le rôle des identifications sociales des administrateurs. </w:t>
      </w:r>
      <w:r>
        <w:rPr>
          <w:i/>
          <w:iCs/>
          <w:sz w:val="21"/>
          <w:szCs w:val="21"/>
        </w:rPr>
        <w:t xml:space="preserve">Finance Contrôle Stratégie, 20</w:t>
      </w:r>
      <w:r>
        <w:rPr>
          <w:i w:val="false"/>
          <w:iCs w:val="false"/>
          <w:sz w:val="21"/>
          <w:szCs w:val="21"/>
        </w:rPr>
        <w:t xml:space="preserve">(3).</w:t>
      </w:r>
    </w:p>
    <w:p>
      <w:pPr>
        <w:spacing w:after="100"/>
        <w:ind w:left="567" w:hanging="567"/>
      </w:pPr>
      <w:r>
        <w:rPr>
          <w:i w:val="false"/>
          <w:iCs w:val="false"/>
          <w:sz w:val="21"/>
          <w:szCs w:val="21"/>
        </w:rPr>
        <w:t xml:space="preserve">Boxall, P. (1996). The strategic HRM debate and the resource-based view of the firm. </w:t>
      </w:r>
      <w:r>
        <w:rPr>
          <w:i/>
          <w:iCs/>
          <w:sz w:val="21"/>
          <w:szCs w:val="21"/>
        </w:rPr>
        <w:t xml:space="preserve">Human Resource Management Journal, 6</w:t>
      </w:r>
      <w:r>
        <w:rPr>
          <w:i w:val="false"/>
          <w:iCs w:val="false"/>
          <w:sz w:val="21"/>
          <w:szCs w:val="21"/>
        </w:rPr>
        <w:t xml:space="preserve">(3), 59–75.</w:t>
      </w:r>
    </w:p>
    <w:p>
      <w:pPr>
        <w:spacing w:after="100"/>
        <w:ind w:left="567" w:hanging="567"/>
      </w:pPr>
      <w:r>
        <w:rPr>
          <w:i w:val="false"/>
          <w:iCs w:val="false"/>
          <w:sz w:val="21"/>
          <w:szCs w:val="21"/>
        </w:rPr>
        <w:t xml:space="preserve">Brandl, J., &amp; Pohler, D. (2010). The human resource department's role and conditions that affect its development: Explanations from Austrian CEOs. </w:t>
      </w:r>
      <w:r>
        <w:rPr>
          <w:i/>
          <w:iCs/>
          <w:sz w:val="21"/>
          <w:szCs w:val="21"/>
        </w:rPr>
        <w:t xml:space="preserve">Human Resource Management, 49</w:t>
      </w:r>
      <w:r>
        <w:rPr>
          <w:i w:val="false"/>
          <w:iCs w:val="false"/>
          <w:sz w:val="21"/>
          <w:szCs w:val="21"/>
        </w:rPr>
        <w:t xml:space="preserve">(6), 1025–1046.</w:t>
      </w:r>
    </w:p>
    <w:p>
      <w:pPr>
        <w:spacing w:after="100"/>
        <w:ind w:left="567" w:hanging="567"/>
      </w:pPr>
      <w:r>
        <w:rPr>
          <w:i w:val="false"/>
          <w:iCs w:val="false"/>
          <w:sz w:val="21"/>
          <w:szCs w:val="21"/>
        </w:rPr>
        <w:t xml:space="preserve">Bédat, J. (2024). </w:t>
      </w:r>
      <w:r>
        <w:rPr>
          <w:i/>
          <w:iCs/>
          <w:sz w:val="21"/>
          <w:szCs w:val="21"/>
        </w:rPr>
        <w:t xml:space="preserve">The influence of the board of directors on HR strategy: Three qualitative studies in a Swiss context</w:t>
      </w:r>
      <w:r>
        <w:rPr>
          <w:i w:val="false"/>
          <w:iCs w:val="false"/>
          <w:sz w:val="21"/>
          <w:szCs w:val="21"/>
        </w:rPr>
        <w:t xml:space="preserve"> [Thèse de doctorat, Université Jean Moulin Lyon III].</w:t>
      </w:r>
    </w:p>
    <w:p>
      <w:pPr>
        <w:spacing w:after="100"/>
        <w:ind w:left="567" w:hanging="567"/>
      </w:pPr>
      <w:r>
        <w:rPr>
          <w:i w:val="false"/>
          <w:iCs w:val="false"/>
          <w:sz w:val="21"/>
          <w:szCs w:val="21"/>
        </w:rPr>
        <w:t xml:space="preserve">Charreaux, G. (2005). Pour une gouvernance d'entreprise « comportementale » : une réflexion exploratoire... </w:t>
      </w:r>
      <w:r>
        <w:rPr>
          <w:i/>
          <w:iCs/>
          <w:sz w:val="21"/>
          <w:szCs w:val="21"/>
        </w:rPr>
        <w:t xml:space="preserve">Revue française de gestion, 157</w:t>
      </w:r>
      <w:r>
        <w:rPr>
          <w:i w:val="false"/>
          <w:iCs w:val="false"/>
          <w:sz w:val="21"/>
          <w:szCs w:val="21"/>
        </w:rPr>
        <w:t xml:space="preserve">(4), 215–238.</w:t>
      </w:r>
    </w:p>
    <w:p>
      <w:pPr>
        <w:spacing w:after="100"/>
        <w:ind w:left="567" w:hanging="567"/>
      </w:pPr>
      <w:r>
        <w:rPr>
          <w:i w:val="false"/>
          <w:iCs w:val="false"/>
          <w:sz w:val="21"/>
          <w:szCs w:val="21"/>
        </w:rPr>
        <w:t xml:space="preserve">Emery, Y., &amp; Giauque, D. (2003). Emergence of contradictory injunctions in Swiss NPM projects. </w:t>
      </w:r>
      <w:r>
        <w:rPr>
          <w:i/>
          <w:iCs/>
          <w:sz w:val="21"/>
          <w:szCs w:val="21"/>
        </w:rPr>
        <w:t xml:space="preserve">International Journal of Public Sector Management, 16</w:t>
      </w:r>
      <w:r>
        <w:rPr>
          <w:i w:val="false"/>
          <w:iCs w:val="false"/>
          <w:sz w:val="21"/>
          <w:szCs w:val="21"/>
        </w:rPr>
        <w:t xml:space="preserve">(6), 468–481.</w:t>
      </w:r>
    </w:p>
    <w:p>
      <w:pPr>
        <w:spacing w:after="100"/>
        <w:ind w:left="567" w:hanging="567"/>
      </w:pPr>
      <w:r>
        <w:rPr>
          <w:i w:val="false"/>
          <w:iCs w:val="false"/>
          <w:sz w:val="21"/>
          <w:szCs w:val="21"/>
        </w:rPr>
        <w:t xml:space="preserve">Emery, Y., &amp; Giauque, D. (2014). L'univers hybride de l'administration au XXIe siècle. Introduction. </w:t>
      </w:r>
      <w:r>
        <w:rPr>
          <w:i/>
          <w:iCs/>
          <w:sz w:val="21"/>
          <w:szCs w:val="21"/>
        </w:rPr>
        <w:t xml:space="preserve">Revue Internationale des Sciences Administratives, 80</w:t>
      </w:r>
      <w:r>
        <w:rPr>
          <w:i w:val="false"/>
          <w:iCs w:val="false"/>
          <w:sz w:val="21"/>
          <w:szCs w:val="21"/>
        </w:rPr>
        <w:t xml:space="preserve">(1), 25–34.</w:t>
      </w:r>
    </w:p>
    <w:p>
      <w:pPr>
        <w:spacing w:after="100"/>
        <w:ind w:left="567" w:hanging="567"/>
      </w:pPr>
      <w:r>
        <w:rPr>
          <w:i w:val="false"/>
          <w:iCs w:val="false"/>
          <w:sz w:val="21"/>
          <w:szCs w:val="21"/>
        </w:rPr>
        <w:t xml:space="preserve">Emery, Y., &amp; Giauque, D. (2019). Les paradoxes d'une gouvernance publique à distance par les indicateurs. In </w:t>
      </w:r>
      <w:r>
        <w:rPr>
          <w:i/>
          <w:iCs/>
          <w:sz w:val="21"/>
          <w:szCs w:val="21"/>
        </w:rPr>
        <w:t xml:space="preserve">Manager les paradoxes dans le secteur public</w:t>
      </w:r>
      <w:r>
        <w:rPr>
          <w:i w:val="false"/>
          <w:iCs w:val="false"/>
          <w:sz w:val="21"/>
          <w:szCs w:val="21"/>
        </w:rPr>
        <w:t xml:space="preserve"> (pp. 9–30).</w:t>
      </w:r>
    </w:p>
    <w:p>
      <w:pPr>
        <w:spacing w:after="100"/>
        <w:ind w:left="567" w:hanging="567"/>
      </w:pPr>
      <w:r>
        <w:rPr>
          <w:i w:val="false"/>
          <w:iCs w:val="false"/>
          <w:sz w:val="21"/>
          <w:szCs w:val="21"/>
        </w:rPr>
        <w:t xml:space="preserve">Fama, E. F., &amp; Jensen, M. C. (1983). Separation of ownership and control. </w:t>
      </w:r>
      <w:r>
        <w:rPr>
          <w:i/>
          <w:iCs/>
          <w:sz w:val="21"/>
          <w:szCs w:val="21"/>
        </w:rPr>
        <w:t xml:space="preserve">The Journal of Law and Economics, 26</w:t>
      </w:r>
      <w:r>
        <w:rPr>
          <w:i w:val="false"/>
          <w:iCs w:val="false"/>
          <w:sz w:val="21"/>
          <w:szCs w:val="21"/>
        </w:rPr>
        <w:t xml:space="preserve">(2), 301–325.</w:t>
      </w:r>
    </w:p>
    <w:p>
      <w:pPr>
        <w:spacing w:after="100"/>
        <w:ind w:left="567" w:hanging="567"/>
      </w:pPr>
      <w:r>
        <w:rPr>
          <w:i w:val="false"/>
          <w:iCs w:val="false"/>
          <w:sz w:val="21"/>
          <w:szCs w:val="21"/>
        </w:rPr>
        <w:t xml:space="preserve">Forbes, D. P., &amp; Milliken, F. J. (1999). Cognition and corporate governance: Understanding boards of directors as strategic decision-making groups. </w:t>
      </w:r>
      <w:r>
        <w:rPr>
          <w:i/>
          <w:iCs/>
          <w:sz w:val="21"/>
          <w:szCs w:val="21"/>
        </w:rPr>
        <w:t xml:space="preserve">Academy of Management Review, 24</w:t>
      </w:r>
      <w:r>
        <w:rPr>
          <w:i w:val="false"/>
          <w:iCs w:val="false"/>
          <w:sz w:val="21"/>
          <w:szCs w:val="21"/>
        </w:rPr>
        <w:t xml:space="preserve">(3), 489–505.</w:t>
      </w:r>
    </w:p>
    <w:p>
      <w:pPr>
        <w:spacing w:after="100"/>
        <w:ind w:left="567" w:hanging="567"/>
      </w:pPr>
      <w:r>
        <w:rPr>
          <w:i w:val="false"/>
          <w:iCs w:val="false"/>
          <w:sz w:val="21"/>
          <w:szCs w:val="21"/>
        </w:rPr>
        <w:t xml:space="preserve">Freeman, R. E. (1984). </w:t>
      </w:r>
      <w:r>
        <w:rPr>
          <w:i/>
          <w:iCs/>
          <w:sz w:val="21"/>
          <w:szCs w:val="21"/>
        </w:rPr>
        <w:t xml:space="preserve">Strategic management: A stakeholder approach</w:t>
      </w:r>
      <w:r>
        <w:rPr>
          <w:i w:val="false"/>
          <w:iCs w:val="false"/>
          <w:sz w:val="21"/>
          <w:szCs w:val="21"/>
        </w:rPr>
        <w:t xml:space="preserve">. Pitman.</w:t>
      </w:r>
    </w:p>
    <w:p>
      <w:pPr>
        <w:spacing w:after="100"/>
        <w:ind w:left="567" w:hanging="567"/>
      </w:pPr>
      <w:r>
        <w:rPr>
          <w:i w:val="false"/>
          <w:iCs w:val="false"/>
          <w:sz w:val="21"/>
          <w:szCs w:val="21"/>
        </w:rPr>
        <w:t xml:space="preserve">Giauque, D. (2003). New public management and organizational regulation: The liberal bureaucracy. </w:t>
      </w:r>
      <w:r>
        <w:rPr>
          <w:i/>
          <w:iCs/>
          <w:sz w:val="21"/>
          <w:szCs w:val="21"/>
        </w:rPr>
        <w:t xml:space="preserve">International Review of Administrative Sciences, 69</w:t>
      </w:r>
      <w:r>
        <w:rPr>
          <w:i w:val="false"/>
          <w:iCs w:val="false"/>
          <w:sz w:val="21"/>
          <w:szCs w:val="21"/>
        </w:rPr>
        <w:t xml:space="preserve">(4), 567–592.</w:t>
      </w:r>
    </w:p>
    <w:p>
      <w:pPr>
        <w:spacing w:after="100"/>
        <w:ind w:left="567" w:hanging="567"/>
      </w:pPr>
      <w:r>
        <w:rPr>
          <w:i w:val="false"/>
          <w:iCs w:val="false"/>
          <w:sz w:val="21"/>
          <w:szCs w:val="21"/>
        </w:rPr>
        <w:t xml:space="preserve">Giauque, D. (2024). Une nouvelle économie politique des administrations publiques : la gouvernance à distance. </w:t>
      </w:r>
      <w:r>
        <w:rPr>
          <w:i/>
          <w:iCs/>
          <w:sz w:val="21"/>
          <w:szCs w:val="21"/>
        </w:rPr>
        <w:t xml:space="preserve">Éthique publique, 25</w:t>
      </w:r>
      <w:r>
        <w:rPr>
          <w:i w:val="false"/>
          <w:iCs w:val="false"/>
          <w:sz w:val="21"/>
          <w:szCs w:val="21"/>
        </w:rPr>
        <w:t xml:space="preserve">(2).</w:t>
      </w:r>
    </w:p>
    <w:p>
      <w:pPr>
        <w:spacing w:after="100"/>
        <w:ind w:left="567" w:hanging="567"/>
      </w:pPr>
      <w:r>
        <w:rPr>
          <w:i w:val="false"/>
          <w:iCs w:val="false"/>
          <w:sz w:val="21"/>
          <w:szCs w:val="21"/>
        </w:rPr>
        <w:t xml:space="preserve">Giauque, D., Anderfuhren-Biget, S., &amp; Varone, F. (2013). HRM practices, intrinsic motivators, and organizational performance in the public sector. </w:t>
      </w:r>
      <w:r>
        <w:rPr>
          <w:i/>
          <w:iCs/>
          <w:sz w:val="21"/>
          <w:szCs w:val="21"/>
        </w:rPr>
        <w:t xml:space="preserve">Public Personnel Management, 42</w:t>
      </w:r>
      <w:r>
        <w:rPr>
          <w:i w:val="false"/>
          <w:iCs w:val="false"/>
          <w:sz w:val="21"/>
          <w:szCs w:val="21"/>
        </w:rPr>
        <w:t xml:space="preserve">(2), 123–150.</w:t>
      </w:r>
    </w:p>
    <w:p>
      <w:pPr>
        <w:spacing w:after="100"/>
        <w:ind w:left="567" w:hanging="567"/>
      </w:pPr>
      <w:r>
        <w:rPr>
          <w:i w:val="false"/>
          <w:iCs w:val="false"/>
          <w:sz w:val="21"/>
          <w:szCs w:val="21"/>
        </w:rPr>
        <w:t xml:space="preserve">Gioia, D. A., &amp; Chittipeddi, K. (1991). Sensemaking and sensegiving in strategic change initiation. </w:t>
      </w:r>
      <w:r>
        <w:rPr>
          <w:i/>
          <w:iCs/>
          <w:sz w:val="21"/>
          <w:szCs w:val="21"/>
        </w:rPr>
        <w:t xml:space="preserve">Strategic Management Journal, 12</w:t>
      </w:r>
      <w:r>
        <w:rPr>
          <w:i w:val="false"/>
          <w:iCs w:val="false"/>
          <w:sz w:val="21"/>
          <w:szCs w:val="21"/>
        </w:rPr>
        <w:t xml:space="preserve">(6), 433–448.</w:t>
      </w:r>
    </w:p>
    <w:p>
      <w:pPr>
        <w:spacing w:after="100"/>
        <w:ind w:left="567" w:hanging="567"/>
      </w:pPr>
      <w:r>
        <w:rPr>
          <w:i w:val="false"/>
          <w:iCs w:val="false"/>
          <w:sz w:val="21"/>
          <w:szCs w:val="21"/>
        </w:rPr>
        <w:t xml:space="preserve">Giovannini, C., &amp; Giauque, D. (2023). La résilience organisationnelle, entre agilité et rigidité ? </w:t>
      </w:r>
      <w:r>
        <w:rPr>
          <w:i/>
          <w:iCs/>
          <w:sz w:val="21"/>
          <w:szCs w:val="21"/>
        </w:rPr>
        <w:t xml:space="preserve">Swiss Yearbook of Administrative Sciences, 14</w:t>
      </w:r>
      <w:r>
        <w:rPr>
          <w:i w:val="false"/>
          <w:iCs w:val="false"/>
          <w:sz w:val="21"/>
          <w:szCs w:val="21"/>
        </w:rPr>
        <w:t xml:space="preserve">(1), 73–84.</w:t>
      </w:r>
    </w:p>
    <w:p>
      <w:pPr>
        <w:spacing w:after="100"/>
        <w:ind w:left="567" w:hanging="567"/>
      </w:pPr>
      <w:r>
        <w:rPr>
          <w:i w:val="false"/>
          <w:iCs w:val="false"/>
          <w:sz w:val="21"/>
          <w:szCs w:val="21"/>
        </w:rPr>
        <w:t xml:space="preserve">Gooderham, P. N., Morley, M. J., Parry, E., &amp; Stavrou, E. (2015). National and firm-level drivers of the devolution of HRM decision making to line managers. </w:t>
      </w:r>
      <w:r>
        <w:rPr>
          <w:i/>
          <w:iCs/>
          <w:sz w:val="21"/>
          <w:szCs w:val="21"/>
        </w:rPr>
        <w:t xml:space="preserve">Journal of International Business Studies, 46</w:t>
      </w:r>
      <w:r>
        <w:rPr>
          <w:i w:val="false"/>
          <w:iCs w:val="false"/>
          <w:sz w:val="21"/>
          <w:szCs w:val="21"/>
        </w:rPr>
        <w:t xml:space="preserve">(6), 715–723.</w:t>
      </w:r>
    </w:p>
    <w:p>
      <w:pPr>
        <w:spacing w:after="100"/>
        <w:ind w:left="567" w:hanging="567"/>
      </w:pPr>
      <w:r>
        <w:rPr>
          <w:i w:val="false"/>
          <w:iCs w:val="false"/>
          <w:sz w:val="21"/>
          <w:szCs w:val="21"/>
        </w:rPr>
        <w:t xml:space="preserve">Haleblian, J., &amp; Rajagopalan, N. (2006). A cognitive model of CEO dismissal: Understanding the influence of board perceptions, attributions and efficacy beliefs. </w:t>
      </w:r>
      <w:r>
        <w:rPr>
          <w:i/>
          <w:iCs/>
          <w:sz w:val="21"/>
          <w:szCs w:val="21"/>
        </w:rPr>
        <w:t xml:space="preserve">Journal of Management Studies, 43</w:t>
      </w:r>
      <w:r>
        <w:rPr>
          <w:i w:val="false"/>
          <w:iCs w:val="false"/>
          <w:sz w:val="21"/>
          <w:szCs w:val="21"/>
        </w:rPr>
        <w:t xml:space="preserve">(5), 1009–1026.</w:t>
      </w:r>
    </w:p>
    <w:p>
      <w:pPr>
        <w:spacing w:after="100"/>
        <w:ind w:left="567" w:hanging="567"/>
      </w:pPr>
      <w:r>
        <w:rPr>
          <w:i w:val="false"/>
          <w:iCs w:val="false"/>
          <w:sz w:val="21"/>
          <w:szCs w:val="21"/>
        </w:rPr>
        <w:t xml:space="preserve">Hardy, C. (1996). Understanding power: Bringing about strategic change. </w:t>
      </w:r>
      <w:r>
        <w:rPr>
          <w:i/>
          <w:iCs/>
          <w:sz w:val="21"/>
          <w:szCs w:val="21"/>
        </w:rPr>
        <w:t xml:space="preserve">British Journal of Management, 7</w:t>
      </w:r>
      <w:r>
        <w:rPr>
          <w:i w:val="false"/>
          <w:iCs w:val="false"/>
          <w:sz w:val="21"/>
          <w:szCs w:val="21"/>
        </w:rPr>
        <w:t xml:space="preserve">(S1), S3–S16.</w:t>
      </w:r>
    </w:p>
    <w:p>
      <w:pPr>
        <w:spacing w:after="100"/>
        <w:ind w:left="567" w:hanging="567"/>
      </w:pPr>
      <w:r>
        <w:rPr>
          <w:i w:val="false"/>
          <w:iCs w:val="false"/>
          <w:sz w:val="21"/>
          <w:szCs w:val="21"/>
        </w:rPr>
        <w:t xml:space="preserve">Hilb, M. (2016). </w:t>
      </w:r>
      <w:r>
        <w:rPr>
          <w:i/>
          <w:iCs/>
          <w:sz w:val="21"/>
          <w:szCs w:val="21"/>
        </w:rPr>
        <w:t xml:space="preserve">New corporate governance: Successful board management tools</w:t>
      </w:r>
      <w:r>
        <w:rPr>
          <w:i w:val="false"/>
          <w:iCs w:val="false"/>
          <w:sz w:val="21"/>
          <w:szCs w:val="21"/>
        </w:rPr>
        <w:t xml:space="preserve"> (5e éd.). Springer.</w:t>
      </w:r>
    </w:p>
    <w:p>
      <w:pPr>
        <w:spacing w:after="100"/>
        <w:ind w:left="567" w:hanging="567"/>
      </w:pPr>
      <w:r>
        <w:rPr>
          <w:i w:val="false"/>
          <w:iCs w:val="false"/>
          <w:sz w:val="21"/>
          <w:szCs w:val="21"/>
        </w:rPr>
        <w:t xml:space="preserve">Janis, I. L. (1972). </w:t>
      </w:r>
      <w:r>
        <w:rPr>
          <w:i/>
          <w:iCs/>
          <w:sz w:val="21"/>
          <w:szCs w:val="21"/>
        </w:rPr>
        <w:t xml:space="preserve">Victims of groupthink: A psychological study of foreign-policy decisions and fiascoes</w:t>
      </w:r>
      <w:r>
        <w:rPr>
          <w:i w:val="false"/>
          <w:iCs w:val="false"/>
          <w:sz w:val="21"/>
          <w:szCs w:val="21"/>
        </w:rPr>
        <w:t xml:space="preserve">. Houghton Mifflin.</w:t>
      </w:r>
    </w:p>
    <w:p>
      <w:pPr>
        <w:spacing w:after="100"/>
        <w:ind w:left="567" w:hanging="567"/>
      </w:pPr>
      <w:r>
        <w:rPr>
          <w:i w:val="false"/>
          <w:iCs w:val="false"/>
          <w:sz w:val="21"/>
          <w:szCs w:val="21"/>
        </w:rPr>
        <w:t xml:space="preserve">Jensen, M. C., &amp; Meckling, W. H. (1976). Theory of the firm: Managerial behavior, agency costs and ownership structure. </w:t>
      </w:r>
      <w:r>
        <w:rPr>
          <w:i/>
          <w:iCs/>
          <w:sz w:val="21"/>
          <w:szCs w:val="21"/>
        </w:rPr>
        <w:t xml:space="preserve">Journal of Financial Economics, 3</w:t>
      </w:r>
      <w:r>
        <w:rPr>
          <w:i w:val="false"/>
          <w:iCs w:val="false"/>
          <w:sz w:val="21"/>
          <w:szCs w:val="21"/>
        </w:rPr>
        <w:t xml:space="preserve">(4), 305–360.</w:t>
      </w:r>
    </w:p>
    <w:p>
      <w:pPr>
        <w:spacing w:after="100"/>
        <w:ind w:left="567" w:hanging="567"/>
      </w:pPr>
      <w:r>
        <w:rPr>
          <w:i w:val="false"/>
          <w:iCs w:val="false"/>
          <w:sz w:val="21"/>
          <w:szCs w:val="21"/>
        </w:rPr>
        <w:t xml:space="preserve">Jungmann, C. (2006). The effectiveness of corporate governance in one-tier and two-tier board systems: Evidence from the UK and Germany. </w:t>
      </w:r>
      <w:r>
        <w:rPr>
          <w:i/>
          <w:iCs/>
          <w:sz w:val="21"/>
          <w:szCs w:val="21"/>
        </w:rPr>
        <w:t xml:space="preserve">European Company and Financial Law Review, 3</w:t>
      </w:r>
      <w:r>
        <w:rPr>
          <w:i w:val="false"/>
          <w:iCs w:val="false"/>
          <w:sz w:val="21"/>
          <w:szCs w:val="21"/>
        </w:rPr>
        <w:t xml:space="preserve">(4), 426–474.</w:t>
      </w:r>
    </w:p>
    <w:p>
      <w:pPr>
        <w:spacing w:after="100"/>
        <w:ind w:left="567" w:hanging="567"/>
      </w:pPr>
      <w:r>
        <w:rPr>
          <w:i w:val="false"/>
          <w:iCs w:val="false"/>
          <w:sz w:val="21"/>
          <w:szCs w:val="21"/>
        </w:rPr>
        <w:t xml:space="preserve">Kahneman, D. (2012). Two systems in the mind. </w:t>
      </w:r>
      <w:r>
        <w:rPr>
          <w:i/>
          <w:iCs/>
          <w:sz w:val="21"/>
          <w:szCs w:val="21"/>
        </w:rPr>
        <w:t xml:space="preserve">Bulletin of the American Academy of Arts and Sciences, 65</w:t>
      </w:r>
      <w:r>
        <w:rPr>
          <w:i w:val="false"/>
          <w:iCs w:val="false"/>
          <w:sz w:val="21"/>
          <w:szCs w:val="21"/>
        </w:rPr>
        <w:t xml:space="preserve">(2), 55–59.</w:t>
      </w:r>
    </w:p>
    <w:p>
      <w:pPr>
        <w:spacing w:after="100"/>
        <w:ind w:left="567" w:hanging="567"/>
      </w:pPr>
      <w:r>
        <w:rPr>
          <w:i w:val="false"/>
          <w:iCs w:val="false"/>
          <w:sz w:val="21"/>
          <w:szCs w:val="21"/>
        </w:rPr>
        <w:t xml:space="preserve">Kahneman, D., Lovallo, D., &amp; Sibony, O. (2011). Before you make that big decision. </w:t>
      </w:r>
      <w:r>
        <w:rPr>
          <w:i/>
          <w:iCs/>
          <w:sz w:val="21"/>
          <w:szCs w:val="21"/>
        </w:rPr>
        <w:t xml:space="preserve">Harvard Business Review, 89</w:t>
      </w:r>
      <w:r>
        <w:rPr>
          <w:i w:val="false"/>
          <w:iCs w:val="false"/>
          <w:sz w:val="21"/>
          <w:szCs w:val="21"/>
        </w:rPr>
        <w:t xml:space="preserve">(6), 50–60.</w:t>
      </w:r>
    </w:p>
    <w:p>
      <w:pPr>
        <w:spacing w:after="100"/>
        <w:ind w:left="567" w:hanging="567"/>
      </w:pPr>
      <w:r>
        <w:rPr>
          <w:i w:val="false"/>
          <w:iCs w:val="false"/>
          <w:sz w:val="21"/>
          <w:szCs w:val="21"/>
        </w:rPr>
        <w:t xml:space="preserve">Klein, G. (2007). Performing a project premortem. </w:t>
      </w:r>
      <w:r>
        <w:rPr>
          <w:i/>
          <w:iCs/>
          <w:sz w:val="21"/>
          <w:szCs w:val="21"/>
        </w:rPr>
        <w:t xml:space="preserve">Harvard Business Review, 85</w:t>
      </w:r>
      <w:r>
        <w:rPr>
          <w:i w:val="false"/>
          <w:iCs w:val="false"/>
          <w:sz w:val="21"/>
          <w:szCs w:val="21"/>
        </w:rPr>
        <w:t xml:space="preserve">(9), 18–19.</w:t>
      </w:r>
    </w:p>
    <w:p>
      <w:pPr>
        <w:spacing w:after="100"/>
        <w:ind w:left="567" w:hanging="567"/>
      </w:pPr>
      <w:r>
        <w:rPr>
          <w:i w:val="false"/>
          <w:iCs w:val="false"/>
          <w:sz w:val="21"/>
          <w:szCs w:val="21"/>
        </w:rPr>
        <w:t xml:space="preserve">Kunz, P. V. (2010). Swiss corporate governance: An overview. In </w:t>
      </w:r>
      <w:r>
        <w:rPr>
          <w:i/>
          <w:iCs/>
          <w:sz w:val="21"/>
          <w:szCs w:val="21"/>
        </w:rPr>
        <w:t xml:space="preserve">Rapports suisses présentés au XVIIIe Congrès international de droit comparé</w:t>
      </w:r>
      <w:r>
        <w:rPr>
          <w:i w:val="false"/>
          <w:iCs w:val="false"/>
          <w:sz w:val="21"/>
          <w:szCs w:val="21"/>
        </w:rPr>
        <w:t xml:space="preserve"> (pp. 99–134).</w:t>
      </w:r>
    </w:p>
    <w:p>
      <w:pPr>
        <w:spacing w:after="100"/>
        <w:ind w:left="567" w:hanging="567"/>
      </w:pPr>
      <w:r>
        <w:rPr>
          <w:i w:val="false"/>
          <w:iCs w:val="false"/>
          <w:sz w:val="21"/>
          <w:szCs w:val="21"/>
        </w:rPr>
        <w:t xml:space="preserve">Lamari, M. (2010). Le transfert intergénérationnel des connaissances tacites : les concepts utilisés et les évidences empiriques démontrées. </w:t>
      </w:r>
      <w:r>
        <w:rPr>
          <w:i/>
          <w:iCs/>
          <w:sz w:val="21"/>
          <w:szCs w:val="21"/>
        </w:rPr>
        <w:t xml:space="preserve">Télescope, 16</w:t>
      </w:r>
      <w:r>
        <w:rPr>
          <w:i w:val="false"/>
          <w:iCs w:val="false"/>
          <w:sz w:val="21"/>
          <w:szCs w:val="21"/>
        </w:rPr>
        <w:t xml:space="preserve">(1), 39–65.</w:t>
      </w:r>
    </w:p>
    <w:p>
      <w:pPr>
        <w:spacing w:after="100"/>
        <w:ind w:left="567" w:hanging="567"/>
      </w:pPr>
      <w:r>
        <w:rPr>
          <w:i w:val="false"/>
          <w:iCs w:val="false"/>
          <w:sz w:val="21"/>
          <w:szCs w:val="21"/>
        </w:rPr>
        <w:t xml:space="preserve">Lima, L., &amp; Galleli, B. (2021). Human resources management and corporate governance: Integration perspectives and future directions. </w:t>
      </w:r>
      <w:r>
        <w:rPr>
          <w:i/>
          <w:iCs/>
          <w:sz w:val="21"/>
          <w:szCs w:val="21"/>
        </w:rPr>
        <w:t xml:space="preserve">European Management Journal, 39</w:t>
      </w:r>
      <w:r>
        <w:rPr>
          <w:i w:val="false"/>
          <w:iCs w:val="false"/>
          <w:sz w:val="21"/>
          <w:szCs w:val="21"/>
        </w:rPr>
        <w:t xml:space="preserve">(6), 731–744.</w:t>
      </w:r>
    </w:p>
    <w:p>
      <w:pPr>
        <w:spacing w:after="100"/>
        <w:ind w:left="567" w:hanging="567"/>
      </w:pPr>
      <w:r>
        <w:rPr>
          <w:i w:val="false"/>
          <w:iCs w:val="false"/>
          <w:sz w:val="21"/>
          <w:szCs w:val="21"/>
        </w:rPr>
        <w:t xml:space="preserve">Martin, G., Farndale, E., Paauwe, J., &amp; Stiles, P. G. (2016). Corporate governance and strategic human resource management: Four archetypes and proposals for a new approach to corporate sustainability. </w:t>
      </w:r>
      <w:r>
        <w:rPr>
          <w:i/>
          <w:iCs/>
          <w:sz w:val="21"/>
          <w:szCs w:val="21"/>
        </w:rPr>
        <w:t xml:space="preserve">European Management Journal, 34</w:t>
      </w:r>
      <w:r>
        <w:rPr>
          <w:i w:val="false"/>
          <w:iCs w:val="false"/>
          <w:sz w:val="21"/>
          <w:szCs w:val="21"/>
        </w:rPr>
        <w:t xml:space="preserve">(1), 22–35.</w:t>
      </w:r>
    </w:p>
    <w:p>
      <w:pPr>
        <w:spacing w:after="100"/>
        <w:ind w:left="567" w:hanging="567"/>
      </w:pPr>
      <w:r>
        <w:rPr>
          <w:i w:val="false"/>
          <w:iCs w:val="false"/>
          <w:sz w:val="21"/>
          <w:szCs w:val="21"/>
        </w:rPr>
        <w:t xml:space="preserve">McCormick, M. J., &amp; Martinko, M. J. (2004). Identifying leader social cognitions: Integrating the causal reasoning perspective into social cognitive theory. </w:t>
      </w:r>
      <w:r>
        <w:rPr>
          <w:i/>
          <w:iCs/>
          <w:sz w:val="21"/>
          <w:szCs w:val="21"/>
        </w:rPr>
        <w:t xml:space="preserve">Journal of Leadership &amp; Organizational Studies, 10</w:t>
      </w:r>
      <w:r>
        <w:rPr>
          <w:i w:val="false"/>
          <w:iCs w:val="false"/>
          <w:sz w:val="21"/>
          <w:szCs w:val="21"/>
        </w:rPr>
        <w:t xml:space="preserve">(4), 2–11.</w:t>
      </w:r>
    </w:p>
    <w:p>
      <w:pPr>
        <w:spacing w:after="100"/>
        <w:ind w:left="567" w:hanging="567"/>
      </w:pPr>
      <w:r>
        <w:rPr>
          <w:i w:val="false"/>
          <w:iCs w:val="false"/>
          <w:sz w:val="21"/>
          <w:szCs w:val="21"/>
        </w:rPr>
        <w:t xml:space="preserve">Meyer, J. W., &amp; Rowan, B. (1977). Institutionalized organizations: Formal structure as myth and ceremony. </w:t>
      </w:r>
      <w:r>
        <w:rPr>
          <w:i/>
          <w:iCs/>
          <w:sz w:val="21"/>
          <w:szCs w:val="21"/>
        </w:rPr>
        <w:t xml:space="preserve">American Journal of Sociology, 83</w:t>
      </w:r>
      <w:r>
        <w:rPr>
          <w:i w:val="false"/>
          <w:iCs w:val="false"/>
          <w:sz w:val="21"/>
          <w:szCs w:val="21"/>
        </w:rPr>
        <w:t xml:space="preserve">(2), 340–363.</w:t>
      </w:r>
    </w:p>
    <w:p>
      <w:pPr>
        <w:spacing w:after="100"/>
        <w:ind w:left="567" w:hanging="567"/>
      </w:pPr>
      <w:r>
        <w:rPr>
          <w:i w:val="false"/>
          <w:iCs w:val="false"/>
          <w:sz w:val="21"/>
          <w:szCs w:val="21"/>
        </w:rPr>
        <w:t xml:space="preserve">Nonaka, I., &amp; Takeuchi, H. (1995). </w:t>
      </w:r>
      <w:r>
        <w:rPr>
          <w:i/>
          <w:iCs/>
          <w:sz w:val="21"/>
          <w:szCs w:val="21"/>
        </w:rPr>
        <w:t xml:space="preserve">The knowledge-creating company: How Japanese companies create the dynamics of innovation</w:t>
      </w:r>
      <w:r>
        <w:rPr>
          <w:i w:val="false"/>
          <w:iCs w:val="false"/>
          <w:sz w:val="21"/>
          <w:szCs w:val="21"/>
        </w:rPr>
        <w:t xml:space="preserve">. Oxford University Press.</w:t>
      </w:r>
    </w:p>
    <w:p>
      <w:pPr>
        <w:spacing w:after="100"/>
        <w:ind w:left="567" w:hanging="567"/>
      </w:pPr>
      <w:r>
        <w:rPr>
          <w:i w:val="false"/>
          <w:iCs w:val="false"/>
          <w:sz w:val="21"/>
          <w:szCs w:val="21"/>
        </w:rPr>
        <w:t xml:space="preserve">Ocasio, W. (1997). Towards an attention-based view of the firm. </w:t>
      </w:r>
      <w:r>
        <w:rPr>
          <w:i/>
          <w:iCs/>
          <w:sz w:val="21"/>
          <w:szCs w:val="21"/>
        </w:rPr>
        <w:t xml:space="preserve">Strategic Management Journal, 18</w:t>
      </w:r>
      <w:r>
        <w:rPr>
          <w:i w:val="false"/>
          <w:iCs w:val="false"/>
          <w:sz w:val="21"/>
          <w:szCs w:val="21"/>
        </w:rPr>
        <w:t xml:space="preserve">(S1), 187–206.</w:t>
      </w:r>
    </w:p>
    <w:p>
      <w:pPr>
        <w:spacing w:after="100"/>
        <w:ind w:left="567" w:hanging="567"/>
      </w:pPr>
      <w:r>
        <w:rPr>
          <w:i w:val="false"/>
          <w:iCs w:val="false"/>
          <w:sz w:val="21"/>
          <w:szCs w:val="21"/>
        </w:rPr>
        <w:t xml:space="preserve">Petrovic, J., Saridakis, G., &amp; Johnstone, S. (2018). An integrative approach to HRM–firm performance relationship: A missing link to corporate governance. </w:t>
      </w:r>
      <w:r>
        <w:rPr>
          <w:i/>
          <w:iCs/>
          <w:sz w:val="21"/>
          <w:szCs w:val="21"/>
        </w:rPr>
        <w:t xml:space="preserve">Corporate Governance, 18</w:t>
      </w:r>
      <w:r>
        <w:rPr>
          <w:i w:val="false"/>
          <w:iCs w:val="false"/>
          <w:sz w:val="21"/>
          <w:szCs w:val="21"/>
        </w:rPr>
        <w:t xml:space="preserve">(2), 331–352.</w:t>
      </w:r>
    </w:p>
    <w:p>
      <w:pPr>
        <w:spacing w:after="100"/>
        <w:ind w:left="567" w:hanging="567"/>
      </w:pPr>
      <w:r>
        <w:rPr>
          <w:i w:val="false"/>
          <w:iCs w:val="false"/>
          <w:sz w:val="21"/>
          <w:szCs w:val="21"/>
        </w:rPr>
        <w:t xml:space="preserve">Pfeffer, J. (1992). </w:t>
      </w:r>
      <w:r>
        <w:rPr>
          <w:i/>
          <w:iCs/>
          <w:sz w:val="21"/>
          <w:szCs w:val="21"/>
        </w:rPr>
        <w:t xml:space="preserve">Managing with power: Politics and influence in organizations</w:t>
      </w:r>
      <w:r>
        <w:rPr>
          <w:i w:val="false"/>
          <w:iCs w:val="false"/>
          <w:sz w:val="21"/>
          <w:szCs w:val="21"/>
        </w:rPr>
        <w:t xml:space="preserve">. Harvard Business School Press.</w:t>
      </w:r>
    </w:p>
    <w:p>
      <w:pPr>
        <w:spacing w:after="100"/>
        <w:ind w:left="567" w:hanging="567"/>
      </w:pPr>
      <w:r>
        <w:rPr>
          <w:i w:val="false"/>
          <w:iCs w:val="false"/>
          <w:sz w:val="21"/>
          <w:szCs w:val="21"/>
        </w:rPr>
        <w:t xml:space="preserve">Polanyi, M. (1966). The logic of tacit inference. </w:t>
      </w:r>
      <w:r>
        <w:rPr>
          <w:i/>
          <w:iCs/>
          <w:sz w:val="21"/>
          <w:szCs w:val="21"/>
        </w:rPr>
        <w:t xml:space="preserve">Philosophy, 41</w:t>
      </w:r>
      <w:r>
        <w:rPr>
          <w:i w:val="false"/>
          <w:iCs w:val="false"/>
          <w:sz w:val="21"/>
          <w:szCs w:val="21"/>
        </w:rPr>
        <w:t xml:space="preserve">(155), 1–18.</w:t>
      </w:r>
    </w:p>
    <w:p>
      <w:pPr>
        <w:spacing w:after="100"/>
        <w:ind w:left="567" w:hanging="567"/>
      </w:pPr>
      <w:r>
        <w:rPr>
          <w:i w:val="false"/>
          <w:iCs w:val="false"/>
          <w:sz w:val="21"/>
          <w:szCs w:val="21"/>
        </w:rPr>
        <w:t xml:space="preserve">Prévot, F., Brulhart, F., &amp; Guieu, G. (2010). Perspectives fondées sur les ressources : proposition de synthèse. </w:t>
      </w:r>
      <w:r>
        <w:rPr>
          <w:i/>
          <w:iCs/>
          <w:sz w:val="21"/>
          <w:szCs w:val="21"/>
        </w:rPr>
        <w:t xml:space="preserve">Revue française de gestion, 204</w:t>
      </w:r>
      <w:r>
        <w:rPr>
          <w:i w:val="false"/>
          <w:iCs w:val="false"/>
          <w:sz w:val="21"/>
          <w:szCs w:val="21"/>
        </w:rPr>
        <w:t xml:space="preserve">(5), 87–103.</w:t>
      </w:r>
    </w:p>
    <w:p>
      <w:pPr>
        <w:spacing w:after="100"/>
        <w:ind w:left="567" w:hanging="567"/>
      </w:pPr>
      <w:r>
        <w:rPr>
          <w:i w:val="false"/>
          <w:iCs w:val="false"/>
          <w:sz w:val="21"/>
          <w:szCs w:val="21"/>
        </w:rPr>
        <w:t xml:space="preserve">Reichel, A., &amp; Lazarova, M. (2013). The effects of outsourcing and devolvement on the strategic position of HR departments. </w:t>
      </w:r>
      <w:r>
        <w:rPr>
          <w:i/>
          <w:iCs/>
          <w:sz w:val="21"/>
          <w:szCs w:val="21"/>
        </w:rPr>
        <w:t xml:space="preserve">Human Resource Management, 52</w:t>
      </w:r>
      <w:r>
        <w:rPr>
          <w:i w:val="false"/>
          <w:iCs w:val="false"/>
          <w:sz w:val="21"/>
          <w:szCs w:val="21"/>
        </w:rPr>
        <w:t xml:space="preserve">(6), 923–946.</w:t>
      </w:r>
    </w:p>
    <w:p>
      <w:pPr>
        <w:spacing w:after="100"/>
        <w:ind w:left="567" w:hanging="567"/>
      </w:pPr>
      <w:r>
        <w:rPr>
          <w:i w:val="false"/>
          <w:iCs w:val="false"/>
          <w:sz w:val="21"/>
          <w:szCs w:val="21"/>
        </w:rPr>
        <w:t xml:space="preserve">Ritz, A. (2009). La motivation de service public et la performance organisationnelle au sein de l'administration fédérale suisse. </w:t>
      </w:r>
      <w:r>
        <w:rPr>
          <w:i/>
          <w:iCs/>
          <w:sz w:val="21"/>
          <w:szCs w:val="21"/>
        </w:rPr>
        <w:t xml:space="preserve">Revue Internationale des Sciences Administratives, 75</w:t>
      </w:r>
      <w:r>
        <w:rPr>
          <w:i w:val="false"/>
          <w:iCs w:val="false"/>
          <w:sz w:val="21"/>
          <w:szCs w:val="21"/>
        </w:rPr>
        <w:t xml:space="preserve">(1), 59–86.</w:t>
      </w:r>
    </w:p>
    <w:p>
      <w:pPr>
        <w:spacing w:after="100"/>
        <w:ind w:left="567" w:hanging="567"/>
      </w:pPr>
      <w:r>
        <w:rPr>
          <w:i w:val="false"/>
          <w:iCs w:val="false"/>
          <w:sz w:val="21"/>
          <w:szCs w:val="21"/>
        </w:rPr>
        <w:t xml:space="preserve">Schmid, M. M., &amp; Zimmermann, H. (2008). Should chairman and CEO be separated? Leadership structure and firm performance in Switzerland. </w:t>
      </w:r>
      <w:r>
        <w:rPr>
          <w:i/>
          <w:iCs/>
          <w:sz w:val="21"/>
          <w:szCs w:val="21"/>
        </w:rPr>
        <w:t xml:space="preserve">Schmalenbach Business Review, 60</w:t>
      </w:r>
      <w:r>
        <w:rPr>
          <w:i w:val="false"/>
          <w:iCs w:val="false"/>
          <w:sz w:val="21"/>
          <w:szCs w:val="21"/>
        </w:rPr>
        <w:t xml:space="preserve">(2), 182–204.</w:t>
      </w:r>
    </w:p>
    <w:p>
      <w:pPr>
        <w:spacing w:after="100"/>
        <w:ind w:left="567" w:hanging="567"/>
      </w:pPr>
      <w:r>
        <w:rPr>
          <w:i w:val="false"/>
          <w:iCs w:val="false"/>
          <w:sz w:val="21"/>
          <w:szCs w:val="21"/>
        </w:rPr>
        <w:t xml:space="preserve">Schwenk, C. R. (1988). The cognitive perspective on strategic decision making. </w:t>
      </w:r>
      <w:r>
        <w:rPr>
          <w:i/>
          <w:iCs/>
          <w:sz w:val="21"/>
          <w:szCs w:val="21"/>
        </w:rPr>
        <w:t xml:space="preserve">Journal of Management Studies, 25</w:t>
      </w:r>
      <w:r>
        <w:rPr>
          <w:i w:val="false"/>
          <w:iCs w:val="false"/>
          <w:sz w:val="21"/>
          <w:szCs w:val="21"/>
        </w:rPr>
        <w:t xml:space="preserve">(1), 41–55.</w:t>
      </w:r>
    </w:p>
    <w:p>
      <w:pPr>
        <w:spacing w:after="100"/>
        <w:ind w:left="567" w:hanging="567"/>
      </w:pPr>
      <w:r>
        <w:rPr>
          <w:i w:val="false"/>
          <w:iCs w:val="false"/>
          <w:sz w:val="21"/>
          <w:szCs w:val="21"/>
        </w:rPr>
        <w:t xml:space="preserve">Sheehan, C., De Cieri, H., Cooper, B., &amp; Brooks, R. (2014). Exploring the power dimensions of the human resource function. </w:t>
      </w:r>
      <w:r>
        <w:rPr>
          <w:i/>
          <w:iCs/>
          <w:sz w:val="21"/>
          <w:szCs w:val="21"/>
        </w:rPr>
        <w:t xml:space="preserve">Human Resource Management Journal, 24</w:t>
      </w:r>
      <w:r>
        <w:rPr>
          <w:i w:val="false"/>
          <w:iCs w:val="false"/>
          <w:sz w:val="21"/>
          <w:szCs w:val="21"/>
        </w:rPr>
        <w:t xml:space="preserve">(2), 193–210.</w:t>
      </w:r>
    </w:p>
    <w:p>
      <w:pPr>
        <w:spacing w:after="100"/>
        <w:ind w:left="567" w:hanging="567"/>
      </w:pPr>
      <w:r>
        <w:rPr>
          <w:i w:val="false"/>
          <w:iCs w:val="false"/>
          <w:sz w:val="21"/>
          <w:szCs w:val="21"/>
        </w:rPr>
        <w:t xml:space="preserve">Simonson, I., &amp; Staw, B. M. (1992). Deescalation strategies: A comparison of techniques for reducing commitment to losing courses of action. </w:t>
      </w:r>
      <w:r>
        <w:rPr>
          <w:i/>
          <w:iCs/>
          <w:sz w:val="21"/>
          <w:szCs w:val="21"/>
        </w:rPr>
        <w:t xml:space="preserve">Journal of Applied Psychology, 77</w:t>
      </w:r>
      <w:r>
        <w:rPr>
          <w:i w:val="false"/>
          <w:iCs w:val="false"/>
          <w:sz w:val="21"/>
          <w:szCs w:val="21"/>
        </w:rPr>
        <w:t xml:space="preserve">(4), 419–426.</w:t>
      </w:r>
    </w:p>
    <w:p>
      <w:pPr>
        <w:spacing w:after="100"/>
        <w:ind w:left="567" w:hanging="567"/>
      </w:pPr>
      <w:r>
        <w:rPr>
          <w:i w:val="false"/>
          <w:iCs w:val="false"/>
          <w:sz w:val="21"/>
          <w:szCs w:val="21"/>
        </w:rPr>
        <w:t xml:space="preserve">Sirmon, D. G., Hitt, M. A., Ireland, R. D., &amp; Gilbert, B. A. (2011). Resource orchestration to create competitive advantage: Breadth, depth, and life cycle effects. </w:t>
      </w:r>
      <w:r>
        <w:rPr>
          <w:i/>
          <w:iCs/>
          <w:sz w:val="21"/>
          <w:szCs w:val="21"/>
        </w:rPr>
        <w:t xml:space="preserve">Journal of Management, 37</w:t>
      </w:r>
      <w:r>
        <w:rPr>
          <w:i w:val="false"/>
          <w:iCs w:val="false"/>
          <w:sz w:val="21"/>
          <w:szCs w:val="21"/>
        </w:rPr>
        <w:t xml:space="preserve">(5), 1390–1412.</w:t>
      </w:r>
    </w:p>
    <w:p>
      <w:pPr>
        <w:spacing w:after="100"/>
        <w:ind w:left="567" w:hanging="567"/>
      </w:pPr>
      <w:r>
        <w:rPr>
          <w:i w:val="false"/>
          <w:iCs w:val="false"/>
          <w:sz w:val="21"/>
          <w:szCs w:val="21"/>
        </w:rPr>
        <w:t xml:space="preserve">Stinchcombe, A. L. (1965). Social structure and organizations. In J. G. March (Ed.), </w:t>
      </w:r>
      <w:r>
        <w:rPr>
          <w:i/>
          <w:iCs/>
          <w:sz w:val="21"/>
          <w:szCs w:val="21"/>
        </w:rPr>
        <w:t xml:space="preserve">Handbook of organizations</w:t>
      </w:r>
      <w:r>
        <w:rPr>
          <w:i w:val="false"/>
          <w:iCs w:val="false"/>
          <w:sz w:val="21"/>
          <w:szCs w:val="21"/>
        </w:rPr>
        <w:t xml:space="preserve"> (pp. 142–193). Rand McNally.</w:t>
      </w:r>
    </w:p>
    <w:p>
      <w:pPr>
        <w:spacing w:after="100"/>
        <w:ind w:left="567" w:hanging="567"/>
      </w:pPr>
      <w:r>
        <w:rPr>
          <w:i w:val="false"/>
          <w:iCs w:val="false"/>
          <w:sz w:val="21"/>
          <w:szCs w:val="21"/>
        </w:rPr>
        <w:t xml:space="preserve">Tetlock, P. E. (2000). Cognitive biases and organizational correctives: Do both disease and cure depend on the politics of the beholder? </w:t>
      </w:r>
      <w:r>
        <w:rPr>
          <w:i/>
          <w:iCs/>
          <w:sz w:val="21"/>
          <w:szCs w:val="21"/>
        </w:rPr>
        <w:t xml:space="preserve">Administrative Science Quarterly, 45</w:t>
      </w:r>
      <w:r>
        <w:rPr>
          <w:i w:val="false"/>
          <w:iCs w:val="false"/>
          <w:sz w:val="21"/>
          <w:szCs w:val="21"/>
        </w:rPr>
        <w:t xml:space="preserve">(2), 293–326.</w:t>
      </w:r>
    </w:p>
    <w:p>
      <w:pPr>
        <w:spacing w:after="100"/>
        <w:ind w:left="567" w:hanging="567"/>
      </w:pPr>
      <w:r>
        <w:rPr>
          <w:i w:val="false"/>
          <w:iCs w:val="false"/>
          <w:sz w:val="21"/>
          <w:szCs w:val="21"/>
        </w:rPr>
        <w:t xml:space="preserve">Tversky, A., &amp; Kahneman, D. (1974). Judgment under uncertainty: Heuristics and biases. </w:t>
      </w:r>
      <w:r>
        <w:rPr>
          <w:i/>
          <w:iCs/>
          <w:sz w:val="21"/>
          <w:szCs w:val="21"/>
        </w:rPr>
        <w:t xml:space="preserve">Science, 185</w:t>
      </w:r>
      <w:r>
        <w:rPr>
          <w:i w:val="false"/>
          <w:iCs w:val="false"/>
          <w:sz w:val="21"/>
          <w:szCs w:val="21"/>
        </w:rPr>
        <w:t xml:space="preserve">(4157), 1124–1131.</w:t>
      </w:r>
    </w:p>
    <w:p>
      <w:pPr>
        <w:spacing w:after="100"/>
        <w:ind w:left="567" w:hanging="567"/>
      </w:pPr>
      <w:r>
        <w:rPr>
          <w:i w:val="false"/>
          <w:iCs w:val="false"/>
          <w:sz w:val="21"/>
          <w:szCs w:val="21"/>
        </w:rPr>
        <w:t xml:space="preserve">Vandenabeele, W., Brewer, G. A., &amp; Ritz, A. (2014). Past, present, and future of public service motivation research. </w:t>
      </w:r>
      <w:r>
        <w:rPr>
          <w:i/>
          <w:iCs/>
          <w:sz w:val="21"/>
          <w:szCs w:val="21"/>
        </w:rPr>
        <w:t xml:space="preserve">Public Administration, 92</w:t>
      </w:r>
      <w:r>
        <w:rPr>
          <w:i w:val="false"/>
          <w:iCs w:val="false"/>
          <w:sz w:val="21"/>
          <w:szCs w:val="21"/>
        </w:rPr>
        <w:t xml:space="preserve">(4), 779–789.</w:t>
      </w:r>
    </w:p>
    <w:p>
      <w:pPr>
        <w:spacing w:after="100"/>
        <w:ind w:left="567" w:hanging="567"/>
      </w:pPr>
      <w:r>
        <w:rPr>
          <w:i w:val="false"/>
          <w:iCs w:val="false"/>
          <w:sz w:val="21"/>
          <w:szCs w:val="21"/>
        </w:rPr>
        <w:t xml:space="preserve">Walker, J. (2026, 23 juin). Le rôle des ressources humaines est-il d'aider les employés ? Voici ce que les jeunes professionnels doivent savoir. </w:t>
      </w:r>
      <w:r>
        <w:rPr>
          <w:i/>
          <w:iCs/>
          <w:sz w:val="21"/>
          <w:szCs w:val="21"/>
        </w:rPr>
        <w:t xml:space="preserve">The Conversation</w:t>
      </w:r>
      <w:r>
        <w:rPr>
          <w:i w:val="false"/>
          <w:iCs w:val="false"/>
          <w:sz w:val="21"/>
          <w:szCs w:val="21"/>
        </w:rPr>
        <w:t xml:space="preserve">. https://theconversation.com/le-role-des-ressources-humaines-est-il-daider-les-employes-voici-ce-que-les-jeunes-professionnels-doivent-savoir-279497</w:t>
      </w:r>
    </w:p>
    <w:p>
      <w:pPr>
        <w:spacing w:after="100"/>
        <w:ind w:left="567" w:hanging="567"/>
      </w:pPr>
      <w:r>
        <w:rPr>
          <w:i w:val="false"/>
          <w:iCs w:val="false"/>
          <w:sz w:val="21"/>
          <w:szCs w:val="21"/>
        </w:rPr>
        <w:t xml:space="preserve">Waterman, R. W., &amp; Meier, K. J. (1998). Principal-agent models: An expansion? </w:t>
      </w:r>
      <w:r>
        <w:rPr>
          <w:i/>
          <w:iCs/>
          <w:sz w:val="21"/>
          <w:szCs w:val="21"/>
        </w:rPr>
        <w:t xml:space="preserve">Journal of Public Administration Research and Theory, 8</w:t>
      </w:r>
      <w:r>
        <w:rPr>
          <w:i w:val="false"/>
          <w:iCs w:val="false"/>
          <w:sz w:val="21"/>
          <w:szCs w:val="21"/>
        </w:rPr>
        <w:t xml:space="preserve">(2), 173–202.</w:t>
      </w:r>
    </w:p>
    <w:p>
      <w:pPr>
        <w:spacing w:after="100"/>
        <w:ind w:left="567" w:hanging="567"/>
      </w:pPr>
      <w:r>
        <w:rPr>
          <w:i w:val="false"/>
          <w:iCs w:val="false"/>
          <w:sz w:val="21"/>
          <w:szCs w:val="21"/>
        </w:rPr>
        <w:t xml:space="preserve">Weick, K. E. (1995). </w:t>
      </w:r>
      <w:r>
        <w:rPr>
          <w:i/>
          <w:iCs/>
          <w:sz w:val="21"/>
          <w:szCs w:val="21"/>
        </w:rPr>
        <w:t xml:space="preserve">Sensemaking in organizations</w:t>
      </w:r>
      <w:r>
        <w:rPr>
          <w:i w:val="false"/>
          <w:iCs w:val="false"/>
          <w:sz w:val="21"/>
          <w:szCs w:val="21"/>
        </w:rPr>
        <w:t xml:space="preserve">. Sage.</w:t>
      </w:r>
    </w:p>
    <w:p>
      <w:pPr>
        <w:pStyle w:val="Heading2"/>
      </w:pPr>
      <w:r>
        <w:t xml:space="preserve">Supports de cours et sources institutionnelles</w:t>
      </w:r>
    </w:p>
    <w:p>
      <w:pPr>
        <w:spacing w:after="100"/>
        <w:ind w:left="567" w:hanging="567"/>
      </w:pPr>
      <w:r>
        <w:rPr>
          <w:i w:val="false"/>
          <w:iCs w:val="false"/>
          <w:sz w:val="21"/>
          <w:szCs w:val="21"/>
        </w:rPr>
        <w:t xml:space="preserve">Bédat, J. (2026). </w:t>
      </w:r>
      <w:r>
        <w:rPr>
          <w:i/>
          <w:iCs/>
          <w:sz w:val="21"/>
          <w:szCs w:val="21"/>
        </w:rPr>
        <w:t xml:space="preserve">Orchestration stratégique RH</w:t>
      </w:r>
      <w:r>
        <w:rPr>
          <w:i w:val="false"/>
          <w:iCs w:val="false"/>
          <w:sz w:val="21"/>
          <w:szCs w:val="21"/>
        </w:rPr>
        <w:t xml:space="preserve"> [Support de cours, jours 1 à 4]. CAS Stratégie et organisation, MRHC, Université de Lausanne.</w:t>
      </w:r>
    </w:p>
    <w:p>
      <w:pPr>
        <w:spacing w:after="100"/>
        <w:ind w:left="567" w:hanging="567"/>
      </w:pPr>
      <w:r>
        <w:rPr>
          <w:i w:val="false"/>
          <w:iCs w:val="false"/>
          <w:sz w:val="21"/>
          <w:szCs w:val="21"/>
        </w:rPr>
        <w:t xml:space="preserve">CHUV. (s.d.). </w:t>
      </w:r>
      <w:r>
        <w:rPr>
          <w:i/>
          <w:iCs/>
          <w:sz w:val="21"/>
          <w:szCs w:val="21"/>
        </w:rPr>
        <w:t xml:space="preserve">Le 144 sera rattaché au CHUV et la Centrale téléphonique des médecins de garde à Unisanté</w:t>
      </w:r>
      <w:r>
        <w:rPr>
          <w:i w:val="false"/>
          <w:iCs w:val="false"/>
          <w:sz w:val="21"/>
          <w:szCs w:val="21"/>
        </w:rPr>
        <w:t xml:space="preserve"> [Communiqué]. https://www.chuv.ch/fr/journalistes/communique/le-144-sera-rattache-au-chuv-et-la-centrale-telephonique-des-medecins-de-garde-a-unisante</w:t>
      </w:r>
    </w:p>
    <w:p>
      <w:pPr>
        <w:spacing w:after="100"/>
        <w:ind w:left="567" w:hanging="567"/>
      </w:pPr>
      <w:r>
        <w:rPr>
          <w:i w:val="false"/>
          <w:iCs w:val="false"/>
          <w:sz w:val="21"/>
          <w:szCs w:val="21"/>
        </w:rPr>
        <w:t xml:space="preserve">État de Vaud. (s.d.-a). </w:t>
      </w:r>
      <w:r>
        <w:rPr>
          <w:i/>
          <w:iCs/>
          <w:sz w:val="21"/>
          <w:szCs w:val="21"/>
        </w:rPr>
        <w:t xml:space="preserve">Fondation Urgences Santé : rattachements des centrales d'appel</w:t>
      </w:r>
      <w:r>
        <w:rPr>
          <w:i w:val="false"/>
          <w:iCs w:val="false"/>
          <w:sz w:val="21"/>
          <w:szCs w:val="21"/>
        </w:rPr>
        <w:t xml:space="preserve">. https://www.vd.ch/toutes-les-actualites/news/i-fondation-urgences-sante</w:t>
      </w:r>
    </w:p>
    <w:p>
      <w:pPr>
        <w:spacing w:after="100"/>
        <w:ind w:left="567" w:hanging="567"/>
      </w:pPr>
      <w:r>
        <w:rPr>
          <w:i w:val="false"/>
          <w:iCs w:val="false"/>
          <w:sz w:val="21"/>
          <w:szCs w:val="21"/>
        </w:rPr>
        <w:t xml:space="preserve">État de Vaud. (s.d.-b). </w:t>
      </w:r>
      <w:r>
        <w:rPr>
          <w:i/>
          <w:iCs/>
          <w:sz w:val="21"/>
          <w:szCs w:val="21"/>
        </w:rPr>
        <w:t xml:space="preserve">Le Conseil d'État désigne le directeur général d'Unisanté</w:t>
      </w:r>
      <w:r>
        <w:rPr>
          <w:i w:val="false"/>
          <w:iCs w:val="false"/>
          <w:sz w:val="21"/>
          <w:szCs w:val="21"/>
        </w:rPr>
        <w:t xml:space="preserve"> [Communiqué]. https://www.vd.ch/actualites/actualite/news/24942-le-conseil-detat-designe-le-dr-karim-boubaker-comme-directeur-general-dunisante</w:t>
      </w:r>
    </w:p>
    <w:p>
      <w:pPr>
        <w:spacing w:after="100"/>
        <w:ind w:left="567" w:hanging="567"/>
      </w:pPr>
      <w:r>
        <w:rPr>
          <w:i w:val="false"/>
          <w:iCs w:val="false"/>
          <w:sz w:val="21"/>
          <w:szCs w:val="21"/>
        </w:rPr>
        <w:t xml:space="preserve">État de Vaud. (s.d.-c). </w:t>
      </w:r>
      <w:r>
        <w:rPr>
          <w:i/>
          <w:iCs/>
          <w:sz w:val="21"/>
          <w:szCs w:val="21"/>
        </w:rPr>
        <w:t xml:space="preserve">Membres du Conseil d'Unisanté pour 2022-2027</w:t>
      </w:r>
      <w:r>
        <w:rPr>
          <w:i w:val="false"/>
          <w:iCs w:val="false"/>
          <w:sz w:val="21"/>
          <w:szCs w:val="21"/>
        </w:rPr>
        <w:t xml:space="preserve"> [Décision du Conseil d'État]. https://www.vd.ch/toutes-les-actualites/decisions-du-conseil-detat/seance-du-conseil-detat/decision/decision/2f2fc729-ddd7-4f12-a035-68e85f187c98</w:t>
      </w:r>
    </w:p>
    <w:p>
      <w:pPr>
        <w:spacing w:after="100"/>
        <w:ind w:left="567" w:hanging="567"/>
      </w:pPr>
      <w:r>
        <w:rPr>
          <w:i w:val="false"/>
          <w:iCs w:val="false"/>
          <w:sz w:val="21"/>
          <w:szCs w:val="21"/>
        </w:rPr>
        <w:t xml:space="preserve">Unisanté. (2022). </w:t>
      </w:r>
      <w:r>
        <w:rPr>
          <w:i/>
          <w:iCs/>
          <w:sz w:val="21"/>
          <w:szCs w:val="21"/>
        </w:rPr>
        <w:t xml:space="preserve">Plan stratégique 2020-2024 : bilan intermédiaire 2022</w:t>
      </w:r>
      <w:r>
        <w:rPr>
          <w:i w:val="false"/>
          <w:iCs w:val="false"/>
          <w:sz w:val="21"/>
          <w:szCs w:val="21"/>
        </w:rPr>
        <w:t xml:space="preserve">. https://www.unisante.ch/fr/media/1208/download</w:t>
      </w:r>
    </w:p>
    <w:p>
      <w:pPr>
        <w:spacing w:after="100"/>
        <w:ind w:left="567" w:hanging="567"/>
      </w:pPr>
      <w:r>
        <w:rPr>
          <w:i w:val="false"/>
          <w:iCs w:val="false"/>
          <w:sz w:val="21"/>
          <w:szCs w:val="21"/>
        </w:rPr>
        <w:t xml:space="preserve">Unisanté. (s.d.-a). </w:t>
      </w:r>
      <w:r>
        <w:rPr>
          <w:i/>
          <w:iCs/>
          <w:sz w:val="21"/>
          <w:szCs w:val="21"/>
        </w:rPr>
        <w:t xml:space="preserve">Comité de direction</w:t>
      </w:r>
      <w:r>
        <w:rPr>
          <w:i w:val="false"/>
          <w:iCs w:val="false"/>
          <w:sz w:val="21"/>
          <w:szCs w:val="21"/>
        </w:rPr>
        <w:t xml:space="preserve">. https://www.unisante.ch/fr/propos-dunisante/unisante-bref/comite-direction</w:t>
      </w:r>
    </w:p>
    <w:p>
      <w:pPr>
        <w:spacing w:after="100"/>
        <w:ind w:left="567" w:hanging="567"/>
      </w:pPr>
      <w:r>
        <w:rPr>
          <w:i w:val="false"/>
          <w:iCs w:val="false"/>
          <w:sz w:val="21"/>
          <w:szCs w:val="21"/>
        </w:rPr>
        <w:t xml:space="preserve">Unisanté. (s.d.-b). </w:t>
      </w:r>
      <w:r>
        <w:rPr>
          <w:i/>
          <w:iCs/>
          <w:sz w:val="21"/>
          <w:szCs w:val="21"/>
        </w:rPr>
        <w:t xml:space="preserve">Conseil d'Unisanté</w:t>
      </w:r>
      <w:r>
        <w:rPr>
          <w:i w:val="false"/>
          <w:iCs w:val="false"/>
          <w:sz w:val="21"/>
          <w:szCs w:val="21"/>
        </w:rPr>
        <w:t xml:space="preserve">. https://www.unisante.ch/fr/propos-dunisante/unisante-bref/conseil-dunisante</w:t>
      </w:r>
    </w:p>
    <w:p>
      <w:pPr>
        <w:spacing w:after="100"/>
        <w:ind w:left="567" w:hanging="567"/>
      </w:pPr>
      <w:r>
        <w:rPr>
          <w:i w:val="false"/>
          <w:iCs w:val="false"/>
          <w:sz w:val="21"/>
          <w:szCs w:val="21"/>
        </w:rPr>
        <w:t xml:space="preserve">Unisanté. (s.d.-c). </w:t>
      </w:r>
      <w:r>
        <w:rPr>
          <w:i/>
          <w:iCs/>
          <w:sz w:val="21"/>
          <w:szCs w:val="21"/>
        </w:rPr>
        <w:t xml:space="preserve">Département urgences et santé communautaires (DUSC)</w:t>
      </w:r>
      <w:r>
        <w:rPr>
          <w:i w:val="false"/>
          <w:iCs w:val="false"/>
          <w:sz w:val="21"/>
          <w:szCs w:val="21"/>
        </w:rPr>
        <w:t xml:space="preserve">. https://www.unisante.ch/fr/propos-dunisante/unisante-bref/departements/departement-urgences-sante-communautaires-dusc</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Audit CTMG – synthèse de travail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6" w:space="2"/>
      </w:pBdr>
      <w:spacing w:after="100" w:before="28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keepNext/>
      <w:spacing w:after="80" w:before="180"/>
      <w:outlineLvl w:val="1"/>
    </w:pPr>
    <w:rPr>
      <w:rFonts w:ascii="Times New Roman" w:cs="Times New Roman" w:eastAsia="Times New Roman" w:hAnsi="Times New Roman"/>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72487312c54cf92799bec606faf3a3275e7b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CTMG – Synthèse de travail</dc:title>
  <dc:creator>Azdine Zargui-Naji</dc:creator>
  <cp:lastModifiedBy>Un-named</cp:lastModifiedBy>
  <cp:revision>1</cp:revision>
  <dcterms:created xsi:type="dcterms:W3CDTF">2026-09-25T20:53:19.601Z</dcterms:created>
  <dcterms:modified xsi:type="dcterms:W3CDTF">2026-09-25T20:53:19.601Z</dcterms:modified>
</cp:coreProperties>
</file>

<file path=docProps/custom.xml><?xml version="1.0" encoding="utf-8"?>
<Properties xmlns="http://schemas.openxmlformats.org/officeDocument/2006/custom-properties" xmlns:vt="http://schemas.openxmlformats.org/officeDocument/2006/docPropsVTypes"/>
</file>