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_Generated_Image_1ivs1t1ivs1t1ivs-removebg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b/>
          <w:color w:val="15803D"/>
          <w:sz w:val="60"/>
        </w:rPr>
        <w:t>eKalinga+</w:t>
        <w:br/>
      </w:r>
      <w:r>
        <w:rPr>
          <w:rFonts w:ascii="Segoe UI" w:hAnsi="Segoe UI"/>
          <w:b/>
          <w:color w:val="0F172A"/>
          <w:sz w:val="32"/>
        </w:rPr>
        <w:t>Ayuda Management &amp; Distribution System</w:t>
        <w:br/>
      </w:r>
      <w:r>
        <w:rPr>
          <w:rFonts w:ascii="Segoe UI" w:hAnsi="Segoe UI"/>
          <w:i/>
          <w:color w:val="64748B"/>
          <w:sz w:val="24"/>
        </w:rPr>
        <w:t>Comprehensive User Operations &amp; Flow Manual</w:t>
      </w:r>
    </w:p>
    <w:p>
      <w:pPr>
        <w:spacing w:before="800" w:after="400"/>
        <w:jc w:val="center"/>
      </w:pPr>
      <w:r>
        <w:rPr>
          <w:color w:val="475569"/>
          <w:sz w:val="19"/>
        </w:rPr>
        <w:t>Version 1.0.6 (Desktop Edition)  •  Municipality of Sulop / Davao del Sur  •  Published 2026</w:t>
      </w:r>
    </w:p>
    <w:p>
      <w:r>
        <w:br w:type="page"/>
      </w:r>
    </w:p>
    <w:p>
      <w:pPr>
        <w:spacing w:before="240" w:after="80"/>
      </w:pPr>
      <w:r>
        <w:rPr>
          <w:rFonts w:ascii="Segoe UI" w:hAnsi="Segoe UI"/>
          <w:b/>
          <w:color w:val="15803D"/>
          <w:sz w:val="40"/>
        </w:rPr>
        <w:t>Table of Contents</w:t>
      </w:r>
    </w:p>
    <w:p>
      <w:pPr>
        <w:spacing w:after="280"/>
      </w:pPr>
      <w:r>
        <w:rPr>
          <w:rFonts w:ascii="Segoe UI" w:hAnsi="Segoe UI"/>
          <w:i/>
          <w:color w:val="64748B"/>
          <w:sz w:val="20"/>
        </w:rPr>
        <w:t>Quick Reference &amp; Module Navigation Directory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6048"/>
        <w:gridCol w:w="2160"/>
      </w:tblGrid>
      <w:tr>
        <w:tc>
          <w:tcPr>
            <w:tcW w:type="dxa" w:w="1152"/>
            <w:shd w:fill="15803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Sec #</w:t>
            </w:r>
          </w:p>
        </w:tc>
        <w:tc>
          <w:tcPr>
            <w:tcW w:type="dxa" w:w="6048"/>
            <w:shd w:fill="15803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Module &amp; Operational Topic</w:t>
            </w:r>
          </w:p>
        </w:tc>
        <w:tc>
          <w:tcPr>
            <w:tcW w:type="dxa" w:w="2160"/>
            <w:shd w:fill="15803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Scope / Domain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1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System Architecture &amp; Login Authentication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System Setup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2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Database Connection &amp; Offline Preset Configuration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System Setup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3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Executive Dashboard &amp; Operational Command Center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Security / Governance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4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Validated Beneficiaries Masterlist &amp; Digital ID System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Operations / Attendance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5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Aid Requests &amp; Assistance Case State Machine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Financial / Disbursement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6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Budget Management &amp; Dual-Stream Waterfall Ledger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Financial / Disbursement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7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Project Distribution &amp; Disbursement Execution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Financial / Disbursement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8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Cash-for-Work Attendance &amp; Payout Operations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Financial / Disbursement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9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Cash-for-Work Payout Disbursement Ledger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Financial / Disbursement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10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Seminar &amp; Training Attendance Verification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Operations / Attendance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11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GGMS Consolidated Transactions &amp; Sync Audit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Operations / Attendance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12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Reports, Analytics &amp; Official Export Engine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Security / Governance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13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Scanning Portal &amp; Remote Scanner Gateway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Operations / Attendance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5803D"/>
                <w:sz w:val="19"/>
              </w:rPr>
              <w:t>14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System Settings, Security &amp; Database Backup Recovery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64748B"/>
                <w:sz w:val="17"/>
              </w:rPr>
              <w:t>Security / Governance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1: </w:t>
      </w:r>
      <w:r>
        <w:rPr>
          <w:rFonts w:ascii="Segoe UI" w:hAnsi="Segoe UI"/>
          <w:b/>
          <w:color w:val="0F172A"/>
          <w:sz w:val="30"/>
        </w:rPr>
        <w:t>System Architecture &amp; Login Authentication</w:t>
      </w:r>
    </w:p>
    <w:p>
      <w:pPr>
        <w:spacing w:after="160"/>
      </w:pPr>
      <w:r>
        <w:rPr>
          <w:sz w:val="20"/>
        </w:rPr>
        <w:t>The eKalinga+ application launches with a dual-branded, security-hardened authentication portal linking the official LGU Seal and the eKalinga+ operational core.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86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1.1: System Architecture &amp; Login Authentication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Identity &amp; Connectivity Display:</w:t>
      </w:r>
      <w:r>
        <w:rPr>
          <w:sz w:val="19"/>
        </w:rPr>
        <w:t xml:space="preserve"> The left panel surfaces the Province of Davao del Sur / Municipality of Sulop seal, system serial, and active database connection indicator.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Credentials Entry:</w:t>
      </w:r>
      <w:r>
        <w:rPr>
          <w:sz w:val="19"/>
        </w:rPr>
        <w:t xml:space="preserve"> Enter your assigned username/email and password. The system supports full keyboard navigation (Press Enter to execute sign in).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Demo &amp; Default Credentials:</w:t>
      </w:r>
      <w:r>
        <w:rPr>
          <w:sz w:val="19"/>
        </w:rPr>
        <w:t xml:space="preserve"> For local offline deployment, pre-configured roles are available (`admin@barangay.local` / `admin123`).</w:t>
      </w:r>
    </w:p>
    <w:p>
      <w:pPr>
        <w:spacing w:after="60"/>
        <w:ind w:left="288"/>
      </w:pPr>
      <w:r>
        <w:rPr>
          <w:sz w:val="19"/>
        </w:rPr>
        <w:t xml:space="preserve">4. </w:t>
      </w:r>
      <w:r>
        <w:rPr>
          <w:b/>
          <w:sz w:val="19"/>
        </w:rPr>
        <w:t>OTP Multi-Factor Security:</w:t>
      </w:r>
      <w:r>
        <w:rPr>
          <w:sz w:val="19"/>
        </w:rPr>
        <w:t xml:space="preserve"> Operators can toggle email OTP verification for enhanced authorization during staff shifts.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Only authorized staff accounts may sign in. Password lockouts occur after consecutive failed attempts.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2: </w:t>
      </w:r>
      <w:r>
        <w:rPr>
          <w:rFonts w:ascii="Segoe UI" w:hAnsi="Segoe UI"/>
          <w:b/>
          <w:color w:val="0F172A"/>
          <w:sz w:val="30"/>
        </w:rPr>
        <w:t>Database Connection &amp; Offline Preset Configuration</w:t>
      </w:r>
    </w:p>
    <w:p>
      <w:pPr>
        <w:spacing w:after="160"/>
      </w:pPr>
      <w:r>
        <w:rPr>
          <w:sz w:val="20"/>
        </w:rPr>
        <w:t>eKalinga+ features seamless multi-tier database synchronisation across Local MySQL, LAN Server, and Remote Cloud tiers.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923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nection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2.1: Database Connection &amp; Offline Preset Configuration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Connection Presets:</w:t>
      </w:r>
      <w:r>
        <w:rPr>
          <w:sz w:val="19"/>
        </w:rPr>
        <w:t xml:space="preserve"> Switch between `Local (127.0.0.1:3306)`, `Network (LAN)`, or `Remote Cloud` directly from the login settings window.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Live Connectivity Test:</w:t>
      </w:r>
      <w:r>
        <w:rPr>
          <w:sz w:val="19"/>
        </w:rPr>
        <w:t xml:space="preserve"> Click 'Test Connection' to verify socket reachability, schema integrity, and response latency before committing changes.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Zero-Configuration Bootstrap:</w:t>
      </w:r>
      <w:r>
        <w:rPr>
          <w:sz w:val="19"/>
        </w:rPr>
        <w:t xml:space="preserve"> Missing database tables and migrations are automatically created by the `StartupMigrationCoordinator` upon initial startup.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Standard workstations must keep the active preset on 'Local' unless explicitly directed by the IT Administrator.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3: </w:t>
      </w:r>
      <w:r>
        <w:rPr>
          <w:rFonts w:ascii="Segoe UI" w:hAnsi="Segoe UI"/>
          <w:b/>
          <w:color w:val="0F172A"/>
          <w:sz w:val="30"/>
        </w:rPr>
        <w:t>Executive Dashboard &amp; Operational Command Center</w:t>
      </w:r>
    </w:p>
    <w:p>
      <w:pPr>
        <w:spacing w:after="160"/>
      </w:pPr>
      <w:r>
        <w:rPr>
          <w:sz w:val="20"/>
        </w:rPr>
        <w:t>The centralized landing hub providing real-time KPI metrics, assistance totals, remaining budget capacity, and one-click navigation to all active modules.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3.1: Executive Dashboard &amp; Operational Command Center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Summary Analytics:</w:t>
      </w:r>
      <w:r>
        <w:rPr>
          <w:sz w:val="19"/>
        </w:rPr>
        <w:t xml:space="preserve"> Review total registered beneficiaries (40,561), civil registry links, active assistance cases, and remaining funding pools.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Direct Module Dispatch:</w:t>
      </w:r>
      <w:r>
        <w:rPr>
          <w:sz w:val="19"/>
        </w:rPr>
        <w:t xml:space="preserve"> Click any module tile (Masterlist, Aid Requests, Budget Waterfall, Project Distribution, Cash-for-Work, Seminar Attendance, GGMS Transactions, Reports) to open its operational workspace.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Background Sync Status:</w:t>
      </w:r>
      <w:r>
        <w:rPr>
          <w:sz w:val="19"/>
        </w:rPr>
        <w:t xml:space="preserve"> Bottom indicator shows real-time online/offline and GGMS central server synchronization states.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The Dashboard layout is locked to maintain interface consistency across all municipal workstations.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4: </w:t>
      </w:r>
      <w:r>
        <w:rPr>
          <w:rFonts w:ascii="Segoe UI" w:hAnsi="Segoe UI"/>
          <w:b/>
          <w:color w:val="0F172A"/>
          <w:sz w:val="30"/>
        </w:rPr>
        <w:t>Validated Beneficiaries Masterlist &amp; Digital ID System</w:t>
      </w:r>
    </w:p>
    <w:p>
      <w:pPr>
        <w:spacing w:after="160"/>
      </w:pPr>
      <w:r>
        <w:rPr>
          <w:sz w:val="20"/>
        </w:rPr>
        <w:t>The master registry of all validated citizens in the municipality, featuring comprehensive profiling, demographic tagging, and QR/Barcode digital ID generation.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sterlist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4.1: Validated Beneficiaries Masterlist &amp; Digital ID System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Real-time Search &amp; Filter:</w:t>
      </w:r>
      <w:r>
        <w:rPr>
          <w:sz w:val="19"/>
        </w:rPr>
        <w:t xml:space="preserve"> Filter by demographics (Senior Citizens, PWDs, 4Ps, Solo Parents, Youth, Farmers, Fisherfolk).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Photo Capture &amp; Upload:</w:t>
      </w:r>
      <w:r>
        <w:rPr>
          <w:sz w:val="19"/>
        </w:rPr>
        <w:t xml:space="preserve"> Directly capture beneficiary portrait photos via attached USB PC Camera or upload image files with integrated square cropping.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Digital eKard Printing:</w:t>
      </w:r>
      <w:r>
        <w:rPr>
          <w:sz w:val="19"/>
        </w:rPr>
        <w:t xml:space="preserve"> Select a beneficiary and click 'Print Digital ID' to generate compliant QR/Barcode badges for offline rapid scanning during distribution events.</w:t>
      </w:r>
    </w:p>
    <w:p>
      <w:pPr>
        <w:spacing w:after="60"/>
        <w:ind w:left="288"/>
      </w:pPr>
      <w:r>
        <w:rPr>
          <w:sz w:val="19"/>
        </w:rPr>
        <w:t xml:space="preserve">4. </w:t>
      </w:r>
      <w:r>
        <w:rPr>
          <w:b/>
          <w:sz w:val="19"/>
        </w:rPr>
        <w:t>CRS Municipal Sync:</w:t>
      </w:r>
      <w:r>
        <w:rPr>
          <w:sz w:val="19"/>
        </w:rPr>
        <w:t xml:space="preserve"> Synchronize citizen validation status directly against the central Civil Registry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Never create duplicate entries. Use the CRS Sync ID or National ID number for deduplication.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5: </w:t>
      </w:r>
      <w:r>
        <w:rPr>
          <w:rFonts w:ascii="Segoe UI" w:hAnsi="Segoe UI"/>
          <w:b/>
          <w:color w:val="0F172A"/>
          <w:sz w:val="30"/>
        </w:rPr>
        <w:t>Aid Requests &amp; Assistance Case State Machine</w:t>
      </w:r>
    </w:p>
    <w:p>
      <w:pPr>
        <w:spacing w:after="160"/>
      </w:pPr>
      <w:r>
        <w:rPr>
          <w:sz w:val="20"/>
        </w:rPr>
        <w:t>Manages individual walk-in assistance claims (Medical, Burial, Educational, Emergency Food) following a strict 4-stage approval and release pipeline.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d_request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5.1: Aid Requests &amp; Assistance Case State Machine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State Pipeline:</w:t>
      </w:r>
      <w:r>
        <w:rPr>
          <w:sz w:val="19"/>
        </w:rPr>
        <w:t xml:space="preserve"> Requests progress strictly through: `Pending` ➔ `Under Review` ➔ `Approved` ➔ `Released` (or `Rejected`/`Cancelled`).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New Request Filing:</w:t>
      </w:r>
      <w:r>
        <w:rPr>
          <w:sz w:val="19"/>
        </w:rPr>
        <w:t xml:space="preserve"> Search beneficiary from masterlist, select Assistance Category, enter requested amount, and attach required proof documents.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Approval &amp; Allocation:</w:t>
      </w:r>
      <w:r>
        <w:rPr>
          <w:sz w:val="19"/>
        </w:rPr>
        <w:t xml:space="preserve"> Admin reviews the case and sets the official `Approved Amount`. Funds cannot be disbursed without prior approval.</w:t>
      </w:r>
    </w:p>
    <w:p>
      <w:pPr>
        <w:spacing w:after="60"/>
        <w:ind w:left="288"/>
      </w:pPr>
      <w:r>
        <w:rPr>
          <w:sz w:val="19"/>
        </w:rPr>
        <w:t xml:space="preserve">4. </w:t>
      </w:r>
      <w:r>
        <w:rPr>
          <w:b/>
          <w:sz w:val="19"/>
        </w:rPr>
        <w:t>Fund Release &amp; Budget Waterfall Deduction:</w:t>
      </w:r>
      <w:r>
        <w:rPr>
          <w:sz w:val="19"/>
        </w:rPr>
        <w:t xml:space="preserve"> Releasing assistance automatically creates a `BudgetLedgerEntry` that consumes from the earmarked Assistance Case pool, maintaining strict fiscal accountability.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Every released assistance case must be coupled with an explicit ApprovedAmount and authorized officer.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6: </w:t>
      </w:r>
      <w:r>
        <w:rPr>
          <w:rFonts w:ascii="Segoe UI" w:hAnsi="Segoe UI"/>
          <w:b/>
          <w:color w:val="0F172A"/>
          <w:sz w:val="30"/>
        </w:rPr>
        <w:t>Budget Management &amp; Dual-Stream Waterfall Ledger</w:t>
      </w:r>
    </w:p>
    <w:p>
      <w:pPr>
        <w:spacing w:after="160"/>
      </w:pPr>
      <w:r>
        <w:rPr>
          <w:sz w:val="20"/>
        </w:rPr>
        <w:t>The financial engine of eKalinga+, orchestrating government appropriations (GGMS) and private donations through an automated waterfall disbursement hierarchy.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udget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6.1: Budget Management &amp; Dual-Stream Waterfall Ledger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Dual Inflow Streams:</w:t>
      </w:r>
      <w:r>
        <w:rPr>
          <w:sz w:val="19"/>
        </w:rPr>
        <w:t xml:space="preserve"> Tracks GGMS Government Allocations alongside Private Donations with reference numbers and proof receipts.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Budget Earmarking:</w:t>
      </w:r>
      <w:r>
        <w:rPr>
          <w:sz w:val="19"/>
        </w:rPr>
        <w:t xml:space="preserve"> Funds are categorized into sub-budgets (Aid Requests, Cash-for-Work, Project Distributions, Seminars).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Waterfall Hierarchy:</w:t>
      </w:r>
      <w:r>
        <w:rPr>
          <w:sz w:val="19"/>
        </w:rPr>
        <w:t xml:space="preserve"> Releases automatically deduct first from the specific earmarked project fund, then cascade to the general assistance pool.</w:t>
      </w:r>
    </w:p>
    <w:p>
      <w:pPr>
        <w:spacing w:after="60"/>
        <w:ind w:left="288"/>
      </w:pPr>
      <w:r>
        <w:rPr>
          <w:sz w:val="19"/>
        </w:rPr>
        <w:t xml:space="preserve">4. </w:t>
      </w:r>
      <w:r>
        <w:rPr>
          <w:b/>
          <w:sz w:val="19"/>
        </w:rPr>
        <w:t>Create New Project (1:1 Funding):</w:t>
      </w:r>
      <w:r>
        <w:rPr>
          <w:sz w:val="19"/>
        </w:rPr>
        <w:t xml:space="preserve"> Directly spawn projects from a selected donation/GGMS fund without breaking ledger continuity.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Independent or disconnected budget records that bypass the waterfall ledger are strictly forbidden.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7: </w:t>
      </w:r>
      <w:r>
        <w:rPr>
          <w:rFonts w:ascii="Segoe UI" w:hAnsi="Segoe UI"/>
          <w:b/>
          <w:color w:val="0F172A"/>
          <w:sz w:val="30"/>
        </w:rPr>
        <w:t>Project Distribution &amp; Disbursement Execution</w:t>
      </w:r>
    </w:p>
    <w:p>
      <w:pPr>
        <w:spacing w:after="160"/>
      </w:pPr>
      <w:r>
        <w:rPr>
          <w:sz w:val="20"/>
        </w:rPr>
        <w:t>High-throughput operational module for disbursing bulk goods and financial assistance to enrolled masterlist beneficiaries.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ject_distribution_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7.1: Project Distribution &amp; Disbursement Execution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Project Selection:</w:t>
      </w:r>
      <w:r>
        <w:rPr>
          <w:sz w:val="19"/>
        </w:rPr>
        <w:t xml:space="preserve"> Load active distribution project (Cash / In-Kind Goods) linked to its funding source.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Participant Queue:</w:t>
      </w:r>
      <w:r>
        <w:rPr>
          <w:sz w:val="19"/>
        </w:rPr>
        <w:t xml:space="preserve"> Displays full participant roster categorized into `RELEASED / CLAIMED`, `PENDING (Requirements Lacking)`, and `UNRELEASED`.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Rapid Identification:</w:t>
      </w:r>
      <w:r>
        <w:rPr>
          <w:sz w:val="19"/>
        </w:rPr>
        <w:t xml:space="preserve"> Scan physical QR ID card, type Beneficiary ID, or double-click list item.</w:t>
      </w:r>
    </w:p>
    <w:p>
      <w:pPr>
        <w:spacing w:after="60"/>
        <w:ind w:left="288"/>
      </w:pPr>
      <w:r>
        <w:rPr>
          <w:sz w:val="19"/>
        </w:rPr>
        <w:t xml:space="preserve">4. </w:t>
      </w:r>
      <w:r>
        <w:rPr>
          <w:b/>
          <w:sz w:val="19"/>
        </w:rPr>
        <w:t>Requirements Verification:</w:t>
      </w:r>
      <w:r>
        <w:rPr>
          <w:sz w:val="19"/>
        </w:rPr>
        <w:t xml:space="preserve"> Check mandatory attachments (Cedula, Barangay Certificate). Click 'Confirm Release' to payout or 'Mark Pending' if documents are missing.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Beneficiary enrollment is manual or batch-selected from approved masterlist records only (no demographic auto-enrollment).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8: </w:t>
      </w:r>
      <w:r>
        <w:rPr>
          <w:rFonts w:ascii="Segoe UI" w:hAnsi="Segoe UI"/>
          <w:b/>
          <w:color w:val="0F172A"/>
          <w:sz w:val="30"/>
        </w:rPr>
        <w:t>Cash-for-Work Attendance &amp; Payout Operations</w:t>
      </w:r>
    </w:p>
    <w:p>
      <w:pPr>
        <w:spacing w:after="160"/>
      </w:pPr>
      <w:r>
        <w:rPr>
          <w:sz w:val="20"/>
        </w:rPr>
        <w:t>Complete lifecycle management for Cash-for-Work community projects, daily worker attendance logging, and automated wage payout disbursement.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sh_for_work_p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8.1: Cash-for-Work Attendance &amp; Payout Operations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Event Workspace:</w:t>
      </w:r>
      <w:r>
        <w:rPr>
          <w:sz w:val="19"/>
        </w:rPr>
        <w:t xml:space="preserve"> Create work activity (e.g. Barangay Clean-up, Tree Planting), assign daily wage rate and scheduled days.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Beneficiary Enrollment:</w:t>
      </w:r>
      <w:r>
        <w:rPr>
          <w:sz w:val="19"/>
        </w:rPr>
        <w:t xml:space="preserve"> Add registered workers from the masterlist to the event roster.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Barcode/OCR Attendance Scan:</w:t>
      </w:r>
      <w:r>
        <w:rPr>
          <w:sz w:val="19"/>
        </w:rPr>
        <w:t xml:space="preserve"> Capture morning time-in and afternoon time-out using USB barcode gun or live PC camera OCR.</w:t>
      </w:r>
    </w:p>
    <w:p>
      <w:pPr>
        <w:spacing w:after="60"/>
        <w:ind w:left="288"/>
      </w:pPr>
      <w:r>
        <w:rPr>
          <w:sz w:val="19"/>
        </w:rPr>
        <w:t xml:space="preserve">4. </w:t>
      </w:r>
      <w:r>
        <w:rPr>
          <w:b/>
          <w:sz w:val="19"/>
        </w:rPr>
        <w:t>Automated Payroll Calculation:</w:t>
      </w:r>
      <w:r>
        <w:rPr>
          <w:sz w:val="19"/>
        </w:rPr>
        <w:t xml:space="preserve"> System aggregates verified attendance logs into the Payout view (Calculates Days Rendered × Daily Wage Rate).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Payouts require verified attendance records and pull directly from the CashForWork budget bucket.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9: </w:t>
      </w:r>
      <w:r>
        <w:rPr>
          <w:rFonts w:ascii="Segoe UI" w:hAnsi="Segoe UI"/>
          <w:b/>
          <w:color w:val="0F172A"/>
          <w:sz w:val="30"/>
        </w:rPr>
        <w:t>Cash-for-Work Payout Disbursement Ledger</w:t>
      </w:r>
    </w:p>
    <w:p>
      <w:pPr>
        <w:spacing w:after="160"/>
      </w:pPr>
      <w:r>
        <w:rPr>
          <w:sz w:val="20"/>
        </w:rPr>
        <w:t>The payroll disbursement terminal for releasing wages to Cash-for-Work participants upon event completion.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sh_for_work_payout_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9.1: Cash-for-Work Payout Disbursement Ledger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Review Earned Wages:</w:t>
      </w:r>
      <w:r>
        <w:rPr>
          <w:sz w:val="19"/>
        </w:rPr>
        <w:t xml:space="preserve"> System computes exact payout per participant based on logged attendance days.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Disbursement Confirmation:</w:t>
      </w:r>
      <w:r>
        <w:rPr>
          <w:sz w:val="19"/>
        </w:rPr>
        <w:t xml:space="preserve"> Process individual or batch payouts with receipt generation.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Audit Trail:</w:t>
      </w:r>
      <w:r>
        <w:rPr>
          <w:sz w:val="19"/>
        </w:rPr>
        <w:t xml:space="preserve"> Every released wage logs a ledger entry tied to the Cash-for-Work budget stream.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Ensure all daily attendance logs are finalized before initiating payout disbursement.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10: </w:t>
      </w:r>
      <w:r>
        <w:rPr>
          <w:rFonts w:ascii="Segoe UI" w:hAnsi="Segoe UI"/>
          <w:b/>
          <w:color w:val="0F172A"/>
          <w:sz w:val="30"/>
        </w:rPr>
        <w:t>Seminar &amp; Training Attendance Verification</w:t>
      </w:r>
    </w:p>
    <w:p>
      <w:pPr>
        <w:spacing w:after="160"/>
      </w:pPr>
      <w:r>
        <w:rPr>
          <w:sz w:val="20"/>
        </w:rPr>
        <w:t>Specialized module for conducting training sessions, workshops, and livelihood seminars with real-time barcode/QR scan tracking.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minar_attendance_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10.1: Seminar &amp; Training Attendance Verification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Seminar Setup:</w:t>
      </w:r>
      <w:r>
        <w:rPr>
          <w:sz w:val="19"/>
        </w:rPr>
        <w:t xml:space="preserve"> Define seminar topic, venue, date, and target participants.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Rapid Scanner Entry:</w:t>
      </w:r>
      <w:r>
        <w:rPr>
          <w:sz w:val="19"/>
        </w:rPr>
        <w:t xml:space="preserve"> Position camera or handheld scanner to log attendees as they arrive.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Instant Attendance Summary:</w:t>
      </w:r>
      <w:r>
        <w:rPr>
          <w:sz w:val="19"/>
        </w:rPr>
        <w:t xml:space="preserve"> Real-time stats surface total attendees, check-in timestamps, and demographic breakdown.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All seminar projects originate from an earmarked funding stream in the Budget module.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11: </w:t>
      </w:r>
      <w:r>
        <w:rPr>
          <w:rFonts w:ascii="Segoe UI" w:hAnsi="Segoe UI"/>
          <w:b/>
          <w:color w:val="0F172A"/>
          <w:sz w:val="30"/>
        </w:rPr>
        <w:t>GGMS Consolidated Transactions &amp; Sync Audit</w:t>
      </w:r>
    </w:p>
    <w:p>
      <w:pPr>
        <w:spacing w:after="160"/>
      </w:pPr>
      <w:r>
        <w:rPr>
          <w:sz w:val="20"/>
        </w:rPr>
        <w:t>Centralized transaction monitoring linking local eKalinga+ disbursements with the municipal Government Grants Management System (GGMS).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gms_transactions_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11.1: GGMS Consolidated Transactions &amp; Sync Audit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Synced Record Inspection:</w:t>
      </w:r>
      <w:r>
        <w:rPr>
          <w:sz w:val="19"/>
        </w:rPr>
        <w:t xml:space="preserve"> Review all assistance claims, distributions, and payouts transmitted to GGMS.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Filter by Sync State:</w:t>
      </w:r>
      <w:r>
        <w:rPr>
          <w:sz w:val="19"/>
        </w:rPr>
        <w:t xml:space="preserve"> Filter by Synchronized, Pending Sync, or Conflict.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Reconciliation Audit:</w:t>
      </w:r>
      <w:r>
        <w:rPr>
          <w:sz w:val="19"/>
        </w:rPr>
        <w:t xml:space="preserve"> Inspect timestamp, batch reference, transaction hash, and approving officer details.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Ensure periodic sync is active when operating on connected LAN/Remote networks.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12: </w:t>
      </w:r>
      <w:r>
        <w:rPr>
          <w:rFonts w:ascii="Segoe UI" w:hAnsi="Segoe UI"/>
          <w:b/>
          <w:color w:val="0F172A"/>
          <w:sz w:val="30"/>
        </w:rPr>
        <w:t>Reports, Analytics &amp; Official Export Engine</w:t>
      </w:r>
    </w:p>
    <w:p>
      <w:pPr>
        <w:spacing w:after="160"/>
      </w:pPr>
      <w:r>
        <w:rPr>
          <w:sz w:val="20"/>
        </w:rPr>
        <w:t>Comprehensive document generation engine creating formatted government reports, audit sheets, and statistical summaries.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ports_p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12.1: Reports, Analytics &amp; Official Export Engine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Select Report Template:</w:t>
      </w:r>
      <w:r>
        <w:rPr>
          <w:sz w:val="19"/>
        </w:rPr>
        <w:t xml:space="preserve"> Masterlist Summary, Distribution Liquidation Sheet, Aid Assistance Ledger, or Cash-for-Work Payroll.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Date &amp; Category Filtering:</w:t>
      </w:r>
      <w:r>
        <w:rPr>
          <w:sz w:val="19"/>
        </w:rPr>
        <w:t xml:space="preserve"> Define report timeframes and program categories.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Print Preview &amp; Export:</w:t>
      </w:r>
      <w:r>
        <w:rPr>
          <w:sz w:val="19"/>
        </w:rPr>
        <w:t xml:space="preserve"> Preview formatted documents with official LGU headers and export directly to PDF or Excel.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All official exported reports automatically include the municipal watermark and signature fields.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13: </w:t>
      </w:r>
      <w:r>
        <w:rPr>
          <w:rFonts w:ascii="Segoe UI" w:hAnsi="Segoe UI"/>
          <w:b/>
          <w:color w:val="0F172A"/>
          <w:sz w:val="30"/>
        </w:rPr>
        <w:t>Scanning Portal &amp; Remote Scanner Gateway</w:t>
      </w:r>
    </w:p>
    <w:p>
      <w:pPr>
        <w:spacing w:after="160"/>
      </w:pPr>
      <w:r>
        <w:rPr>
          <w:sz w:val="20"/>
        </w:rPr>
        <w:t>Network terminal for connecting mobile devices and secondary hardware scanners across the local barangay hall network.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75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anning_portal_p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13.1: Scanning Portal &amp; Remote Scanner Gateway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Scanner Session PIN:</w:t>
      </w:r>
      <w:r>
        <w:rPr>
          <w:sz w:val="19"/>
        </w:rPr>
        <w:t xml:space="preserve"> Generate secure, time-expiring PIN codes to pair remote Android/iOS scanning terminals.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Live Feed Monitoring:</w:t>
      </w:r>
      <w:r>
        <w:rPr>
          <w:sz w:val="19"/>
        </w:rPr>
        <w:t xml:space="preserve"> Monitor multiple active scanner gates simultaneously during massive distribution events.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Hardware Scanner Integration:</w:t>
      </w:r>
      <w:r>
        <w:rPr>
          <w:sz w:val="19"/>
        </w:rPr>
        <w:t xml:space="preserve"> Compatible with USB 1D/2D Barcode Guns, PC Webcams, and Serial scanners without extra drivers.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Session PINs automatically expire after the configured timeout period for security.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15803D"/>
          <w:sz w:val="30"/>
        </w:rPr>
        <w:t xml:space="preserve">Section 14: </w:t>
      </w:r>
      <w:r>
        <w:rPr>
          <w:rFonts w:ascii="Segoe UI" w:hAnsi="Segoe UI"/>
          <w:b/>
          <w:color w:val="0F172A"/>
          <w:sz w:val="30"/>
        </w:rPr>
        <w:t>System Settings, Security &amp; Database Backup Recovery</w:t>
      </w:r>
    </w:p>
    <w:p>
      <w:pPr>
        <w:spacing w:after="160"/>
      </w:pPr>
      <w:r>
        <w:rPr>
          <w:sz w:val="20"/>
        </w:rPr>
        <w:t>Central administration console governing system identity, SuperAdmin user management, password-protected overlays, and database backup chains.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ttings_wind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14.1: System Settings, Security &amp; Database Backup Recovery Interface</w:t>
      </w:r>
    </w:p>
    <w:p>
      <w:pPr>
        <w:spacing w:before="160" w:after="80"/>
      </w:pPr>
      <w:r>
        <w:rPr>
          <w:b/>
          <w:color w:val="15803D"/>
          <w:sz w:val="21"/>
        </w:rPr>
        <w:t>Operational Workflow &amp; Step-by-Step Flow:</w:t>
      </w:r>
    </w:p>
    <w:p>
      <w:pPr>
        <w:spacing w:after="60"/>
        <w:ind w:left="288"/>
      </w:pPr>
      <w:r>
        <w:rPr>
          <w:sz w:val="19"/>
        </w:rPr>
        <w:t xml:space="preserve">1. </w:t>
      </w:r>
      <w:r>
        <w:rPr>
          <w:b/>
          <w:sz w:val="19"/>
        </w:rPr>
        <w:t>System Profile:</w:t>
      </w:r>
      <w:r>
        <w:rPr>
          <w:sz w:val="19"/>
        </w:rPr>
        <w:t xml:space="preserve"> Set municipal name, address, branding logo, and theme preferences.</w:t>
      </w:r>
    </w:p>
    <w:p>
      <w:pPr>
        <w:spacing w:after="60"/>
        <w:ind w:left="288"/>
      </w:pPr>
      <w:r>
        <w:rPr>
          <w:sz w:val="19"/>
        </w:rPr>
        <w:t xml:space="preserve">2. </w:t>
      </w:r>
      <w:r>
        <w:rPr>
          <w:b/>
          <w:sz w:val="19"/>
        </w:rPr>
        <w:t>User Management &amp; Granular Permissions:</w:t>
      </w:r>
      <w:r>
        <w:rPr>
          <w:sz w:val="19"/>
        </w:rPr>
        <w:t xml:space="preserve"> SuperAdmin manages staff accounts and assigns granular module access checkboxes.</w:t>
      </w:r>
    </w:p>
    <w:p>
      <w:pPr>
        <w:spacing w:after="60"/>
        <w:ind w:left="288"/>
      </w:pPr>
      <w:r>
        <w:rPr>
          <w:sz w:val="19"/>
        </w:rPr>
        <w:t xml:space="preserve">3. </w:t>
      </w:r>
      <w:r>
        <w:rPr>
          <w:b/>
          <w:sz w:val="19"/>
        </w:rPr>
        <w:t>Password Protection:</w:t>
      </w:r>
      <w:r>
        <w:rPr>
          <w:sz w:val="19"/>
        </w:rPr>
        <w:t xml:space="preserve"> Sensitive areas (App Database, Remote Snapshot, GGMS Source) require admin password re-entry.</w:t>
      </w:r>
    </w:p>
    <w:p>
      <w:pPr>
        <w:spacing w:after="60"/>
        <w:ind w:left="288"/>
      </w:pPr>
      <w:r>
        <w:rPr>
          <w:sz w:val="19"/>
        </w:rPr>
        <w:t xml:space="preserve">4. </w:t>
      </w:r>
      <w:r>
        <w:rPr>
          <w:b/>
          <w:sz w:val="19"/>
        </w:rPr>
        <w:t>Database Backup &amp; Recovery:</w:t>
      </w:r>
      <w:r>
        <w:rPr>
          <w:sz w:val="19"/>
        </w:rPr>
        <w:t xml:space="preserve"> Execute Full Baseline Backups, Incremental Backups, and point-in-time Restores directly from the 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20"/>
              </w:rPr>
              <w:t xml:space="preserve">📌 Core System Policy &amp; Invariant: </w:t>
            </w:r>
            <w:r>
              <w:rPr>
                <w:rFonts w:ascii="Segoe UI" w:hAnsi="Segoe UI"/>
                <w:color w:val="334155"/>
                <w:sz w:val="19"/>
              </w:rPr>
              <w:t>Never delete database rows. Only soft deletions (`IsDeleted`) are permitted. Always create a Full Backup before major server migrations.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