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Women's Studies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Ahmad Shamiri, Mohamed Azlan Hussain, Farouq Sabri Mjalli, Navid Mostoufi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Fontenay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https://doi.org/10.1177/1350506806065752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