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ZUMA Nachrichten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Min Ding , Jehoshua Eliashberg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Stuttgarter Platz 77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https://doi.org/10.1177/1368430207071341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