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Elena Cettolin, Arno Riedl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https://doi.org/10.1191/1474474005eu335oa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