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6E11C" w14:textId="77777777" w:rsidR="00285A8F" w:rsidRDefault="00A4293A">
      <w:pPr>
        <w:spacing w:line="264" w:lineRule="auto"/>
        <w:ind w:right="2835"/>
        <w:rPr>
          <w:rFonts w:eastAsia="Times New Roman"/>
          <w:b/>
          <w:bCs/>
          <w:color w:val="292526"/>
          <w:sz w:val="40"/>
          <w:szCs w:val="40"/>
          <w:lang w:val="de-DE"/>
        </w:rPr>
      </w:pPr>
      <w:proofErr w:type="spellStart"/>
      <w:r>
        <w:rPr>
          <w:rFonts w:eastAsia="Times New Roman"/>
          <w:b/>
          <w:bCs/>
          <w:color w:val="292526"/>
          <w:sz w:val="32"/>
          <w:szCs w:val="32"/>
          <w:lang w:val="de-DE"/>
        </w:rPr>
        <w:t>Frank Manola</w:t>
      </w:r>
      <w:proofErr w:type="spellEnd"/>
    </w:p>
    <w:p w14:paraId="4EA6B514" w14:textId="77777777" w:rsidR="00285A8F" w:rsidRDefault="00285A8F">
      <w:pPr>
        <w:spacing w:line="264" w:lineRule="auto"/>
        <w:ind w:right="400"/>
        <w:rPr>
          <w:rFonts w:eastAsia="Times New Roman"/>
          <w:b/>
          <w:bCs/>
          <w:color w:val="292526"/>
          <w:sz w:val="32"/>
          <w:szCs w:val="32"/>
        </w:rPr>
      </w:pPr>
    </w:p>
    <w:p w14:paraId="6C7DAC29" w14:textId="77777777" w:rsidR="00285A8F" w:rsidRDefault="00A4293A">
      <w:pPr>
        <w:spacing w:line="264" w:lineRule="auto"/>
        <w:rPr>
          <w:rFonts w:eastAsia="Times New Roman"/>
          <w:b/>
          <w:bCs/>
          <w:color w:val="292526"/>
          <w:sz w:val="40"/>
          <w:szCs w:val="40"/>
          <w:lang w:val="de-DE"/>
        </w:rPr>
      </w:pPr>
      <w:r>
        <w:rPr>
          <w:rFonts w:eastAsia="Times New Roman"/>
          <w:b/>
          <w:bCs/>
          <w:color w:val="292526"/>
          <w:sz w:val="40"/>
          <w:szCs w:val="40"/>
          <w:lang w:val="de-DE"/>
        </w:rPr>
        <w:t>Integrating Object-Oriented Applications and Middleware with Relational Databases.</w:t>
      </w:r>
    </w:p>
    <w:p w14:paraId="2C429050" w14:textId="77777777" w:rsidR="00285A8F" w:rsidRDefault="00285A8F">
      <w:pPr>
        <w:spacing w:line="264" w:lineRule="auto"/>
        <w:rPr>
          <w:rFonts w:eastAsia="Times New Roman"/>
          <w:b/>
          <w:bCs/>
          <w:color w:val="292526"/>
          <w:sz w:val="24"/>
          <w:szCs w:val="24"/>
        </w:rPr>
      </w:pPr>
    </w:p>
    <w:p w14:paraId="10A72ACD" w14:textId="77777777" w:rsidR="00285A8F" w:rsidRDefault="00285A8F">
      <w:pPr>
        <w:spacing w:line="264" w:lineRule="auto"/>
        <w:ind w:right="400"/>
        <w:rPr>
          <w:rFonts w:eastAsia="Times New Roman"/>
          <w:b/>
          <w:bCs/>
          <w:color w:val="292526"/>
          <w:sz w:val="16"/>
          <w:szCs w:val="16"/>
        </w:rPr>
      </w:pPr>
    </w:p>
    <w:p w14:paraId="7821B6DD" w14:textId="77777777" w:rsidR="00285A8F" w:rsidRDefault="00A4293A">
      <w:pPr>
        <w:spacing w:line="264" w:lineRule="auto"/>
        <w:ind w:left="993" w:right="400"/>
        <w:rPr>
          <w:rFonts w:eastAsia="Times New Roman"/>
          <w:color w:val="292526"/>
          <w:sz w:val="24"/>
          <w:szCs w:val="24"/>
        </w:rPr>
      </w:pPr>
      <w:proofErr w:type="spellStart"/>
      <w:r>
        <w:rPr>
          <w:rFonts w:eastAsia="Times New Roman"/>
          <w:i/>
          <w:iCs/>
          <w:color w:val="292526"/>
          <w:sz w:val="20"/>
          <w:szCs w:val="20"/>
          <w:lang w:val="de-DE"/>
        </w:rPr>
        <w:t>Das International Social Survey Programme (ISSP) führt in internationaler Kooperation jährlich eine gemeinsame Umfrage zu allgemeinen gesellschaftlich relevanten Themen durch. Der vorliegende Arbeitsbericht ist ein Datenreport zu einem Thema, dem eine besondere gesellschaftliche Bedeutung zukommt: Einstellungen der Bürger zu Staat und Regierung. Mit Ausnahme eines Themas wurden die analysierten Fragekomplexe mindestens zweimal erhoben und dokumentieren somit den Wandel und die Trends in den jeweiligen Themengebieten. In den einzelnen Kapiteln werden Einstellungen zu Bürgerrechten und Staatsintervention, Staat und soziale Wohlfahrt, Einflussnahme des Staates auf die Wirtschaft, Prioritäten bei staatlichen Ausgaben und die Interaktion zwischen Steuererhebung und Einkommensverteilung analysiert. Weitere Themen sind die Einschätzung des individuellen politischen Einflusses und die Motivation zum politischen Engagement sowie das Thema Korruption. (ICI)</w:t>
      </w:r>
      <w:proofErr w:type="spellEnd"/>
      <w:r>
        <w:rPr>
          <w:rFonts w:eastAsia="Times New Roman"/>
          <w:i/>
          <w:iCs/>
          <w:color w:val="292526"/>
          <w:sz w:val="20"/>
          <w:szCs w:val="20"/>
        </w:rPr>
        <w:t xml:space="preserve"> </w:t>
      </w:r>
    </w:p>
    <w:p w14:paraId="4071258F" w14:textId="77777777" w:rsidR="00285A8F" w:rsidRDefault="00285A8F">
      <w:pPr>
        <w:spacing w:line="264" w:lineRule="auto"/>
        <w:ind w:left="993" w:right="400"/>
        <w:rPr>
          <w:rFonts w:eastAsia="Times New Roman"/>
          <w:color w:val="292526"/>
          <w:sz w:val="24"/>
          <w:szCs w:val="24"/>
        </w:rPr>
      </w:pPr>
    </w:p>
    <w:p w14:paraId="4FBAC0BB" w14:textId="77777777" w:rsidR="00285A8F" w:rsidRDefault="00285A8F">
      <w:pPr>
        <w:spacing w:line="264" w:lineRule="auto"/>
        <w:ind w:right="400"/>
        <w:rPr>
          <w:rFonts w:eastAsia="Times New Roman"/>
          <w:i/>
          <w:iCs/>
          <w:color w:val="292526"/>
          <w:sz w:val="17"/>
          <w:szCs w:val="17"/>
        </w:rPr>
      </w:pPr>
    </w:p>
    <w:p w14:paraId="4A80A159" w14:textId="77777777" w:rsidR="00285A8F" w:rsidRDefault="00285A8F">
      <w:pPr>
        <w:sectPr w:rsidR="00285A8F">
          <w:footerReference w:type="default" r:id="rId6"/>
          <w:pgSz w:w="11906" w:h="16838"/>
          <w:pgMar w:top="1417" w:right="1417" w:bottom="1134" w:left="1417" w:header="0" w:footer="708" w:gutter="0"/>
          <w:cols w:space="720"/>
          <w:formProt w:val="0"/>
          <w:docGrid w:linePitch="360" w:charSpace="4096"/>
        </w:sectPr>
      </w:pPr>
    </w:p>
    <w:p w14:paraId="43BA9DE3" w14:textId="77777777" w:rsidR="00285A8F" w:rsidRDefault="00A4293A">
      <w:pPr>
        <w:rPr>
          <w:sz w:val="19"/>
          <w:szCs w:val="19"/>
        </w:rPr>
      </w:pPr>
      <w:r>
        <w:rPr>
          <w:rFonts w:eastAsia="Times New Roman"/>
          <w:b/>
          <w:bCs/>
          <w:color w:val="292526"/>
          <w:sz w:val="19"/>
          <w:szCs w:val="19"/>
        </w:rPr>
        <w:t>1. Einleitung</w:t>
      </w:r>
    </w:p>
    <w:p w14:paraId="6947DD09" w14:textId="77777777" w:rsidR="00285A8F" w:rsidRDefault="00285A8F">
      <w:pPr>
        <w:spacing w:line="248" w:lineRule="exact"/>
        <w:jc w:val="both"/>
        <w:rPr>
          <w:sz w:val="19"/>
          <w:szCs w:val="19"/>
        </w:rPr>
      </w:pPr>
    </w:p>
    <w:p w14:paraId="04F79EBB" w14:textId="0EE306C7" w:rsidR="00285A8F" w:rsidRDefault="00A4293A">
      <w:pPr>
        <w:spacing w:line="259" w:lineRule="auto"/>
        <w:ind w:firstLine="170"/>
        <w:jc w:val="both"/>
        <w:rPr>
          <w:sz w:val="20"/>
          <w:szCs w:val="20"/>
        </w:rPr>
      </w:pPr>
      <w:r>
        <w:rPr>
          <w:rFonts w:eastAsia="Times New Roman"/>
          <w:color w:val="292526"/>
          <w:sz w:val="19"/>
          <w:szCs w:val="19"/>
        </w:rPr>
        <w:t>Bereits seit den 1980er Jahren problematisie</w:t>
      </w:r>
      <w:r>
        <w:rPr>
          <w:rFonts w:eastAsia="Times New Roman"/>
          <w:color w:val="292526"/>
          <w:sz w:val="19"/>
          <w:szCs w:val="19"/>
        </w:rPr>
        <w:t>ren sozialwissenschaftliche Geschlechter-forscherinnen und Gleichstellungspolitikerinnen Teilzeitarbeit als hoch ambivalente Strategie für Frauen zur Vereinbarkeit von Familie und Be</w:t>
      </w:r>
      <w:r>
        <w:rPr>
          <w:rFonts w:eastAsia="Times New Roman"/>
          <w:color w:val="292526"/>
          <w:sz w:val="19"/>
          <w:szCs w:val="19"/>
        </w:rPr>
        <w:t>ruf: Kritisiert werden mange</w:t>
      </w:r>
      <w:r>
        <w:rPr>
          <w:rFonts w:eastAsia="Times New Roman"/>
          <w:color w:val="292526"/>
          <w:sz w:val="19"/>
          <w:szCs w:val="19"/>
        </w:rPr>
        <w:t>lnde Existenz</w:t>
      </w:r>
      <w:r>
        <w:rPr>
          <w:rFonts w:eastAsia="Times New Roman"/>
          <w:color w:val="292526"/>
          <w:sz w:val="19"/>
          <w:szCs w:val="19"/>
        </w:rPr>
        <w:t>sicherung, fehlendes Prestige und die geschlechterhierarchisierende vertikale und ho-rizontale Arbeitsmarktsegregation (Jurczyk/ Kudera 1991; Kurz-Scherf 1993, 1995; Floß</w:t>
      </w:r>
      <w:r>
        <w:rPr>
          <w:rFonts w:eastAsia="Times New Roman"/>
          <w:color w:val="292526"/>
          <w:sz w:val="19"/>
          <w:szCs w:val="19"/>
        </w:rPr>
        <w:t>mann/Hauder 1998; Altendorfer 1999; Tálos 1999). In wohlfahrtsstaatlich</w:t>
      </w:r>
      <w:r>
        <w:rPr>
          <w:rFonts w:eastAsia="Times New Roman"/>
          <w:color w:val="292526"/>
          <w:sz w:val="19"/>
          <w:szCs w:val="19"/>
        </w:rPr>
        <w:t>en Arbeiten wird kritisch hervorgehoben, dass Ideologie und Pra</w:t>
      </w:r>
      <w:r>
        <w:rPr>
          <w:rFonts w:eastAsia="Times New Roman"/>
          <w:color w:val="292526"/>
          <w:sz w:val="19"/>
          <w:szCs w:val="19"/>
        </w:rPr>
        <w:t xml:space="preserve">xis von Teilzeitarbeit, die als „Zuverdienst“ von Ehefrauen und Müttern zum männlichen Familieneinkommen konstruiert werden, das </w:t>
      </w:r>
      <w:r>
        <w:rPr>
          <w:rFonts w:eastAsia="Times New Roman"/>
          <w:i/>
          <w:iCs/>
          <w:color w:val="292526"/>
          <w:sz w:val="19"/>
          <w:szCs w:val="19"/>
        </w:rPr>
        <w:t>male- breadwinner</w:t>
      </w:r>
      <w:r>
        <w:rPr>
          <w:rFonts w:eastAsia="Times New Roman"/>
          <w:color w:val="292526"/>
          <w:sz w:val="19"/>
          <w:szCs w:val="19"/>
        </w:rPr>
        <w:t>-Modell (Sainsbury 1999)</w:t>
      </w:r>
      <w:r>
        <w:rPr>
          <w:rFonts w:eastAsia="Times New Roman"/>
          <w:i/>
          <w:iCs/>
          <w:color w:val="292526"/>
          <w:sz w:val="19"/>
          <w:szCs w:val="19"/>
        </w:rPr>
        <w:t xml:space="preserve"> </w:t>
      </w:r>
      <w:r>
        <w:rPr>
          <w:rFonts w:eastAsia="Times New Roman"/>
          <w:color w:val="292526"/>
          <w:sz w:val="19"/>
          <w:szCs w:val="19"/>
        </w:rPr>
        <w:t>selbst dann noch stüt</w:t>
      </w:r>
      <w:r>
        <w:rPr>
          <w:rFonts w:eastAsia="Times New Roman"/>
          <w:color w:val="292526"/>
          <w:sz w:val="19"/>
          <w:szCs w:val="19"/>
        </w:rPr>
        <w:t>zen, wenn dieses angesichts hoher struktureller Erwerbslosigkeit und der Flexibilisierung der Arbeitsverhältnisse bereits erodiert ist. Als frauenpolitisch intendiertes In</w:t>
      </w:r>
      <w:r>
        <w:rPr>
          <w:rFonts w:eastAsia="Times New Roman"/>
          <w:color w:val="292526"/>
          <w:sz w:val="20"/>
          <w:szCs w:val="20"/>
        </w:rPr>
        <w:t>strument wird schließlich Teilzeitarbeit als ver</w:t>
      </w:r>
      <w:r>
        <w:rPr>
          <w:rFonts w:eastAsia="Times New Roman"/>
          <w:color w:val="292526"/>
          <w:sz w:val="20"/>
          <w:szCs w:val="20"/>
        </w:rPr>
        <w:t>kürzte „Bedürfnisinterpretation“ (Fr</w:t>
      </w:r>
      <w:r>
        <w:rPr>
          <w:rFonts w:eastAsia="Times New Roman"/>
          <w:color w:val="292526"/>
          <w:sz w:val="20"/>
          <w:szCs w:val="20"/>
        </w:rPr>
        <w:t>aser 1994) identifiziert: Die Arbeitszeitreduktion von Fra</w:t>
      </w:r>
      <w:r w:rsidR="00C75110">
        <w:rPr>
          <w:rFonts w:eastAsia="Times New Roman"/>
          <w:color w:val="292526"/>
          <w:sz w:val="20"/>
          <w:szCs w:val="20"/>
          <w:lang w:val="de-DE"/>
        </w:rPr>
        <w:t>u</w:t>
      </w:r>
      <w:r>
        <w:rPr>
          <w:rFonts w:eastAsia="Times New Roman"/>
          <w:color w:val="292526"/>
          <w:sz w:val="20"/>
          <w:szCs w:val="20"/>
        </w:rPr>
        <w:t>en wird als Vereinbarung von Familie und Be</w:t>
      </w:r>
      <w:r>
        <w:rPr>
          <w:rFonts w:eastAsia="Times New Roman"/>
          <w:color w:val="292526"/>
          <w:sz w:val="20"/>
          <w:szCs w:val="20"/>
        </w:rPr>
        <w:t>ruf, nicht aber von Familie und Karriere gedacht und realisiert.</w:t>
      </w:r>
    </w:p>
    <w:p w14:paraId="2A911419" w14:textId="77777777" w:rsidR="00285A8F" w:rsidRDefault="00285A8F">
      <w:pPr>
        <w:spacing w:line="1" w:lineRule="exact"/>
        <w:rPr>
          <w:sz w:val="24"/>
          <w:szCs w:val="24"/>
        </w:rPr>
      </w:pPr>
    </w:p>
    <w:p w14:paraId="1ABCC459" w14:textId="570CF9BF" w:rsidR="00285A8F" w:rsidRDefault="00A4293A">
      <w:pPr>
        <w:spacing w:line="259" w:lineRule="auto"/>
        <w:ind w:firstLine="170"/>
        <w:jc w:val="both"/>
        <w:rPr>
          <w:sz w:val="20"/>
          <w:szCs w:val="20"/>
        </w:rPr>
      </w:pPr>
      <w:r>
        <w:rPr>
          <w:rFonts w:eastAsia="Times New Roman"/>
          <w:color w:val="292526"/>
          <w:sz w:val="19"/>
          <w:szCs w:val="19"/>
        </w:rPr>
        <w:t>Aus der Sicht von PolitikerInnen, Führungs</w:t>
      </w:r>
      <w:r>
        <w:rPr>
          <w:rFonts w:eastAsia="Times New Roman"/>
          <w:color w:val="292526"/>
          <w:sz w:val="19"/>
          <w:szCs w:val="19"/>
        </w:rPr>
        <w:t>kräften und SozialwissenschafterInnen verla</w:t>
      </w:r>
      <w:r>
        <w:rPr>
          <w:rFonts w:eastAsia="Times New Roman"/>
          <w:color w:val="292526"/>
          <w:sz w:val="19"/>
          <w:szCs w:val="19"/>
        </w:rPr>
        <w:t>n</w:t>
      </w:r>
      <w:r>
        <w:rPr>
          <w:rFonts w:eastAsia="Times New Roman"/>
          <w:color w:val="292526"/>
          <w:sz w:val="19"/>
          <w:szCs w:val="19"/>
        </w:rPr>
        <w:t>gen hochqualifizierte Funktionen und leitende Positionen, d.h. Arbeitsplätze, die mit Macht, Geld und gesellschaftlichem Ansehen ausgestat</w:t>
      </w:r>
      <w:r>
        <w:rPr>
          <w:rFonts w:eastAsia="Times New Roman"/>
          <w:color w:val="292526"/>
          <w:sz w:val="19"/>
          <w:szCs w:val="19"/>
        </w:rPr>
        <w:t>tet sind, ungeteilten Einsatz, Anwesenheit und Loyalität. Leitbilder von Führung enthalten die Prämisse der „Rund-</w:t>
      </w:r>
      <w:r>
        <w:rPr>
          <w:rFonts w:eastAsia="Times New Roman"/>
          <w:color w:val="292526"/>
          <w:sz w:val="19"/>
          <w:szCs w:val="19"/>
        </w:rPr>
        <w:t>um-die-Uhr-Verfügbar</w:t>
      </w:r>
      <w:r>
        <w:rPr>
          <w:rFonts w:eastAsia="Times New Roman"/>
          <w:color w:val="292526"/>
          <w:sz w:val="19"/>
          <w:szCs w:val="19"/>
        </w:rPr>
        <w:t>keit“ im Sinne eines weit über die Normal</w:t>
      </w:r>
      <w:r>
        <w:rPr>
          <w:rFonts w:eastAsia="Times New Roman"/>
          <w:color w:val="292526"/>
          <w:sz w:val="19"/>
          <w:szCs w:val="19"/>
        </w:rPr>
        <w:t>arbeitszeit hinausgehenden zeitlichen Engage-ments (Burla et al. 1994; Kieser et al. 1995).</w:t>
      </w:r>
    </w:p>
    <w:p w14:paraId="56C545D3" w14:textId="77777777" w:rsidR="00285A8F" w:rsidRDefault="00285A8F">
      <w:pPr>
        <w:spacing w:line="3" w:lineRule="exact"/>
        <w:rPr>
          <w:sz w:val="24"/>
          <w:szCs w:val="24"/>
        </w:rPr>
      </w:pPr>
    </w:p>
    <w:p w14:paraId="69149208" w14:textId="177D567C" w:rsidR="00285A8F" w:rsidRDefault="00A4293A">
      <w:pPr>
        <w:spacing w:line="259" w:lineRule="auto"/>
        <w:ind w:firstLine="170"/>
        <w:jc w:val="both"/>
        <w:rPr>
          <w:rFonts w:eastAsia="Times New Roman"/>
          <w:b/>
          <w:bCs/>
          <w:color w:val="292526"/>
          <w:sz w:val="40"/>
          <w:szCs w:val="40"/>
        </w:rPr>
      </w:pPr>
      <w:r>
        <w:rPr>
          <w:rFonts w:eastAsia="Times New Roman"/>
          <w:color w:val="292526"/>
          <w:sz w:val="19"/>
          <w:szCs w:val="19"/>
        </w:rPr>
        <w:t>Demgegenüber gibt es aber empirische Evidenzen dafür, dass Leitungsfunktionen im Rahmen verkürzter A</w:t>
      </w:r>
      <w:r>
        <w:rPr>
          <w:rFonts w:eastAsia="Times New Roman"/>
          <w:color w:val="292526"/>
          <w:sz w:val="19"/>
          <w:szCs w:val="19"/>
        </w:rPr>
        <w:t xml:space="preserve">rbeitszeit wahrgenommen werden können. Ein Beispiel sind öffentlich Bedienstete, die in Österreich zur Ausübung eines politischen </w:t>
      </w:r>
      <w:r w:rsidRPr="00C75110">
        <w:rPr>
          <w:rFonts w:eastAsia="Times New Roman"/>
          <w:color w:val="292526"/>
          <w:sz w:val="19"/>
          <w:szCs w:val="19"/>
        </w:rPr>
        <w:t>Demgegenüber gibt es aber empirische Evidenzen dafür, dass Leitungsfunktionen im Rahmen verkürzter Arbeitszeit wahrgenommen werden können. Ein Beispiel sind öffentlich Bedienstete, die in Österreich zur Ausübung eines politischen Man2009s (Nationalrat, Bun</w:t>
      </w:r>
      <w:r w:rsidRPr="00C75110">
        <w:rPr>
          <w:sz w:val="19"/>
          <w:szCs w:val="19"/>
        </w:rPr>
        <w:t>desrat, Landtag) ihre Arbeitszeit reduzieren und ihre berufliche T</w:t>
      </w:r>
      <w:r w:rsidRPr="00C75110">
        <w:rPr>
          <w:sz w:val="19"/>
          <w:szCs w:val="19"/>
        </w:rPr>
        <w:t>tigkeit, selbst in leitenden Posi</w:t>
      </w:r>
      <w:r w:rsidRPr="00C75110">
        <w:rPr>
          <w:sz w:val="19"/>
          <w:szCs w:val="19"/>
        </w:rPr>
        <w:t>tionen, weiter aus</w:t>
      </w:r>
      <w:r w:rsidR="00C75110">
        <w:rPr>
          <w:sz w:val="19"/>
          <w:szCs w:val="19"/>
          <w:lang w:val="de-DE"/>
        </w:rPr>
        <w:t>ü</w:t>
      </w:r>
      <w:r w:rsidRPr="00C75110">
        <w:rPr>
          <w:sz w:val="19"/>
          <w:szCs w:val="19"/>
        </w:rPr>
        <w:t xml:space="preserve">ben. Die entsprechenden gesetzlichen Regelungen, die Beanspruchungspraxis und die politische Rede </w:t>
      </w:r>
      <w:r w:rsidR="00C75110">
        <w:rPr>
          <w:sz w:val="19"/>
          <w:szCs w:val="19"/>
          <w:lang w:val="de-DE"/>
        </w:rPr>
        <w:t>ü</w:t>
      </w:r>
      <w:r w:rsidRPr="00C75110">
        <w:rPr>
          <w:sz w:val="19"/>
          <w:szCs w:val="19"/>
        </w:rPr>
        <w:t>ber Zeit- und T</w:t>
      </w:r>
      <w:r w:rsidR="00C75110">
        <w:rPr>
          <w:sz w:val="19"/>
          <w:szCs w:val="19"/>
          <w:lang w:val="de-DE"/>
        </w:rPr>
        <w:t>ä</w:t>
      </w:r>
      <w:r w:rsidRPr="00C75110">
        <w:rPr>
          <w:sz w:val="19"/>
          <w:szCs w:val="19"/>
        </w:rPr>
        <w:t>tigkeitsstrukturen dieser Gruppe belegen</w:t>
      </w:r>
      <w:r w:rsidR="00C75110">
        <w:rPr>
          <w:sz w:val="19"/>
          <w:szCs w:val="19"/>
          <w:lang w:val="de-DE"/>
        </w:rPr>
        <w:t>,</w:t>
      </w:r>
      <w:r w:rsidRPr="00C75110">
        <w:rPr>
          <w:sz w:val="19"/>
          <w:szCs w:val="19"/>
        </w:rPr>
        <w:t xml:space="preserve"> entgegen den oben skizzierten Positionen</w:t>
      </w:r>
      <w:r w:rsidRPr="00C75110">
        <w:rPr>
          <w:sz w:val="19"/>
          <w:szCs w:val="19"/>
        </w:rPr>
        <w:t>, dass Beruf und Beruf bzw. Beruf und</w:t>
      </w:r>
      <w:r w:rsidRPr="00C75110">
        <w:rPr>
          <w:sz w:val="19"/>
          <w:szCs w:val="19"/>
        </w:rPr>
        <w:t xml:space="preserve"> </w:t>
      </w:r>
      <w:r w:rsidRPr="00C75110">
        <w:rPr>
          <w:sz w:val="19"/>
          <w:szCs w:val="19"/>
        </w:rPr>
        <w:t xml:space="preserve">Karriere vereinbar sind. Diese Form der Arbeitszeitreduktion bei </w:t>
      </w:r>
      <w:r w:rsidR="00C75110">
        <w:rPr>
          <w:sz w:val="19"/>
          <w:szCs w:val="19"/>
          <w:lang w:val="de-DE"/>
        </w:rPr>
        <w:t>ö</w:t>
      </w:r>
      <w:r w:rsidRPr="00C75110">
        <w:rPr>
          <w:sz w:val="19"/>
          <w:szCs w:val="19"/>
        </w:rPr>
        <w:t>ffentlich Bediensteten mit politischem Mandat wird jedoch weder als Teilzeitbesch</w:t>
      </w:r>
      <w:r w:rsidR="00C75110">
        <w:rPr>
          <w:sz w:val="19"/>
          <w:szCs w:val="19"/>
          <w:lang w:val="de-DE"/>
        </w:rPr>
        <w:t>ä</w:t>
      </w:r>
      <w:r w:rsidRPr="00C75110">
        <w:rPr>
          <w:sz w:val="19"/>
          <w:szCs w:val="19"/>
        </w:rPr>
        <w:t>ftigung diskutiert, noch ist sie unter diesem Begriff gesetzlich geregelt. Der Gesetzgeber verwendet hierf</w:t>
      </w:r>
      <w:r w:rsidR="00C75110">
        <w:rPr>
          <w:sz w:val="19"/>
          <w:szCs w:val="19"/>
          <w:lang w:val="de-DE"/>
        </w:rPr>
        <w:t>ü</w:t>
      </w:r>
      <w:r w:rsidRPr="00C75110">
        <w:rPr>
          <w:sz w:val="19"/>
          <w:szCs w:val="19"/>
        </w:rPr>
        <w:t xml:space="preserve">r vielmehr den Begriff der Dienstfreistellung. Die Debatte zur reduzierten Arbeitszeit (Teilzeit) wird mit </w:t>
      </w:r>
      <w:r w:rsidR="00C75110">
        <w:rPr>
          <w:sz w:val="19"/>
          <w:szCs w:val="19"/>
          <w:lang w:val="de-DE"/>
        </w:rPr>
        <w:t>ä</w:t>
      </w:r>
      <w:r w:rsidRPr="00C75110">
        <w:rPr>
          <w:sz w:val="19"/>
          <w:szCs w:val="19"/>
        </w:rPr>
        <w:t>u</w:t>
      </w:r>
      <w:r w:rsidR="00C75110">
        <w:rPr>
          <w:sz w:val="19"/>
          <w:szCs w:val="19"/>
          <w:lang w:val="de-DE"/>
        </w:rPr>
        <w:t>ß</w:t>
      </w:r>
      <w:r w:rsidRPr="00C75110">
        <w:rPr>
          <w:sz w:val="19"/>
          <w:szCs w:val="19"/>
        </w:rPr>
        <w:t>erst unterschiedlichen Argumenten gef</w:t>
      </w:r>
      <w:r w:rsidR="00C75110">
        <w:rPr>
          <w:sz w:val="19"/>
          <w:szCs w:val="19"/>
          <w:lang w:val="de-DE"/>
        </w:rPr>
        <w:t>ü</w:t>
      </w:r>
      <w:r w:rsidRPr="00C75110">
        <w:rPr>
          <w:sz w:val="19"/>
          <w:szCs w:val="19"/>
        </w:rPr>
        <w:t>hrt und h</w:t>
      </w:r>
      <w:r w:rsidR="00C75110">
        <w:rPr>
          <w:sz w:val="19"/>
          <w:szCs w:val="19"/>
          <w:lang w:val="de-DE"/>
        </w:rPr>
        <w:t>ä</w:t>
      </w:r>
      <w:r w:rsidRPr="00C75110">
        <w:rPr>
          <w:sz w:val="19"/>
          <w:szCs w:val="19"/>
        </w:rPr>
        <w:t>ngt vor allem damit zusammen, ob geschlechtsspezifisch konnotierte oder geschlechtsneutralisierte</w:t>
      </w:r>
      <w:r w:rsidRPr="00C75110">
        <w:rPr>
          <w:sz w:val="19"/>
          <w:szCs w:val="19"/>
        </w:rPr>
        <w:t xml:space="preserve"> Annahmen unterlegt werden. Vereinbarkeit von F</w:t>
      </w:r>
      <w:r w:rsidR="00C75110">
        <w:rPr>
          <w:sz w:val="19"/>
          <w:szCs w:val="19"/>
          <w:lang w:val="de-DE"/>
        </w:rPr>
        <w:t>ü</w:t>
      </w:r>
      <w:r w:rsidRPr="00C75110">
        <w:rPr>
          <w:sz w:val="19"/>
          <w:szCs w:val="19"/>
        </w:rPr>
        <w:t xml:space="preserve">hrungspositionen mit einer </w:t>
      </w:r>
      <w:r w:rsidRPr="00C75110">
        <w:rPr>
          <w:sz w:val="19"/>
          <w:szCs w:val="19"/>
        </w:rPr>
        <w:t>anderen</w:t>
      </w:r>
      <w:r w:rsidRPr="00C75110">
        <w:rPr>
          <w:sz w:val="19"/>
          <w:szCs w:val="19"/>
        </w:rPr>
        <w:t xml:space="preserve"> T</w:t>
      </w:r>
      <w:r w:rsidR="00C75110">
        <w:rPr>
          <w:sz w:val="19"/>
          <w:szCs w:val="19"/>
          <w:lang w:val="de-DE"/>
        </w:rPr>
        <w:t>ä</w:t>
      </w:r>
      <w:r w:rsidRPr="00C75110">
        <w:rPr>
          <w:sz w:val="19"/>
          <w:szCs w:val="19"/>
        </w:rPr>
        <w:t>tigkeit gilt im Falle politischer MandatarInnen als m</w:t>
      </w:r>
      <w:r w:rsidR="00C75110">
        <w:rPr>
          <w:sz w:val="19"/>
          <w:szCs w:val="19"/>
          <w:lang w:val="de-DE"/>
        </w:rPr>
        <w:t>ö</w:t>
      </w:r>
      <w:r w:rsidRPr="00C75110">
        <w:rPr>
          <w:sz w:val="19"/>
          <w:szCs w:val="19"/>
        </w:rPr>
        <w:t>glich bzw. als nicht m</w:t>
      </w:r>
      <w:r w:rsidR="00C75110">
        <w:rPr>
          <w:sz w:val="19"/>
          <w:szCs w:val="19"/>
          <w:lang w:val="de-DE"/>
        </w:rPr>
        <w:t>ö</w:t>
      </w:r>
      <w:r w:rsidRPr="00C75110">
        <w:rPr>
          <w:sz w:val="19"/>
          <w:szCs w:val="19"/>
        </w:rPr>
        <w:t>glich, wenn es sich um die Vereinbarung von Familie und Beruf handelt. Auf diese Widerspr</w:t>
      </w:r>
      <w:r w:rsidR="00C75110">
        <w:rPr>
          <w:sz w:val="19"/>
          <w:szCs w:val="19"/>
          <w:lang w:val="de-DE"/>
        </w:rPr>
        <w:t>ü</w:t>
      </w:r>
      <w:r w:rsidRPr="00C75110">
        <w:rPr>
          <w:sz w:val="19"/>
          <w:szCs w:val="19"/>
        </w:rPr>
        <w:t>ch</w:t>
      </w:r>
      <w:r w:rsidRPr="00C75110">
        <w:rPr>
          <w:sz w:val="19"/>
          <w:szCs w:val="19"/>
        </w:rPr>
        <w:t>e in politischen Reden und Argumentationsfiguren stieflen wir im Rahmen eines vom Bundesministerium f</w:t>
      </w:r>
      <w:r w:rsidR="00C75110">
        <w:rPr>
          <w:sz w:val="19"/>
          <w:szCs w:val="19"/>
          <w:lang w:val="de-DE"/>
        </w:rPr>
        <w:t>ü</w:t>
      </w:r>
      <w:r w:rsidRPr="00C75110">
        <w:rPr>
          <w:sz w:val="19"/>
          <w:szCs w:val="19"/>
        </w:rPr>
        <w:t>r Wissenschaft, Bildung und Kunst finanzierten Forschungsprojektes, das sich mit der diskursiven Konstruktion von Geschlechterdifferenzen ¸ber Teilzeit un</w:t>
      </w:r>
      <w:r w:rsidRPr="00C75110">
        <w:rPr>
          <w:sz w:val="19"/>
          <w:szCs w:val="19"/>
        </w:rPr>
        <w:t>d Zeitpolitik befasste (Dackweiler/Rosenberger 2002).1 Ergebnisse dieses Projektes stellen wir im Folgenden vor: Zun</w:t>
      </w:r>
      <w:r w:rsidR="00C75110">
        <w:rPr>
          <w:sz w:val="19"/>
          <w:szCs w:val="19"/>
          <w:lang w:val="de-DE"/>
        </w:rPr>
        <w:t>ä</w:t>
      </w:r>
      <w:r w:rsidRPr="00C75110">
        <w:rPr>
          <w:sz w:val="19"/>
          <w:szCs w:val="19"/>
        </w:rPr>
        <w:t>chst f</w:t>
      </w:r>
      <w:r w:rsidR="00C75110">
        <w:rPr>
          <w:sz w:val="19"/>
          <w:szCs w:val="19"/>
          <w:lang w:val="de-DE"/>
        </w:rPr>
        <w:t>ü</w:t>
      </w:r>
      <w:r w:rsidRPr="00C75110">
        <w:rPr>
          <w:sz w:val="19"/>
          <w:szCs w:val="19"/>
        </w:rPr>
        <w:t>hren wir die gesetzlichen Bestimmungen aus, die f</w:t>
      </w:r>
      <w:r w:rsidR="00C75110">
        <w:rPr>
          <w:sz w:val="19"/>
          <w:szCs w:val="19"/>
          <w:lang w:val="de-DE"/>
        </w:rPr>
        <w:t>ü</w:t>
      </w:r>
      <w:r w:rsidRPr="00C75110">
        <w:rPr>
          <w:sz w:val="19"/>
          <w:szCs w:val="19"/>
        </w:rPr>
        <w:t>r diese Gruppe Teilzeitarbeit de facto in allen Positionen erm</w:t>
      </w:r>
      <w:r w:rsidR="00C75110">
        <w:rPr>
          <w:sz w:val="19"/>
          <w:szCs w:val="19"/>
          <w:lang w:val="de-DE"/>
        </w:rPr>
        <w:t>ö</w:t>
      </w:r>
      <w:r w:rsidRPr="00C75110">
        <w:rPr>
          <w:sz w:val="19"/>
          <w:szCs w:val="19"/>
        </w:rPr>
        <w:t xml:space="preserve">glicht und belegen </w:t>
      </w:r>
      <w:r w:rsidRPr="00C75110">
        <w:rPr>
          <w:sz w:val="19"/>
          <w:szCs w:val="19"/>
        </w:rPr>
        <w:t>die tats</w:t>
      </w:r>
      <w:r w:rsidR="00C75110">
        <w:rPr>
          <w:sz w:val="19"/>
          <w:szCs w:val="19"/>
          <w:lang w:val="de-DE"/>
        </w:rPr>
        <w:t>ä</w:t>
      </w:r>
      <w:r w:rsidRPr="00C75110">
        <w:rPr>
          <w:sz w:val="19"/>
          <w:szCs w:val="19"/>
        </w:rPr>
        <w:t xml:space="preserve">chliche Inanspruchnahme der </w:t>
      </w:r>
      <w:r w:rsidRPr="00C75110">
        <w:rPr>
          <w:sz w:val="19"/>
          <w:szCs w:val="19"/>
        </w:rPr>
        <w:t>Dienstfreistellungen</w:t>
      </w:r>
      <w:r w:rsidR="00C75110">
        <w:rPr>
          <w:sz w:val="19"/>
          <w:szCs w:val="19"/>
          <w:lang w:val="de-DE"/>
        </w:rPr>
        <w:t>,</w:t>
      </w:r>
      <w:r w:rsidRPr="00C75110">
        <w:rPr>
          <w:sz w:val="19"/>
          <w:szCs w:val="19"/>
        </w:rPr>
        <w:t xml:space="preserve"> also der reduzierten Arbeitszeit auch in F</w:t>
      </w:r>
      <w:r w:rsidR="00C75110">
        <w:rPr>
          <w:sz w:val="19"/>
          <w:szCs w:val="19"/>
          <w:lang w:val="de-DE"/>
        </w:rPr>
        <w:t>ü</w:t>
      </w:r>
      <w:r w:rsidRPr="00C75110">
        <w:rPr>
          <w:sz w:val="19"/>
          <w:szCs w:val="19"/>
        </w:rPr>
        <w:t xml:space="preserve">hrungspositionen </w:t>
      </w:r>
    </w:p>
    <w:sectPr w:rsidR="00285A8F">
      <w:type w:val="continuous"/>
      <w:pgSz w:w="11906" w:h="16838"/>
      <w:pgMar w:top="1417" w:right="1417" w:bottom="1134" w:left="1417" w:header="0" w:footer="708" w:gutter="0"/>
      <w:cols w:num="2"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28129" w14:textId="77777777" w:rsidR="00A4293A" w:rsidRDefault="00A4293A">
      <w:r>
        <w:separator/>
      </w:r>
    </w:p>
  </w:endnote>
  <w:endnote w:type="continuationSeparator" w:id="0">
    <w:p w14:paraId="7B707D72" w14:textId="77777777" w:rsidR="00A4293A" w:rsidRDefault="00A429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35566" w14:textId="77777777" w:rsidR="00285A8F" w:rsidRDefault="00285A8F">
    <w:pPr>
      <w:pStyle w:val="Fuzeile"/>
      <w:jc w:val="right"/>
      <w:rPr>
        <w:sz w:val="20"/>
        <w:szCs w:val="20"/>
        <w:lang w:val="de-DE"/>
      </w:rPr>
    </w:pPr>
  </w:p>
  <w:p w14:paraId="1E3FEC38" w14:textId="77777777" w:rsidR="00285A8F" w:rsidRDefault="00A4293A">
    <w:pPr>
      <w:pStyle w:val="Fuzeile"/>
      <w:rPr>
        <w:sz w:val="20"/>
        <w:szCs w:val="20"/>
        <w:lang w:val="de-DE"/>
      </w:rPr>
    </w:pPr>
    <w:proofErr w:type="spellStart"/>
    <w:r>
      <w:rPr>
        <w:sz w:val="20"/>
        <w:szCs w:val="20"/>
        <w:lang w:val="de-DE"/>
      </w:rPr>
      <w:t>dfdf</w:t>
    </w:r>
    <w:proofErr w:type="spellEnd"/>
  </w:p>
  <w:p w14:paraId="1555E2BC" w14:textId="77777777" w:rsidR="00285A8F" w:rsidRDefault="00A4293A">
    <w:pPr>
      <w:pStyle w:val="Fuzeile"/>
      <w:jc w:val="right"/>
      <w:rPr>
        <w:sz w:val="20"/>
        <w:szCs w:val="20"/>
        <w:lang w:val="de-DE"/>
      </w:rPr>
    </w:pPr>
    <w:r>
      <w:rPr>
        <w:sz w:val="20"/>
        <w:szCs w:val="20"/>
        <w:lang w:val="de-DE"/>
      </w:rPr>
      <w:t>403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CFFB44" w14:textId="77777777" w:rsidR="00A4293A" w:rsidRDefault="00A4293A">
      <w:r>
        <w:separator/>
      </w:r>
    </w:p>
  </w:footnote>
  <w:footnote w:type="continuationSeparator" w:id="0">
    <w:p w14:paraId="020413BA" w14:textId="77777777" w:rsidR="00A4293A" w:rsidRDefault="00A429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8F"/>
    <w:rsid w:val="00285A8F"/>
    <w:rsid w:val="00A4293A"/>
    <w:rsid w:val="00C75110"/>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2593"/>
  <w15:docId w15:val="{C7CEA618-FD6E-4D08-A558-FE6358E2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7220"/>
    <w:rPr>
      <w:rFonts w:ascii="Times New Roman" w:eastAsiaTheme="minorEastAsia" w:hAnsi="Times New Roman" w:cs="Times New Roman"/>
      <w:lan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C8495C"/>
    <w:rPr>
      <w:rFonts w:ascii="Times New Roman" w:eastAsiaTheme="minorEastAsia" w:hAnsi="Times New Roman" w:cs="Times New Roman"/>
      <w:lang/>
    </w:rPr>
  </w:style>
  <w:style w:type="character" w:customStyle="1" w:styleId="FuzeileZchn">
    <w:name w:val="Fußzeile Zchn"/>
    <w:basedOn w:val="Absatz-Standardschriftart"/>
    <w:link w:val="Fuzeile"/>
    <w:uiPriority w:val="99"/>
    <w:qFormat/>
    <w:rsid w:val="00C8495C"/>
    <w:rPr>
      <w:rFonts w:ascii="Times New Roman" w:eastAsiaTheme="minorEastAsia" w:hAnsi="Times New Roman" w:cs="Times New Roman"/>
      <w:lang/>
    </w:rPr>
  </w:style>
  <w:style w:type="paragraph" w:customStyle="1" w:styleId="Heading">
    <w:name w:val="Heading"/>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Index">
    <w:name w:val="Index"/>
    <w:basedOn w:val="Standard"/>
    <w:qFormat/>
    <w:pPr>
      <w:suppressLineNumbers/>
    </w:pPr>
    <w:rPr>
      <w:rFonts w:cs="Lohit Devanagari"/>
    </w:rPr>
  </w:style>
  <w:style w:type="paragraph" w:customStyle="1" w:styleId="HeaderandFooter">
    <w:name w:val="Header and Footer"/>
    <w:basedOn w:val="Standard"/>
    <w:qFormat/>
  </w:style>
  <w:style w:type="paragraph" w:styleId="Kopfzeile">
    <w:name w:val="header"/>
    <w:basedOn w:val="Standard"/>
    <w:link w:val="KopfzeileZchn"/>
    <w:uiPriority w:val="99"/>
    <w:unhideWhenUsed/>
    <w:rsid w:val="00C8495C"/>
    <w:pPr>
      <w:tabs>
        <w:tab w:val="center" w:pos="4536"/>
        <w:tab w:val="right" w:pos="9072"/>
      </w:tabs>
    </w:pPr>
  </w:style>
  <w:style w:type="paragraph" w:styleId="Fuzeile">
    <w:name w:val="footer"/>
    <w:basedOn w:val="Standard"/>
    <w:link w:val="FuzeileZchn"/>
    <w:uiPriority w:val="99"/>
    <w:unhideWhenUsed/>
    <w:rsid w:val="00C8495C"/>
    <w:pPr>
      <w:tabs>
        <w:tab w:val="center" w:pos="4536"/>
        <w:tab w:val="right" w:pos="907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511</Words>
  <Characters>3223</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Zafar</dc:creator>
  <dc:description/>
  <cp:lastModifiedBy>Jennifer Gerbl</cp:lastModifiedBy>
  <cp:revision>37</cp:revision>
  <dcterms:created xsi:type="dcterms:W3CDTF">2020-07-12T16:05:00Z</dcterms:created>
  <dcterms:modified xsi:type="dcterms:W3CDTF">2021-02-07T20:52:00Z</dcterms:modified>
  <dc:language>en-US</dc:language>
</cp:coreProperties>
</file>