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B7545" w14:textId="77777777" w:rsidR="00B40BA8" w:rsidRDefault="00B40BA8" w:rsidP="00B4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sz w:val="52"/>
          <w:szCs w:val="52"/>
        </w:rPr>
      </w:pPr>
    </w:p>
    <w:p w14:paraId="6F060400" w14:textId="6B608140" w:rsidR="00B40BA8" w:rsidRPr="00D53E23" w:rsidRDefault="00E545AA" w:rsidP="00D53E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b/>
          <w:bCs/>
          <w:sz w:val="56"/>
          <w:szCs w:val="56"/>
        </w:rPr>
      </w:pPr>
      <w:proofErr w:type="spellStart"/>
      <w:r>
        <w:rPr>
          <w:b/>
          <w:bCs/>
          <w:sz w:val="56"/>
          <w:szCs w:val="56"/>
        </w:rPr>
        <w:t>journal</w:t>
      </w:r>
      <w:proofErr w:type="spellEnd"/>
    </w:p>
    <w:p w14:paraId="759A5F49" w14:textId="77777777" w:rsidR="00B40BA8" w:rsidRDefault="00B40BA8" w:rsidP="00B4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sz w:val="52"/>
          <w:szCs w:val="52"/>
        </w:rPr>
      </w:pPr>
    </w:p>
    <w:p w14:paraId="464F9D02" w14:textId="3E467A3E" w:rsidR="00B40BA8" w:rsidRPr="00B40BA8" w:rsidRDefault="00B40BA8" w:rsidP="00B4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</w:pPr>
      <w:r w:rsidRPr="00B40BA8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  <w:t>INSTITUT FÜR IBEROAMERIKA-KUNDE</w:t>
      </w:r>
    </w:p>
    <w:p w14:paraId="57868F32" w14:textId="77777777" w:rsidR="001511FF" w:rsidRDefault="001511FF">
      <w:pPr>
        <w:spacing w:line="200" w:lineRule="exact"/>
        <w:rPr>
          <w:sz w:val="24"/>
          <w:szCs w:val="24"/>
        </w:rPr>
      </w:pPr>
    </w:p>
    <w:p w14:paraId="60304695" w14:textId="77777777" w:rsidR="001511FF" w:rsidRDefault="001511FF">
      <w:pPr>
        <w:spacing w:line="200" w:lineRule="exact"/>
        <w:rPr>
          <w:sz w:val="24"/>
          <w:szCs w:val="24"/>
        </w:rPr>
      </w:pPr>
    </w:p>
    <w:p w14:paraId="37109EAB" w14:textId="77777777" w:rsidR="001511FF" w:rsidRDefault="00B40BA8">
      <w:pPr>
        <w:spacing w:line="326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7314963B" wp14:editId="383C6901">
                <wp:simplePos x="0" y="0"/>
                <wp:positionH relativeFrom="column">
                  <wp:posOffset>-9525</wp:posOffset>
                </wp:positionH>
                <wp:positionV relativeFrom="paragraph">
                  <wp:posOffset>34290</wp:posOffset>
                </wp:positionV>
                <wp:extent cx="6353175" cy="0"/>
                <wp:effectExtent l="0" t="0" r="0" b="0"/>
                <wp:wrapNone/>
                <wp:docPr id="3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5317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0D9E19" id="Shape 2" o:spid="_x0000_s1026" style="position:absolute;z-index:-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2.7pt" to="499.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595CACEF" w14:textId="77777777" w:rsidR="00CE71C8" w:rsidRDefault="00CE71C8">
      <w:pPr>
        <w:tabs>
          <w:tab w:val="left" w:pos="3820"/>
          <w:tab w:val="left" w:pos="7280"/>
        </w:tabs>
        <w:rPr>
          <w:rFonts w:ascii="Arial" w:eastAsia="Arial" w:hAnsi="Arial" w:cs="Arial"/>
          <w:sz w:val="24"/>
          <w:szCs w:val="24"/>
        </w:rPr>
        <w:sectPr w:rsidR="00CE71C8" w:rsidSect="00B40BA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0" w:h="16840"/>
          <w:pgMar w:top="720" w:right="720" w:bottom="720" w:left="720" w:header="0" w:footer="1077" w:gutter="0"/>
          <w:cols w:space="720" w:equalWidth="0">
            <w:col w:w="9760"/>
          </w:cols>
          <w:docGrid w:linePitch="299"/>
        </w:sectPr>
      </w:pPr>
    </w:p>
    <w:p w14:paraId="13A3C61D" w14:textId="3CBD5E82" w:rsidR="001511FF" w:rsidRDefault="00283F87" w:rsidP="00CE71C8">
      <w:pPr>
        <w:tabs>
          <w:tab w:val="left" w:pos="3820"/>
          <w:tab w:val="left" w:pos="7280"/>
        </w:tabs>
        <w:ind w:right="-37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Nummer</w:t>
      </w:r>
    </w:p>
    <w:p w14:paraId="450DAFF8" w14:textId="39248F11" w:rsidR="00CE71C8" w:rsidRDefault="00CE71C8" w:rsidP="00CE71C8">
      <w:pPr>
        <w:tabs>
          <w:tab w:val="left" w:pos="3820"/>
          <w:tab w:val="left" w:pos="7280"/>
        </w:tabs>
        <w:ind w:right="-375"/>
        <w:rPr>
          <w:rFonts w:ascii="Arial" w:eastAsia="Arial" w:hAnsi="Arial" w:cs="Arial"/>
          <w:sz w:val="24"/>
          <w:szCs w:val="24"/>
        </w:rPr>
      </w:pPr>
    </w:p>
    <w:p w14:paraId="4A914E13" w14:textId="77488F1F" w:rsidR="00CE71C8" w:rsidRPr="00923FFD" w:rsidRDefault="00E545AA" w:rsidP="00CE71C8">
      <w:pPr>
        <w:tabs>
          <w:tab w:val="left" w:pos="3820"/>
          <w:tab w:val="left" w:pos="7280"/>
        </w:tabs>
        <w:ind w:right="617"/>
        <w:jc w:val="right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doi</w:t>
      </w:r>
      <w:proofErr w:type="spellEnd"/>
    </w:p>
    <w:p w14:paraId="08E64D88" w14:textId="77777777" w:rsidR="00CE71C8" w:rsidRDefault="00CE71C8" w:rsidP="00CE71C8">
      <w:pPr>
        <w:tabs>
          <w:tab w:val="left" w:pos="3820"/>
          <w:tab w:val="left" w:pos="7280"/>
        </w:tabs>
        <w:ind w:right="617"/>
        <w:jc w:val="right"/>
        <w:rPr>
          <w:sz w:val="20"/>
          <w:szCs w:val="20"/>
        </w:rPr>
      </w:pPr>
    </w:p>
    <w:p w14:paraId="215B7091" w14:textId="77777777" w:rsidR="00CE71C8" w:rsidRDefault="00CE71C8">
      <w:pPr>
        <w:spacing w:line="20" w:lineRule="exact"/>
        <w:rPr>
          <w:sz w:val="24"/>
          <w:szCs w:val="24"/>
        </w:rPr>
        <w:sectPr w:rsidR="00CE71C8" w:rsidSect="00CE71C8">
          <w:type w:val="continuous"/>
          <w:pgSz w:w="11900" w:h="16840"/>
          <w:pgMar w:top="720" w:right="720" w:bottom="720" w:left="720" w:header="0" w:footer="1077" w:gutter="0"/>
          <w:cols w:num="2" w:space="720"/>
          <w:docGrid w:linePitch="299"/>
        </w:sectPr>
      </w:pPr>
    </w:p>
    <w:p w14:paraId="0CF3FEA9" w14:textId="1A20B5C1" w:rsidR="001511FF" w:rsidRDefault="001511FF">
      <w:pPr>
        <w:spacing w:line="20" w:lineRule="exact"/>
        <w:rPr>
          <w:sz w:val="24"/>
          <w:szCs w:val="24"/>
        </w:rPr>
      </w:pPr>
    </w:p>
    <w:p w14:paraId="077D4EBF" w14:textId="73E97591" w:rsidR="001511FF" w:rsidRDefault="00CE71C8">
      <w:pPr>
        <w:spacing w:line="376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04950972" wp14:editId="3FE43AC7">
                <wp:simplePos x="0" y="0"/>
                <wp:positionH relativeFrom="column">
                  <wp:posOffset>-9525</wp:posOffset>
                </wp:positionH>
                <wp:positionV relativeFrom="paragraph">
                  <wp:posOffset>106045</wp:posOffset>
                </wp:positionV>
                <wp:extent cx="6353175" cy="4445"/>
                <wp:effectExtent l="0" t="0" r="28575" b="33655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53175" cy="44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2A4133" id="Shape 2" o:spid="_x0000_s1026" style="position:absolute;z-index:-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8.35pt" to="499.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6D42B573" w14:textId="377770CF" w:rsidR="001511FF" w:rsidRDefault="00E545AA">
      <w:pPr>
        <w:ind w:right="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>title</w:t>
      </w:r>
    </w:p>
    <w:p w14:paraId="3337E23B" w14:textId="77777777" w:rsidR="001511FF" w:rsidRDefault="001511FF">
      <w:pPr>
        <w:spacing w:line="223" w:lineRule="exact"/>
        <w:rPr>
          <w:sz w:val="24"/>
          <w:szCs w:val="24"/>
        </w:rPr>
      </w:pPr>
    </w:p>
    <w:p w14:paraId="01EEC92E" w14:textId="5E016F5E" w:rsidR="001511FF" w:rsidRPr="00C74D4A" w:rsidRDefault="00C74D4A">
      <w:pPr>
        <w:ind w:right="20"/>
        <w:jc w:val="center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4"/>
          <w:szCs w:val="24"/>
        </w:rPr>
        <w:t>author</w:t>
      </w:r>
      <w:proofErr w:type="spellEnd"/>
    </w:p>
    <w:p w14:paraId="40A891B9" w14:textId="77777777" w:rsidR="001511FF" w:rsidRDefault="001511FF">
      <w:pPr>
        <w:spacing w:line="92" w:lineRule="exact"/>
        <w:rPr>
          <w:sz w:val="24"/>
          <w:szCs w:val="24"/>
        </w:rPr>
      </w:pPr>
    </w:p>
    <w:p w14:paraId="1DEB3FE7" w14:textId="3AF81498" w:rsidR="001511FF" w:rsidRDefault="0080334B" w:rsidP="00176633">
      <w:pPr>
        <w:spacing w:line="245" w:lineRule="auto"/>
        <w:rPr>
          <w:sz w:val="20"/>
          <w:szCs w:val="20"/>
        </w:rPr>
      </w:pPr>
      <w:proofErr w:type="spellStart"/>
      <w:r>
        <w:rPr>
          <w:rFonts w:eastAsia="Times New Roman"/>
          <w:i/>
          <w:iCs/>
          <w:sz w:val="21"/>
          <w:szCs w:val="21"/>
        </w:rPr>
        <w:t>gerintroduction</w:t>
      </w:r>
      <w:proofErr w:type="spellEnd"/>
    </w:p>
    <w:p w14:paraId="5F955A40" w14:textId="77777777" w:rsidR="001511FF" w:rsidRDefault="001511FF"/>
    <w:p w14:paraId="7474BDBD" w14:textId="77777777" w:rsidR="00C40529" w:rsidRDefault="00C40529"/>
    <w:p w14:paraId="64FF354A" w14:textId="3C6B1E43" w:rsidR="00C40529" w:rsidRDefault="00C40529">
      <w:pPr>
        <w:sectPr w:rsidR="00C40529" w:rsidSect="00CE71C8">
          <w:type w:val="continuous"/>
          <w:pgSz w:w="11900" w:h="16840"/>
          <w:pgMar w:top="720" w:right="720" w:bottom="720" w:left="720" w:header="0" w:footer="1077" w:gutter="0"/>
          <w:cols w:space="720" w:equalWidth="0">
            <w:col w:w="9760"/>
          </w:cols>
          <w:docGrid w:linePitch="299"/>
        </w:sectPr>
      </w:pPr>
    </w:p>
    <w:p w14:paraId="2DAC56D0" w14:textId="77777777" w:rsidR="001511FF" w:rsidRDefault="001511FF">
      <w:pPr>
        <w:spacing w:line="205" w:lineRule="exact"/>
        <w:rPr>
          <w:sz w:val="24"/>
          <w:szCs w:val="24"/>
        </w:rPr>
      </w:pPr>
    </w:p>
    <w:p w14:paraId="478B37DD" w14:textId="77777777" w:rsidR="001511FF" w:rsidRDefault="00283F87">
      <w:pPr>
        <w:rPr>
          <w:sz w:val="20"/>
          <w:szCs w:val="20"/>
        </w:rPr>
      </w:pPr>
      <w:r>
        <w:rPr>
          <w:rFonts w:eastAsia="Times New Roman"/>
          <w:b/>
          <w:bCs/>
          <w:sz w:val="21"/>
          <w:szCs w:val="21"/>
        </w:rPr>
        <w:t>Lulas Auf und Ab in der Meinungsgunst</w:t>
      </w:r>
    </w:p>
    <w:p w14:paraId="42EAEC02" w14:textId="77777777" w:rsidR="001511FF" w:rsidRDefault="001511FF">
      <w:pPr>
        <w:spacing w:line="118" w:lineRule="exact"/>
        <w:rPr>
          <w:sz w:val="24"/>
          <w:szCs w:val="24"/>
        </w:rPr>
      </w:pPr>
    </w:p>
    <w:p w14:paraId="496CD095" w14:textId="77777777" w:rsidR="001511FF" w:rsidRDefault="00283F87">
      <w:pPr>
        <w:spacing w:line="253" w:lineRule="auto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Den „Teflon-Effekt“ – Markenzeichen von Fernando Henrique Cardoso bei jeder Krisenbewältigung – scheint Lula von seinem Amtsvorgänger nicht ganz geerbt zu haben. Zwar blieben die negativen Aus-wirkungen von Rezession und </w:t>
      </w:r>
      <w:proofErr w:type="spellStart"/>
      <w:r>
        <w:rPr>
          <w:rFonts w:eastAsia="Times New Roman"/>
          <w:sz w:val="20"/>
          <w:szCs w:val="20"/>
        </w:rPr>
        <w:t>Beschäftigungslosig-keit</w:t>
      </w:r>
      <w:proofErr w:type="spellEnd"/>
      <w:r>
        <w:rPr>
          <w:rFonts w:eastAsia="Times New Roman"/>
          <w:sz w:val="20"/>
          <w:szCs w:val="20"/>
        </w:rPr>
        <w:t xml:space="preserve"> des letzten Jahres noch bis Dezember 2003 kaum als Makel an Lula haften, und dessen </w:t>
      </w:r>
      <w:proofErr w:type="spellStart"/>
      <w:r>
        <w:rPr>
          <w:rFonts w:eastAsia="Times New Roman"/>
          <w:sz w:val="20"/>
          <w:szCs w:val="20"/>
        </w:rPr>
        <w:t>Populari</w:t>
      </w:r>
      <w:proofErr w:type="spellEnd"/>
      <w:r>
        <w:rPr>
          <w:rFonts w:eastAsia="Times New Roman"/>
          <w:sz w:val="20"/>
          <w:szCs w:val="20"/>
        </w:rPr>
        <w:t>-tät erfreute sich – übrigens auch heute noch – im Vergleich zu seinen Vorgängern beachtlicher Re-</w:t>
      </w:r>
      <w:proofErr w:type="spellStart"/>
      <w:r>
        <w:rPr>
          <w:rFonts w:eastAsia="Times New Roman"/>
          <w:sz w:val="20"/>
          <w:szCs w:val="20"/>
        </w:rPr>
        <w:t>kordhöhen</w:t>
      </w:r>
      <w:proofErr w:type="spellEnd"/>
      <w:r>
        <w:rPr>
          <w:rFonts w:eastAsia="Times New Roman"/>
          <w:sz w:val="20"/>
          <w:szCs w:val="20"/>
        </w:rPr>
        <w:t xml:space="preserve">. Doch Mitte März 2004 registrierte das brasilianische Meinungsforschungsinstitut IBOPE einen ersten dramatischen Rückgang in der </w:t>
      </w:r>
      <w:proofErr w:type="spellStart"/>
      <w:r>
        <w:rPr>
          <w:rFonts w:eastAsia="Times New Roman"/>
          <w:sz w:val="20"/>
          <w:szCs w:val="20"/>
        </w:rPr>
        <w:t>allge</w:t>
      </w:r>
      <w:proofErr w:type="spellEnd"/>
      <w:r>
        <w:rPr>
          <w:rFonts w:eastAsia="Times New Roman"/>
          <w:sz w:val="20"/>
          <w:szCs w:val="20"/>
        </w:rPr>
        <w:t>-meinen Einschätzung. Er betraf nicht nur die Regie-</w:t>
      </w:r>
      <w:proofErr w:type="spellStart"/>
      <w:r>
        <w:rPr>
          <w:rFonts w:eastAsia="Times New Roman"/>
          <w:sz w:val="20"/>
          <w:szCs w:val="20"/>
        </w:rPr>
        <w:t>rungsleistungen</w:t>
      </w:r>
      <w:proofErr w:type="spellEnd"/>
      <w:r>
        <w:rPr>
          <w:rFonts w:eastAsia="Times New Roman"/>
          <w:sz w:val="20"/>
          <w:szCs w:val="20"/>
        </w:rPr>
        <w:t xml:space="preserve"> insgesamt, sondern darüber hinaus – und sogar noch stärker – auch die persönliche Per-</w:t>
      </w:r>
      <w:proofErr w:type="spellStart"/>
      <w:r>
        <w:rPr>
          <w:rFonts w:eastAsia="Times New Roman"/>
          <w:sz w:val="20"/>
          <w:szCs w:val="20"/>
        </w:rPr>
        <w:t>formanz</w:t>
      </w:r>
      <w:proofErr w:type="spellEnd"/>
      <w:r>
        <w:rPr>
          <w:rFonts w:eastAsia="Times New Roman"/>
          <w:sz w:val="20"/>
          <w:szCs w:val="20"/>
        </w:rPr>
        <w:t xml:space="preserve"> Lulas als Regierungschef: Fiel die positive Bewertung der Regierungsleistungen insgesamt im Vergleich zu Dezember 2003 um 7% auf 34%, so schrumpfte das Vertrauen in Lula um 9% auf 60%, und die Zustimmung zu seinem Regierungsstil fiel schlagartig gar um 12% auf 54%.</w:t>
      </w:r>
    </w:p>
    <w:p w14:paraId="6E8AC562" w14:textId="77777777" w:rsidR="001511FF" w:rsidRDefault="001511FF">
      <w:pPr>
        <w:spacing w:line="4" w:lineRule="exact"/>
        <w:rPr>
          <w:sz w:val="24"/>
          <w:szCs w:val="24"/>
        </w:rPr>
      </w:pPr>
    </w:p>
    <w:p w14:paraId="7A2D0C40" w14:textId="77777777" w:rsidR="006F288A" w:rsidRDefault="00283F87" w:rsidP="006F288A">
      <w:pPr>
        <w:spacing w:line="293" w:lineRule="auto"/>
        <w:ind w:firstLine="283"/>
        <w:jc w:val="both"/>
        <w:rPr>
          <w:sz w:val="20"/>
          <w:szCs w:val="20"/>
        </w:rPr>
      </w:pPr>
      <w:r>
        <w:rPr>
          <w:rFonts w:eastAsia="Times New Roman"/>
          <w:sz w:val="18"/>
          <w:szCs w:val="18"/>
        </w:rPr>
        <w:t xml:space="preserve">Die Tatsache, dass die Zustimmung sich immer noch auf einer Rekordhöhe befindet, mag mit einem doch noch immer vorhandenen „Teflon-Phänomen“ zusammenhängen – schließlich verfügt Lula als ehe-maliger kämpferischer Arbeiterführer und als </w:t>
      </w:r>
      <w:proofErr w:type="spellStart"/>
      <w:r>
        <w:rPr>
          <w:rFonts w:eastAsia="Times New Roman"/>
          <w:sz w:val="18"/>
          <w:szCs w:val="18"/>
        </w:rPr>
        <w:t>begna-</w:t>
      </w:r>
      <w:r>
        <w:rPr>
          <w:rFonts w:eastAsia="Times New Roman"/>
          <w:sz w:val="20"/>
          <w:szCs w:val="20"/>
        </w:rPr>
        <w:t>deter</w:t>
      </w:r>
      <w:proofErr w:type="spellEnd"/>
      <w:r>
        <w:rPr>
          <w:rFonts w:eastAsia="Times New Roman"/>
          <w:sz w:val="20"/>
          <w:szCs w:val="20"/>
        </w:rPr>
        <w:t xml:space="preserve"> Volkstribun nach wie vor über ein </w:t>
      </w:r>
      <w:proofErr w:type="spellStart"/>
      <w:r>
        <w:rPr>
          <w:rFonts w:eastAsia="Times New Roman"/>
          <w:sz w:val="20"/>
          <w:szCs w:val="20"/>
        </w:rPr>
        <w:t>beträchtli-ches</w:t>
      </w:r>
      <w:proofErr w:type="spellEnd"/>
      <w:r>
        <w:rPr>
          <w:rFonts w:eastAsia="Times New Roman"/>
          <w:sz w:val="20"/>
          <w:szCs w:val="20"/>
        </w:rPr>
        <w:t xml:space="preserve"> Reservoir an charismatischen Mitteln. Doch beunruhigend für die führenden Politiker ist zwei-</w:t>
      </w:r>
      <w:proofErr w:type="spellStart"/>
      <w:r>
        <w:rPr>
          <w:rFonts w:eastAsia="Times New Roman"/>
          <w:sz w:val="20"/>
          <w:szCs w:val="20"/>
        </w:rPr>
        <w:t>felsohne</w:t>
      </w:r>
      <w:proofErr w:type="spellEnd"/>
      <w:r>
        <w:rPr>
          <w:rFonts w:eastAsia="Times New Roman"/>
          <w:sz w:val="20"/>
          <w:szCs w:val="20"/>
        </w:rPr>
        <w:t xml:space="preserve"> die in dem steilen Abfall zum Ausdruck kommende Tendenz. Denn diese kann sich auf die im Oktober 2004 in den </w:t>
      </w:r>
      <w:r>
        <w:rPr>
          <w:rFonts w:eastAsia="Times New Roman"/>
          <w:sz w:val="20"/>
          <w:szCs w:val="20"/>
        </w:rPr>
        <w:t xml:space="preserve">5.561 Gemeinden Brasiliens stattfindenden Bürgermeister- und Gemeinderats-wahlen katastrophal auswirken und ein Präjudiz für die im Oktober 2006 anstehenden Gouverneurs-, Parlaments- und Präsidentschaftswahlen darstellen. Auch deshalb sind die von den Meinungsforschern ausgemachten Gründe von Interesse, die sich (nach einer Zusammenfassung durch </w:t>
      </w:r>
      <w:proofErr w:type="spellStart"/>
      <w:r>
        <w:rPr>
          <w:rFonts w:eastAsia="Times New Roman"/>
          <w:i/>
          <w:iCs/>
          <w:sz w:val="20"/>
          <w:szCs w:val="20"/>
        </w:rPr>
        <w:t>Veja</w:t>
      </w:r>
      <w:proofErr w:type="spellEnd"/>
      <w:r>
        <w:rPr>
          <w:rFonts w:eastAsia="Times New Roman"/>
          <w:sz w:val="20"/>
          <w:szCs w:val="20"/>
        </w:rPr>
        <w:t>, 31.3.2004: 40) auf zwei Aspekte konzentrieren:</w:t>
      </w:r>
    </w:p>
    <w:p w14:paraId="14624031" w14:textId="77777777" w:rsidR="006F288A" w:rsidRDefault="00283F87" w:rsidP="006F288A">
      <w:pPr>
        <w:spacing w:line="293" w:lineRule="auto"/>
        <w:ind w:firstLine="283"/>
        <w:jc w:val="both"/>
        <w:rPr>
          <w:sz w:val="20"/>
          <w:szCs w:val="20"/>
        </w:rPr>
      </w:pPr>
      <w:r w:rsidRPr="006F288A">
        <w:rPr>
          <w:rFonts w:eastAsia="Times New Roman"/>
          <w:sz w:val="20"/>
          <w:szCs w:val="20"/>
        </w:rPr>
        <w:t xml:space="preserve">Erstens die „Entmythisierung“ Lulas: Diese bleibt nicht länger auf die engen Kreise von Meinungsbildnern und Besserinformierten </w:t>
      </w:r>
      <w:proofErr w:type="spellStart"/>
      <w:r w:rsidRPr="006F288A">
        <w:rPr>
          <w:rFonts w:eastAsia="Times New Roman"/>
          <w:sz w:val="20"/>
          <w:szCs w:val="20"/>
        </w:rPr>
        <w:t>be</w:t>
      </w:r>
      <w:proofErr w:type="spellEnd"/>
      <w:r w:rsidRPr="006F288A">
        <w:rPr>
          <w:rFonts w:eastAsia="Times New Roman"/>
          <w:sz w:val="20"/>
          <w:szCs w:val="20"/>
        </w:rPr>
        <w:t xml:space="preserve">-schränkt, sondern hat auf breitere Kreise </w:t>
      </w:r>
      <w:proofErr w:type="spellStart"/>
      <w:r w:rsidRPr="006F288A">
        <w:rPr>
          <w:rFonts w:eastAsia="Times New Roman"/>
          <w:sz w:val="20"/>
          <w:szCs w:val="20"/>
        </w:rPr>
        <w:t>überge</w:t>
      </w:r>
      <w:proofErr w:type="spellEnd"/>
      <w:r w:rsidRPr="006F288A">
        <w:rPr>
          <w:rFonts w:eastAsia="Times New Roman"/>
          <w:sz w:val="20"/>
          <w:szCs w:val="20"/>
        </w:rPr>
        <w:t xml:space="preserve">-griffen – vielleicht ein normaler </w:t>
      </w:r>
      <w:r w:rsidRPr="006F288A">
        <w:rPr>
          <w:rFonts w:eastAsia="Times New Roman"/>
          <w:b/>
          <w:bCs/>
          <w:sz w:val="20"/>
          <w:szCs w:val="20"/>
        </w:rPr>
        <w:t>Verschleiß</w:t>
      </w:r>
      <w:r w:rsidRPr="006F288A">
        <w:rPr>
          <w:rFonts w:eastAsia="Times New Roman"/>
          <w:sz w:val="20"/>
          <w:szCs w:val="20"/>
        </w:rPr>
        <w:t xml:space="preserve"> nach 16 Monaten Regierung.</w:t>
      </w:r>
    </w:p>
    <w:p w14:paraId="0D6016C3" w14:textId="6D5C98E3" w:rsidR="001511FF" w:rsidRPr="006F288A" w:rsidRDefault="00283F87" w:rsidP="006F288A">
      <w:pPr>
        <w:spacing w:line="293" w:lineRule="auto"/>
        <w:ind w:firstLine="283"/>
        <w:jc w:val="both"/>
        <w:rPr>
          <w:sz w:val="20"/>
          <w:szCs w:val="20"/>
        </w:rPr>
      </w:pPr>
      <w:r w:rsidRPr="006F288A">
        <w:rPr>
          <w:rFonts w:eastAsia="Times New Roman"/>
          <w:sz w:val="20"/>
          <w:szCs w:val="20"/>
        </w:rPr>
        <w:t>Zweitens das hohe Verschleiß</w:t>
      </w:r>
      <w:r w:rsidRPr="006F288A">
        <w:rPr>
          <w:rFonts w:eastAsia="Times New Roman"/>
          <w:b/>
          <w:bCs/>
          <w:sz w:val="20"/>
          <w:szCs w:val="20"/>
        </w:rPr>
        <w:t>tempo</w:t>
      </w:r>
      <w:r w:rsidRPr="006F288A">
        <w:rPr>
          <w:rFonts w:eastAsia="Times New Roman"/>
          <w:sz w:val="20"/>
          <w:szCs w:val="20"/>
        </w:rPr>
        <w:t>: Hatte die Verschleißkurve in den ersten 12 Monaten einen sehr flachen Verlauf (um ca. 1%), so zeigte diese in den ersten drei Monaten 2004 mit einem Ab-fall um 9% steil nach unten. Dies bedeutet, so Carlos Montenegro (IBOPE-Präsident), dass die politische Krise wie auch das Negativwachstum</w:t>
      </w:r>
    </w:p>
    <w:p w14:paraId="3A55EF1D" w14:textId="4837BD18" w:rsidR="001511FF" w:rsidRDefault="001511FF">
      <w:pPr>
        <w:spacing w:line="127" w:lineRule="exact"/>
        <w:rPr>
          <w:sz w:val="24"/>
          <w:szCs w:val="24"/>
        </w:rPr>
      </w:pPr>
    </w:p>
    <w:p w14:paraId="006A700E" w14:textId="54DBBD60" w:rsidR="00B40BA8" w:rsidRDefault="00B40BA8">
      <w:pPr>
        <w:ind w:left="4124"/>
        <w:rPr>
          <w:rFonts w:eastAsia="Times New Roman"/>
          <w:sz w:val="24"/>
          <w:szCs w:val="24"/>
        </w:rPr>
      </w:pPr>
    </w:p>
    <w:p w14:paraId="198DF7AE" w14:textId="6B2C4475" w:rsidR="00B40BA8" w:rsidRDefault="00B40BA8">
      <w:pPr>
        <w:ind w:left="4124"/>
        <w:rPr>
          <w:rFonts w:eastAsia="Times New Roman"/>
          <w:sz w:val="24"/>
          <w:szCs w:val="24"/>
        </w:rPr>
      </w:pPr>
    </w:p>
    <w:p w14:paraId="1A033C6C" w14:textId="768BC5B2" w:rsidR="00B40BA8" w:rsidRDefault="00B40BA8">
      <w:pPr>
        <w:ind w:left="4124"/>
        <w:rPr>
          <w:rFonts w:eastAsia="Times New Roman"/>
          <w:sz w:val="24"/>
          <w:szCs w:val="24"/>
        </w:rPr>
      </w:pPr>
    </w:p>
    <w:sectPr w:rsidR="00B40BA8">
      <w:type w:val="continuous"/>
      <w:pgSz w:w="11900" w:h="16840"/>
      <w:pgMar w:top="1440" w:right="1400" w:bottom="217" w:left="1420" w:header="0" w:footer="0" w:gutter="0"/>
      <w:cols w:num="2" w:space="720" w:equalWidth="0">
        <w:col w:w="4400" w:space="236"/>
        <w:col w:w="4444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BC3B2F" w14:textId="77777777" w:rsidR="00486E9A" w:rsidRDefault="00486E9A" w:rsidP="00B40BA8">
      <w:r>
        <w:separator/>
      </w:r>
    </w:p>
  </w:endnote>
  <w:endnote w:type="continuationSeparator" w:id="0">
    <w:p w14:paraId="0F871619" w14:textId="77777777" w:rsidR="00486E9A" w:rsidRDefault="00486E9A" w:rsidP="00B40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A51C8" w14:textId="77777777" w:rsidR="00F24365" w:rsidRDefault="00F2436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788956" w14:textId="77777777" w:rsidR="00F24365" w:rsidRDefault="00F24365" w:rsidP="00B40BA8">
    <w:pPr>
      <w:ind w:left="709"/>
      <w:rPr>
        <w:rFonts w:eastAsia="Times New Roman"/>
        <w:sz w:val="18"/>
        <w:szCs w:val="18"/>
      </w:rPr>
    </w:pPr>
  </w:p>
  <w:p w14:paraId="4AB13ED5" w14:textId="11EF5AA2" w:rsidR="00B40BA8" w:rsidRDefault="00A44D5B" w:rsidP="00B40BA8">
    <w:pPr>
      <w:ind w:left="709"/>
      <w:rPr>
        <w:rFonts w:eastAsia="Times New Roman"/>
        <w:sz w:val="18"/>
        <w:szCs w:val="18"/>
      </w:rPr>
    </w:pPr>
    <w:proofErr w:type="spellStart"/>
    <w:r>
      <w:rPr>
        <w:rFonts w:eastAsia="Times New Roman"/>
        <w:sz w:val="18"/>
        <w:szCs w:val="18"/>
      </w:rPr>
      <w:t>journal</w:t>
    </w:r>
    <w:proofErr w:type="spellEnd"/>
  </w:p>
  <w:p w14:paraId="373EF631" w14:textId="56DF27E1" w:rsidR="00CE71C8" w:rsidRPr="00CE71C8" w:rsidRDefault="00CE71C8" w:rsidP="00CE71C8">
    <w:pPr>
      <w:ind w:left="709" w:right="821"/>
      <w:jc w:val="right"/>
      <w:rPr>
        <w:sz w:val="20"/>
        <w:szCs w:val="20"/>
      </w:rPr>
    </w:pPr>
    <w:r>
      <w:rPr>
        <w:sz w:val="20"/>
        <w:szCs w:val="20"/>
      </w:rPr>
      <w:t>97</w:t>
    </w:r>
  </w:p>
  <w:p w14:paraId="076A7FA8" w14:textId="42C62B38" w:rsidR="00B40BA8" w:rsidRDefault="00B40BA8" w:rsidP="00B40BA8">
    <w:pPr>
      <w:pStyle w:val="Fuzeile"/>
      <w:ind w:left="56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A8A27" w14:textId="77777777" w:rsidR="00F24365" w:rsidRDefault="00F2436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D79008" w14:textId="77777777" w:rsidR="00486E9A" w:rsidRDefault="00486E9A" w:rsidP="00B40BA8">
      <w:r>
        <w:separator/>
      </w:r>
    </w:p>
  </w:footnote>
  <w:footnote w:type="continuationSeparator" w:id="0">
    <w:p w14:paraId="1262B6AB" w14:textId="77777777" w:rsidR="00486E9A" w:rsidRDefault="00486E9A" w:rsidP="00B40B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3E3203" w14:textId="77777777" w:rsidR="00F24365" w:rsidRDefault="00F2436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5C7F92" w14:textId="77777777" w:rsidR="00F24365" w:rsidRDefault="00F24365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D8D5A4" w14:textId="77777777" w:rsidR="00F24365" w:rsidRDefault="00F2436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7B23C6"/>
    <w:multiLevelType w:val="hybridMultilevel"/>
    <w:tmpl w:val="DBF00B1C"/>
    <w:lvl w:ilvl="0" w:tplc="94C25B12">
      <w:start w:val="1"/>
      <w:numFmt w:val="bullet"/>
      <w:lvlText w:val="•"/>
      <w:lvlJc w:val="left"/>
    </w:lvl>
    <w:lvl w:ilvl="1" w:tplc="25DA821E">
      <w:numFmt w:val="decimal"/>
      <w:lvlText w:val=""/>
      <w:lvlJc w:val="left"/>
    </w:lvl>
    <w:lvl w:ilvl="2" w:tplc="1742AFC0">
      <w:numFmt w:val="decimal"/>
      <w:lvlText w:val=""/>
      <w:lvlJc w:val="left"/>
    </w:lvl>
    <w:lvl w:ilvl="3" w:tplc="EDE6567C">
      <w:numFmt w:val="decimal"/>
      <w:lvlText w:val=""/>
      <w:lvlJc w:val="left"/>
    </w:lvl>
    <w:lvl w:ilvl="4" w:tplc="3C6C4554">
      <w:numFmt w:val="decimal"/>
      <w:lvlText w:val=""/>
      <w:lvlJc w:val="left"/>
    </w:lvl>
    <w:lvl w:ilvl="5" w:tplc="26F25C70">
      <w:numFmt w:val="decimal"/>
      <w:lvlText w:val=""/>
      <w:lvlJc w:val="left"/>
    </w:lvl>
    <w:lvl w:ilvl="6" w:tplc="C7B64578">
      <w:numFmt w:val="decimal"/>
      <w:lvlText w:val=""/>
      <w:lvlJc w:val="left"/>
    </w:lvl>
    <w:lvl w:ilvl="7" w:tplc="7EE0CAD2">
      <w:numFmt w:val="decimal"/>
      <w:lvlText w:val=""/>
      <w:lvlJc w:val="left"/>
    </w:lvl>
    <w:lvl w:ilvl="8" w:tplc="8E467AB0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KxMDY3sQBShsYGlko6SsGpxcWZ+XkgBSa1APmjwcMsAAAA"/>
  </w:docVars>
  <w:rsids>
    <w:rsidRoot w:val="001511FF"/>
    <w:rsid w:val="001511FF"/>
    <w:rsid w:val="00176633"/>
    <w:rsid w:val="001C6D27"/>
    <w:rsid w:val="00283F87"/>
    <w:rsid w:val="00301AE8"/>
    <w:rsid w:val="00401AA6"/>
    <w:rsid w:val="00486E9A"/>
    <w:rsid w:val="006F288A"/>
    <w:rsid w:val="0076441F"/>
    <w:rsid w:val="0080334B"/>
    <w:rsid w:val="008A3A97"/>
    <w:rsid w:val="008E33A6"/>
    <w:rsid w:val="00923FFD"/>
    <w:rsid w:val="009C01D2"/>
    <w:rsid w:val="00A44D5B"/>
    <w:rsid w:val="00A96D38"/>
    <w:rsid w:val="00AC62B3"/>
    <w:rsid w:val="00B40BA8"/>
    <w:rsid w:val="00BC0242"/>
    <w:rsid w:val="00C40529"/>
    <w:rsid w:val="00C74D4A"/>
    <w:rsid w:val="00CD1C86"/>
    <w:rsid w:val="00CD3643"/>
    <w:rsid w:val="00CE71C8"/>
    <w:rsid w:val="00D53E23"/>
    <w:rsid w:val="00D742EC"/>
    <w:rsid w:val="00DD50C4"/>
    <w:rsid w:val="00E177D7"/>
    <w:rsid w:val="00E17A43"/>
    <w:rsid w:val="00E545AA"/>
    <w:rsid w:val="00E951F1"/>
    <w:rsid w:val="00ED3167"/>
    <w:rsid w:val="00F24365"/>
    <w:rsid w:val="00FC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738AC"/>
  <w15:docId w15:val="{0EB636E6-A108-4F7B-84D2-5EE94CE10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40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40BA8"/>
    <w:rPr>
      <w:rFonts w:ascii="Courier New" w:eastAsia="Times New Roman" w:hAnsi="Courier New" w:cs="Courier New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B40BA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40BA8"/>
  </w:style>
  <w:style w:type="paragraph" w:styleId="Fuzeile">
    <w:name w:val="footer"/>
    <w:basedOn w:val="Standard"/>
    <w:link w:val="FuzeileZchn"/>
    <w:uiPriority w:val="99"/>
    <w:unhideWhenUsed/>
    <w:rsid w:val="00B40BA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40BA8"/>
  </w:style>
  <w:style w:type="paragraph" w:styleId="Listenabsatz">
    <w:name w:val="List Paragraph"/>
    <w:basedOn w:val="Standard"/>
    <w:uiPriority w:val="34"/>
    <w:qFormat/>
    <w:rsid w:val="006F2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95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361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Jennifer Gerbl</cp:lastModifiedBy>
  <cp:revision>26</cp:revision>
  <dcterms:created xsi:type="dcterms:W3CDTF">2020-07-30T11:15:00Z</dcterms:created>
  <dcterms:modified xsi:type="dcterms:W3CDTF">2021-04-11T23:23:00Z</dcterms:modified>
</cp:coreProperties>
</file>