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00" w:lineRule="auto"/>
        <w:jc w:val="center"/>
        <w:rPr/>
      </w:pPr>
      <w:r w:rsidDel="00000000" w:rsidR="00000000" w:rsidRPr="00000000">
        <w:rPr>
          <w:rFonts w:ascii="Arial" w:cs="Arial" w:eastAsia="Arial" w:hAnsi="Arial"/>
          <w:b w:val="1"/>
          <w:bCs w:val="1"/>
          <w:color w:val="922b21"/>
          <w:sz w:val="36"/>
          <w:szCs w:val="36"/>
          <w:rtl w:val="0"/>
        </w:rPr>
        <w:t xml:space="preserve">Heart Disease Risk Prediction Using Multi-Center Dataset Fusion,</w:t>
      </w: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b w:val="1"/>
          <w:bCs w:val="1"/>
          <w:color w:val="922b21"/>
          <w:sz w:val="36"/>
          <w:szCs w:val="36"/>
          <w:rtl w:val="0"/>
        </w:rPr>
        <w:t xml:space="preserve">Clinically-Informed Feature Engineering, and Stacking Ensemble Learning</w:t>
      </w:r>
      <w:r w:rsidDel="00000000" w:rsidR="00000000" w:rsidRPr="00000000">
        <w:rPr>
          <w:rtl w:val="0"/>
        </w:rPr>
      </w:r>
    </w:p>
    <w:p w:rsidR="00000000" w:rsidDel="00000000" w:rsidP="00000000" w:rsidRDefault="00000000" w:rsidRPr="00000000" w14:paraId="00000003">
      <w:pPr>
        <w:spacing w:after="60" w:before="80" w:lineRule="auto"/>
        <w:jc w:val="center"/>
        <w:rPr/>
      </w:pPr>
      <w:r w:rsidDel="00000000" w:rsidR="00000000" w:rsidRPr="00000000">
        <w:rPr>
          <w:rFonts w:ascii="Arial" w:cs="Arial" w:eastAsia="Arial" w:hAnsi="Arial"/>
          <w:b w:val="1"/>
          <w:bCs w:val="1"/>
          <w:color w:val="1b4f72"/>
          <w:sz w:val="28"/>
          <w:szCs w:val="28"/>
          <w:rtl w:val="0"/>
        </w:rPr>
        <w:t xml:space="preserve">with SHAP and LIME Explainability</w:t>
      </w:r>
      <w:r w:rsidDel="00000000" w:rsidR="00000000" w:rsidRPr="00000000">
        <w:rPr>
          <w:rtl w:val="0"/>
        </w:rPr>
      </w:r>
    </w:p>
    <w:p w:rsidR="00000000" w:rsidDel="00000000" w:rsidP="00000000" w:rsidRDefault="00000000" w:rsidRPr="00000000" w14:paraId="00000004">
      <w:pPr>
        <w:pBdr>
          <w:bottom w:color="922b21" w:space="6" w:sz="8" w:val="single"/>
        </w:pBdr>
        <w:spacing w:after="200" w:before="60" w:lineRule="auto"/>
        <w:jc w:val="center"/>
        <w:rPr/>
      </w:pP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Arial" w:cs="Arial" w:eastAsia="Arial" w:hAnsi="Arial"/>
          <w:b w:val="1"/>
          <w:bCs w:val="1"/>
          <w:color w:val="1a252f"/>
          <w:sz w:val="24"/>
          <w:szCs w:val="24"/>
          <w:rtl w:val="0"/>
        </w:rPr>
        <w:t xml:space="preserve">Muhammad Azeem</w:t>
      </w:r>
      <w:r w:rsidDel="00000000" w:rsidR="00000000" w:rsidRPr="00000000">
        <w:rPr>
          <w:rtl w:val="0"/>
        </w:rPr>
      </w:r>
    </w:p>
    <w:p w:rsidR="00000000" w:rsidDel="00000000" w:rsidP="00000000" w:rsidRDefault="00000000" w:rsidRPr="00000000" w14:paraId="00000006">
      <w:pPr>
        <w:spacing w:after="40" w:before="0" w:lineRule="auto"/>
        <w:jc w:val="center"/>
        <w:rPr>
          <w:rFonts w:ascii="Arial" w:cs="Arial" w:eastAsia="Arial" w:hAnsi="Arial"/>
          <w:color w:val="5d6d7e"/>
        </w:rPr>
      </w:pPr>
      <w:r w:rsidDel="00000000" w:rsidR="00000000" w:rsidRPr="00000000">
        <w:rPr>
          <w:rFonts w:ascii="Arial" w:cs="Arial" w:eastAsia="Arial" w:hAnsi="Arial"/>
          <w:color w:val="5d6d7e"/>
          <w:sz w:val="22"/>
          <w:szCs w:val="22"/>
          <w:rtl w:val="0"/>
        </w:rPr>
        <w:t xml:space="preserve">Department of </w:t>
      </w:r>
      <w:r w:rsidDel="00000000" w:rsidR="00000000" w:rsidRPr="00000000">
        <w:rPr>
          <w:rFonts w:ascii="Arial" w:cs="Arial" w:eastAsia="Arial" w:hAnsi="Arial"/>
          <w:color w:val="5d6d7e"/>
          <w:rtl w:val="0"/>
        </w:rPr>
        <w:t xml:space="preserve">Data Science </w:t>
      </w:r>
    </w:p>
    <w:p w:rsidR="00000000" w:rsidDel="00000000" w:rsidP="00000000" w:rsidRDefault="00000000" w:rsidRPr="00000000" w14:paraId="00000007">
      <w:pPr>
        <w:spacing w:after="40" w:before="0" w:lineRule="auto"/>
        <w:jc w:val="center"/>
        <w:rPr>
          <w:rFonts w:ascii="Arial" w:cs="Arial" w:eastAsia="Arial" w:hAnsi="Arial"/>
          <w:color w:val="5d6d7e"/>
        </w:rPr>
      </w:pPr>
      <w:r w:rsidDel="00000000" w:rsidR="00000000" w:rsidRPr="00000000">
        <w:rPr>
          <w:rFonts w:ascii="Arial" w:cs="Arial" w:eastAsia="Arial" w:hAnsi="Arial"/>
          <w:color w:val="5d6d7e"/>
          <w:rtl w:val="0"/>
        </w:rPr>
        <w:t xml:space="preserve">Punjab University College of Information And Technology</w:t>
      </w:r>
    </w:p>
    <w:p w:rsidR="00000000" w:rsidDel="00000000" w:rsidP="00000000" w:rsidRDefault="00000000" w:rsidRPr="00000000" w14:paraId="00000008">
      <w:pPr>
        <w:spacing w:after="40" w:before="0" w:lineRule="auto"/>
        <w:ind w:left="2880" w:firstLine="720"/>
        <w:jc w:val="left"/>
        <w:rPr/>
      </w:pPr>
      <w:r w:rsidDel="00000000" w:rsidR="00000000" w:rsidRPr="00000000">
        <w:rPr>
          <w:rFonts w:ascii="Arial" w:cs="Arial" w:eastAsia="Arial" w:hAnsi="Arial"/>
          <w:color w:val="5d6d7e"/>
          <w:sz w:val="22"/>
          <w:szCs w:val="22"/>
          <w:rtl w:val="0"/>
        </w:rPr>
        <w:t xml:space="preserve">  Machine Learning Course</w:t>
      </w:r>
      <w:r w:rsidDel="00000000" w:rsidR="00000000" w:rsidRPr="00000000">
        <w:rPr>
          <w:rtl w:val="0"/>
        </w:rPr>
      </w:r>
    </w:p>
    <w:p w:rsidR="00000000" w:rsidDel="00000000" w:rsidP="00000000" w:rsidRDefault="00000000" w:rsidRPr="00000000" w14:paraId="00000009">
      <w:pPr>
        <w:spacing w:after="200" w:before="0" w:lineRule="auto"/>
        <w:jc w:val="center"/>
        <w:rPr/>
      </w:pPr>
      <w:r w:rsidDel="00000000" w:rsidR="00000000" w:rsidRPr="00000000">
        <w:rPr>
          <w:rFonts w:ascii="Arial" w:cs="Arial" w:eastAsia="Arial" w:hAnsi="Arial"/>
          <w:color w:val="5d6d7e"/>
          <w:rtl w:val="0"/>
        </w:rPr>
        <w:t xml:space="preserve">[Lahore</w:t>
      </w:r>
      <w:r w:rsidDel="00000000" w:rsidR="00000000" w:rsidRPr="00000000">
        <w:rPr>
          <w:rFonts w:ascii="Arial" w:cs="Arial" w:eastAsia="Arial" w:hAnsi="Arial"/>
          <w:color w:val="5d6d7e"/>
          <w:sz w:val="22"/>
          <w:szCs w:val="22"/>
          <w:rtl w:val="0"/>
        </w:rPr>
        <w:t xml:space="preserve">, Pakistan]  |  202</w:t>
      </w:r>
      <w:r w:rsidDel="00000000" w:rsidR="00000000" w:rsidRPr="00000000">
        <w:rPr>
          <w:rFonts w:ascii="Arial" w:cs="Arial" w:eastAsia="Arial" w:hAnsi="Arial"/>
          <w:color w:val="5d6d7e"/>
          <w:rtl w:val="0"/>
        </w:rPr>
        <w:t xml:space="preserve">6</w:t>
      </w:r>
      <w:r w:rsidDel="00000000" w:rsidR="00000000" w:rsidRPr="00000000">
        <w:rPr>
          <w:rtl w:val="0"/>
        </w:rPr>
      </w:r>
    </w:p>
    <w:p w:rsidR="00000000" w:rsidDel="00000000" w:rsidP="00000000" w:rsidRDefault="00000000" w:rsidRPr="00000000" w14:paraId="0000000A">
      <w:pPr>
        <w:pBdr>
          <w:top w:color="922b21" w:space="0" w:sz="8" w:val="single"/>
          <w:left w:color="922b21" w:space="0" w:sz="8" w:val="single"/>
          <w:bottom w:color="922b21" w:space="0" w:sz="8" w:val="single"/>
          <w:right w:color="922b21" w:space="0" w:sz="8" w:val="single"/>
        </w:pBdr>
        <w:shd w:fill="f2f3f4" w:val="clear"/>
        <w:spacing w:after="80" w:before="0" w:lineRule="auto"/>
        <w:jc w:val="center"/>
        <w:rPr/>
      </w:pPr>
      <w:r w:rsidDel="00000000" w:rsidR="00000000" w:rsidRPr="00000000">
        <w:rPr>
          <w:rFonts w:ascii="Arial" w:cs="Arial" w:eastAsia="Arial" w:hAnsi="Arial"/>
          <w:b w:val="1"/>
          <w:bCs w:val="1"/>
          <w:smallCaps w:val="1"/>
          <w:color w:val="922b21"/>
          <w:sz w:val="26"/>
          <w:szCs w:val="26"/>
          <w:rtl w:val="0"/>
        </w:rPr>
        <w:t xml:space="preserve">ABSTRACT</w:t>
      </w:r>
      <w:r w:rsidDel="00000000" w:rsidR="00000000" w:rsidRPr="00000000">
        <w:rPr>
          <w:rtl w:val="0"/>
        </w:rPr>
      </w:r>
    </w:p>
    <w:p w:rsidR="00000000" w:rsidDel="00000000" w:rsidP="00000000" w:rsidRDefault="00000000" w:rsidRPr="00000000" w14:paraId="0000000B">
      <w:pPr>
        <w:spacing w:after="80" w:before="80" w:line="300" w:lineRule="auto"/>
        <w:ind w:left="720" w:right="720" w:firstLine="0"/>
        <w:jc w:val="both"/>
        <w:rPr/>
      </w:pPr>
      <w:r w:rsidDel="00000000" w:rsidR="00000000" w:rsidRPr="00000000">
        <w:rPr>
          <w:rFonts w:ascii="Times New Roman" w:cs="Times New Roman" w:eastAsia="Times New Roman" w:hAnsi="Times New Roman"/>
          <w:color w:val="1a252f"/>
          <w:sz w:val="22"/>
          <w:szCs w:val="22"/>
          <w:rtl w:val="0"/>
        </w:rPr>
        <w:t xml:space="preserve">Cardiovascular disease remains the leading cause of mortality worldwide, responsible for approximately 17.9 million deaths annually (WHO, 2023). Early and accurate prediction of heart disease from routine clinical measurements has the potential to dramatically improve patient outcomes while reducing the cost burden on healthcare systems. Despite extensive prior work using the Cleveland dataset, existing studies are limited by small single-center data, absence of clinically-informed feature engineering, independent model comparison without ensemble stacking, and insufficient model explainability for clinical adoption.</w:t>
      </w:r>
      <w:r w:rsidDel="00000000" w:rsidR="00000000" w:rsidRPr="00000000">
        <w:rPr>
          <w:rtl w:val="0"/>
        </w:rPr>
      </w:r>
    </w:p>
    <w:p w:rsidR="00000000" w:rsidDel="00000000" w:rsidP="00000000" w:rsidRDefault="00000000" w:rsidRPr="00000000" w14:paraId="0000000C">
      <w:pPr>
        <w:spacing w:after="80" w:before="60" w:line="300" w:lineRule="auto"/>
        <w:ind w:left="720" w:right="720" w:firstLine="0"/>
        <w:jc w:val="both"/>
        <w:rPr/>
      </w:pPr>
      <w:r w:rsidDel="00000000" w:rsidR="00000000" w:rsidRPr="00000000">
        <w:rPr>
          <w:rFonts w:ascii="Times New Roman" w:cs="Times New Roman" w:eastAsia="Times New Roman" w:hAnsi="Times New Roman"/>
          <w:color w:val="1a252f"/>
          <w:sz w:val="22"/>
          <w:szCs w:val="22"/>
          <w:rtl w:val="0"/>
        </w:rPr>
        <w:t xml:space="preserve">This paper presents a comprehensive machine learning pipeline for heart disease prediction that addresses all five identified gaps simultaneously. We fuse all four UCI Heart Disease datasets (Cleveland, Hungary, Switzerland, VA Long Beach) to produce 920 patient records — the largest multi-center sample in any compared study. We engineer eight novel clinically-informed interaction features derived from established cardiology literature, including heart rate reserve, cardiovascular efficiency ratio, and compound exercise ischemia score. A stacking ensemble of four heterogeneous base learners (Random Forest, XGBoost, LightGBM, SVM) with a Logistic Regression meta-learner is trained using Optuna Bayesian hyperparameter optimization and SMOTE+Tomek class resampling. The final model achieves 93.2% accuracy and ROC-AUC of 0.965, outperforming all five comparison papers. Crucially, we implement a full dual-layer explainability pipeline: global SHAP beeswarm plots for population-level insights and patient-level SHAP waterfall plus LIME explanations for individual clinical decisions. Our results demonstrate that the combination of multi-center data, domain-informed feature engineering, and ensemble stacking produces state-of-the-art performance with clinically actionable explanations.</w:t>
      </w:r>
      <w:r w:rsidDel="00000000" w:rsidR="00000000" w:rsidRPr="00000000">
        <w:rPr>
          <w:rtl w:val="0"/>
        </w:rPr>
      </w:r>
    </w:p>
    <w:p w:rsidR="00000000" w:rsidDel="00000000" w:rsidP="00000000" w:rsidRDefault="00000000" w:rsidRPr="00000000" w14:paraId="0000000D">
      <w:pPr>
        <w:spacing w:after="120" w:before="60" w:line="276" w:lineRule="auto"/>
        <w:ind w:left="720" w:right="720" w:firstLine="0"/>
        <w:jc w:val="both"/>
        <w:rPr/>
      </w:pPr>
      <w:r w:rsidDel="00000000" w:rsidR="00000000" w:rsidRPr="00000000">
        <w:rPr>
          <w:rFonts w:ascii="Times New Roman" w:cs="Times New Roman" w:eastAsia="Times New Roman" w:hAnsi="Times New Roman"/>
          <w:b w:val="1"/>
          <w:bCs w:val="1"/>
          <w:color w:val="1a252f"/>
          <w:sz w:val="22"/>
          <w:szCs w:val="22"/>
          <w:rtl w:val="0"/>
        </w:rPr>
        <w:t xml:space="preserve">Keywords: </w:t>
      </w:r>
      <w:r w:rsidDel="00000000" w:rsidR="00000000" w:rsidRPr="00000000">
        <w:rPr>
          <w:rFonts w:ascii="Times New Roman" w:cs="Times New Roman" w:eastAsia="Times New Roman" w:hAnsi="Times New Roman"/>
          <w:color w:val="1a252f"/>
          <w:sz w:val="22"/>
          <w:szCs w:val="22"/>
          <w:rtl w:val="0"/>
        </w:rPr>
        <w:t xml:space="preserve">Heart Disease Prediction, Ensemble Learning, Stacking Classifier, Feature Engineering, SHAP, LIME, XGBoost, LightGBM, UCI Dataset, Explainable AI, Cardiovascular Risk.</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Bdr>
          <w:bottom w:color="922b21" w:space="4" w:sz="6" w:val="single"/>
        </w:pBdr>
        <w:spacing w:after="120" w:before="280" w:line="276" w:lineRule="auto"/>
        <w:rPr/>
      </w:pPr>
      <w:r w:rsidDel="00000000" w:rsidR="00000000" w:rsidRPr="00000000">
        <w:rPr>
          <w:rFonts w:ascii="Arial" w:cs="Arial" w:eastAsia="Arial" w:hAnsi="Arial"/>
          <w:b w:val="1"/>
          <w:bCs w:val="1"/>
          <w:smallCaps w:val="1"/>
          <w:color w:val="922b21"/>
          <w:sz w:val="26"/>
          <w:szCs w:val="26"/>
          <w:rtl w:val="0"/>
        </w:rPr>
        <w:t xml:space="preserve">1. INTRODUCTION</w:t>
      </w:r>
      <w:r w:rsidDel="00000000" w:rsidR="00000000" w:rsidRPr="00000000">
        <w:rPr>
          <w:rtl w:val="0"/>
        </w:rPr>
      </w:r>
    </w:p>
    <w:p w:rsidR="00000000" w:rsidDel="00000000" w:rsidP="00000000" w:rsidRDefault="00000000" w:rsidRPr="00000000" w14:paraId="00000010">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Cardiovascular disease (CVD) is the world's foremost public health crisis. According to the World Health Organization, CVDs claimed 17.9 million lives in 2023 alone — representing 32% of all global deaths. In Pakistan specifically, heart disease accounts for 28% of total mortality, and the economic burden of cardiovascular care exceeds PKR 450 billion annually. The tragedy lies not in the disease itself, but in the fact that the majority of premature deaths are preventable through early detection and timely intervention.</w:t>
      </w:r>
      <w:r w:rsidDel="00000000" w:rsidR="00000000" w:rsidRPr="00000000">
        <w:rPr>
          <w:rtl w:val="0"/>
        </w:rPr>
      </w:r>
    </w:p>
    <w:p w:rsidR="00000000" w:rsidDel="00000000" w:rsidP="00000000" w:rsidRDefault="00000000" w:rsidRPr="00000000" w14:paraId="00000011">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Current clinical diagnosis of coronary artery disease relies heavily on invasive or expensive procedures: coronary angiography (cost: PKR 50,000–100,000), stress echocardiography, or nuclear perfusion imaging. While highly accurate, these tests are inaccessible to the majority of rural and low-income populations. Conversely, routine clinical measurements — resting blood pressure, serum cholesterol, resting ECG, maximum heart rate during exercise, and ST depression — are collected universally at minimal cost during standard health checkups.</w:t>
      </w:r>
      <w:r w:rsidDel="00000000" w:rsidR="00000000" w:rsidRPr="00000000">
        <w:rPr>
          <w:rtl w:val="0"/>
        </w:rPr>
      </w:r>
    </w:p>
    <w:p w:rsidR="00000000" w:rsidDel="00000000" w:rsidP="00000000" w:rsidRDefault="00000000" w:rsidRPr="00000000" w14:paraId="00000012">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Machine learning offers a compelling pathway to bridge this gap: if a reliable predictive model can identify high-risk patients from these routine measurements alone, it can serve as a low-cost pre-screening tool that prioritizes which patients require expensive confirmatory tests. This democratizes cardiac risk assessment and can save thousands of lives annually in resource-constrained settings.</w:t>
      </w:r>
      <w:r w:rsidDel="00000000" w:rsidR="00000000" w:rsidRPr="00000000">
        <w:rPr>
          <w:rtl w:val="0"/>
        </w:rPr>
      </w:r>
    </w:p>
    <w:p w:rsidR="00000000" w:rsidDel="00000000" w:rsidP="00000000" w:rsidRDefault="00000000" w:rsidRPr="00000000" w14:paraId="00000013">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Despite decades of research on the UCI Heart Disease dataset, the field remains fragmented. Most published studies suffer from one or more of the following limitations: (1) exclusive use of the Cleveland 303-patient dataset with no cross-center validation; (2) raw feature usage without clinically-motivated feature engineering; (3) independent model benchmarking without ensemble aggregation; (4) absence of explainability mechanisms required for physician trust; and (5) suboptimal hyperparameter search through grid or random methods.</w:t>
      </w:r>
      <w:r w:rsidDel="00000000" w:rsidR="00000000" w:rsidRPr="00000000">
        <w:rPr>
          <w:rtl w:val="0"/>
        </w:rPr>
      </w:r>
    </w:p>
    <w:p w:rsidR="00000000" w:rsidDel="00000000" w:rsidP="00000000" w:rsidRDefault="00000000" w:rsidRPr="00000000" w14:paraId="00000014">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This paper introduces a unified pipeline that systematically addresses all five limitations. The key contributions are: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Multi-center dataset fusion: combining all four UCI Heart Disease datasets (n=920) for improved generalizability beyond single-clinic populations.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Clinically-informed feature engineering: eight novel interaction features grounded in established cardiology domain knowledge.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Stacking ensemble architecture: heterogeneous base learners aggregated by a meta-learner, achieving higher performance than any individual algorithm.</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Bayesian hyperparameter optimization via Optuna: superior to grid and random search both in solution quality and computational efficiency.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Dual-layer explainability: SHAP for global population-level insight and LIME for patient-level local explanations — addressing the clinical black-box barrier.</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bottom w:color="922b21" w:space="4" w:sz="6" w:val="single"/>
        </w:pBdr>
        <w:spacing w:after="120" w:before="280" w:line="276" w:lineRule="auto"/>
        <w:rPr/>
      </w:pPr>
      <w:r w:rsidDel="00000000" w:rsidR="00000000" w:rsidRPr="00000000">
        <w:rPr>
          <w:rFonts w:ascii="Arial" w:cs="Arial" w:eastAsia="Arial" w:hAnsi="Arial"/>
          <w:b w:val="1"/>
          <w:bCs w:val="1"/>
          <w:smallCaps w:val="1"/>
          <w:color w:val="922b21"/>
          <w:sz w:val="26"/>
          <w:szCs w:val="26"/>
          <w:rtl w:val="0"/>
        </w:rPr>
        <w:t xml:space="preserve">2. RELATED WORK</w:t>
      </w:r>
      <w:r w:rsidDel="00000000" w:rsidR="00000000" w:rsidRPr="00000000">
        <w:rPr>
          <w:rtl w:val="0"/>
        </w:rPr>
      </w:r>
    </w:p>
    <w:p w:rsidR="00000000" w:rsidDel="00000000" w:rsidP="00000000" w:rsidRDefault="00000000" w:rsidRPr="00000000" w14:paraId="0000001C">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The UCI Heart Disease dataset has been extensively studied since its introduction by Detrano et al. (1989). We review five recent papers (2022–2024) that represent the state of the art, identifying the specific methodological gaps that motivate our work.</w:t>
      </w:r>
      <w:r w:rsidDel="00000000" w:rsidR="00000000" w:rsidRPr="00000000">
        <w:rPr>
          <w:rtl w:val="0"/>
        </w:rPr>
      </w:r>
    </w:p>
    <w:p w:rsidR="00000000" w:rsidDel="00000000" w:rsidP="00000000" w:rsidRDefault="00000000" w:rsidRPr="00000000" w14:paraId="0000001D">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2.1 Bharti et al. (2022)</w:t>
      </w:r>
      <w:r w:rsidDel="00000000" w:rsidR="00000000" w:rsidRPr="00000000">
        <w:rPr>
          <w:rtl w:val="0"/>
        </w:rPr>
      </w:r>
    </w:p>
    <w:p w:rsidR="00000000" w:rsidDel="00000000" w:rsidP="00000000" w:rsidRDefault="00000000" w:rsidRPr="00000000" w14:paraId="0000001E">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Bharti et al. applied a combination of classical machine learning and a basic convolutional neural network to the Cleveland dataset (n=303). Their best-performing model, Random Forest with Recursive Feature Elimination, achieved 88.52% accuracy. While they compared six algorithms, no feature engineering, ensemble stacking, class-imbalance handling, or explainability methods were implemented. Applying CNN to tabular data without architectural justification is a methodological concern.</w:t>
      </w:r>
      <w:r w:rsidDel="00000000" w:rsidR="00000000" w:rsidRPr="00000000">
        <w:rPr>
          <w:rtl w:val="0"/>
        </w:rPr>
      </w:r>
    </w:p>
    <w:p w:rsidR="00000000" w:rsidDel="00000000" w:rsidP="00000000" w:rsidRDefault="00000000" w:rsidRPr="00000000" w14:paraId="0000001F">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2.2 Ali et al. (2023)</w:t>
      </w:r>
      <w:r w:rsidDel="00000000" w:rsidR="00000000" w:rsidRPr="00000000">
        <w:rPr>
          <w:rtl w:val="0"/>
        </w:rPr>
      </w:r>
    </w:p>
    <w:p w:rsidR="00000000" w:rsidDel="00000000" w:rsidP="00000000" w:rsidRDefault="00000000" w:rsidRPr="00000000" w14:paraId="00000020">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Ali et al. extended the dataset to include the Hungarian subset (~600 combined patients) and applied Gradient Boosting as their best model, achieving 90.1% accuracy and 0.930 ROC-AUC. They incorporated SMOTE for class balancing and 5-fold cross-validation. However, no feature engineering beyond basic imputation was performed, no Optuna or systematic hyperparameter search was conducted, and no explainability layer was provided.</w:t>
      </w:r>
      <w:r w:rsidDel="00000000" w:rsidR="00000000" w:rsidRPr="00000000">
        <w:rPr>
          <w:rtl w:val="0"/>
        </w:rPr>
      </w:r>
    </w:p>
    <w:p w:rsidR="00000000" w:rsidDel="00000000" w:rsidP="00000000" w:rsidRDefault="00000000" w:rsidRPr="00000000" w14:paraId="00000021">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2.3 Mohan et al. (2023)</w:t>
      </w:r>
      <w:r w:rsidDel="00000000" w:rsidR="00000000" w:rsidRPr="00000000">
        <w:rPr>
          <w:rtl w:val="0"/>
        </w:rPr>
      </w:r>
    </w:p>
    <w:p w:rsidR="00000000" w:rsidDel="00000000" w:rsidP="00000000" w:rsidRDefault="00000000" w:rsidRPr="00000000" w14:paraId="00000022">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Mohan et al. proposed a hybrid HRFLM approach combining Random Forest and a linear model on the Cleveland dataset alone (n=303). They employed correlation and chi-square feature selection and 10-fold cross-validation, achieving 88.7% accuracy. Their hybrid is limited to two models without meta-learning, and no Bayesian tuning, engineered features, or explainability were included.</w:t>
      </w:r>
      <w:r w:rsidDel="00000000" w:rsidR="00000000" w:rsidRPr="00000000">
        <w:rPr>
          <w:rtl w:val="0"/>
        </w:rPr>
      </w:r>
    </w:p>
    <w:p w:rsidR="00000000" w:rsidDel="00000000" w:rsidP="00000000" w:rsidRDefault="00000000" w:rsidRPr="00000000" w14:paraId="00000023">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2.4 Louridi et al. (2023)</w:t>
      </w:r>
      <w:r w:rsidDel="00000000" w:rsidR="00000000" w:rsidRPr="00000000">
        <w:rPr>
          <w:rtl w:val="0"/>
        </w:rPr>
      </w:r>
    </w:p>
    <w:p w:rsidR="00000000" w:rsidDel="00000000" w:rsidP="00000000" w:rsidRDefault="00000000" w:rsidRPr="00000000" w14:paraId="00000024">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Louridi et al. used three UCI centers (~800 patients) and applied PCA-based dimensionality reduction. XGBoost achieved their best result: 91.3% accuracy and 0.944 AUC. They used SHAP for global importance bar charts — the most advanced explainability among the comparison papers. However, PCA destroys clinical feature interpretability, no stacking or Bayesian HPO was employed, and patient-level explanations were absent.</w:t>
      </w:r>
      <w:r w:rsidDel="00000000" w:rsidR="00000000" w:rsidRPr="00000000">
        <w:rPr>
          <w:rtl w:val="0"/>
        </w:rPr>
      </w:r>
    </w:p>
    <w:p w:rsidR="00000000" w:rsidDel="00000000" w:rsidP="00000000" w:rsidRDefault="00000000" w:rsidRPr="00000000" w14:paraId="00000025">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2.5 Javeed et al. (2024)</w:t>
      </w:r>
      <w:r w:rsidDel="00000000" w:rsidR="00000000" w:rsidRPr="00000000">
        <w:rPr>
          <w:rtl w:val="0"/>
        </w:rPr>
      </w:r>
    </w:p>
    <w:p w:rsidR="00000000" w:rsidDel="00000000" w:rsidP="00000000" w:rsidRDefault="00000000" w:rsidRPr="00000000" w14:paraId="00000026">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Javeed et al. introduced three engineered features — age group bins, blood pressure categories, and cholesterol bands — applied Random Forest with SHAP global importance, achieving 90.8% accuracy and 0.946 AUC. This is the closest work to ours in spirit, but their feature engineering relies on crude binning (which discards continuous information), uses only the Cleveland dataset (n=303), trains a single model, applies SMOTE without Tomek cleaning, and uses no LIME or patient-level explanations.</w:t>
      </w:r>
      <w:r w:rsidDel="00000000" w:rsidR="00000000" w:rsidRPr="00000000">
        <w:rPr>
          <w:rtl w:val="0"/>
        </w:rPr>
      </w:r>
    </w:p>
    <w:p w:rsidR="00000000" w:rsidDel="00000000" w:rsidP="00000000" w:rsidRDefault="00000000" w:rsidRPr="00000000" w14:paraId="00000027">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2.6 Research Gap Summary</w:t>
      </w:r>
      <w:r w:rsidDel="00000000" w:rsidR="00000000" w:rsidRPr="00000000">
        <w:rPr>
          <w:rtl w:val="0"/>
        </w:rPr>
      </w:r>
    </w:p>
    <w:p w:rsidR="00000000" w:rsidDel="00000000" w:rsidP="00000000" w:rsidRDefault="00000000" w:rsidRPr="00000000" w14:paraId="00000028">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Across all five papers, a consistent pattern emerges: no study has simultaneously addressed multi-center data fusion, clinically-informed interaction feature engineering, stacking ensemble learning, Bayesian hyperparameter optimization, and dual SHAP+LIME explainability. Our work is the first to integrate all five in a unified pipeline.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Bdr>
          <w:bottom w:color="922b21" w:space="4" w:sz="6" w:val="single"/>
        </w:pBdr>
        <w:spacing w:after="120" w:before="280" w:line="276" w:lineRule="auto"/>
        <w:rPr/>
      </w:pPr>
      <w:r w:rsidDel="00000000" w:rsidR="00000000" w:rsidRPr="00000000">
        <w:rPr>
          <w:rFonts w:ascii="Arial" w:cs="Arial" w:eastAsia="Arial" w:hAnsi="Arial"/>
          <w:b w:val="1"/>
          <w:bCs w:val="1"/>
          <w:smallCaps w:val="1"/>
          <w:color w:val="922b21"/>
          <w:sz w:val="26"/>
          <w:szCs w:val="26"/>
          <w:rtl w:val="0"/>
        </w:rPr>
        <w:t xml:space="preserve">3. DATASET</w:t>
      </w:r>
      <w:r w:rsidDel="00000000" w:rsidR="00000000" w:rsidRPr="00000000">
        <w:rPr>
          <w:rtl w:val="0"/>
        </w:rPr>
      </w:r>
    </w:p>
    <w:p w:rsidR="00000000" w:rsidDel="00000000" w:rsidP="00000000" w:rsidRDefault="00000000" w:rsidRPr="00000000" w14:paraId="0000002B">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3.1 Dataset Description</w:t>
      </w:r>
      <w:r w:rsidDel="00000000" w:rsidR="00000000" w:rsidRPr="00000000">
        <w:rPr>
          <w:rtl w:val="0"/>
        </w:rPr>
      </w:r>
    </w:p>
    <w:p w:rsidR="00000000" w:rsidDel="00000000" w:rsidP="00000000" w:rsidRDefault="00000000" w:rsidRPr="00000000" w14:paraId="0000002C">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We use the combined UCI Heart Disease dataset available on Kaggle (https://www.kaggle.com/datasets/redwankarimsony/heart-disease-data), which aggregates patient records from four clinical centers: the Cleveland Clinic Foundation (303 patients), the Hungarian Institute of Cardiology — Budapest (294 patients), the University Hospital — Zurich, Switzerland (123 patients), and the V.A. Medical Center — Long Beach, California (200 patients). After deduplication and binarization of the multi-class target variable (values &gt; 0 mapped to 1, indicating heart disease presence), the combined dataset contains 920 patient records.</w:t>
      </w:r>
      <w:r w:rsidDel="00000000" w:rsidR="00000000" w:rsidRPr="00000000">
        <w:rPr>
          <w:rtl w:val="0"/>
        </w:rPr>
      </w:r>
    </w:p>
    <w:p w:rsidR="00000000" w:rsidDel="00000000" w:rsidP="00000000" w:rsidRDefault="00000000" w:rsidRPr="00000000" w14:paraId="0000002D">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This multi-center composition is a deliberate methodological choice: models trained and validated on geographically and demographically diverse populations exhibit greater real-world generalizability than those trained on a single clinic. The 303-patient Cleveland dataset that dominates existing literature represents only 32.9% of the available data.</w:t>
      </w:r>
      <w:r w:rsidDel="00000000" w:rsidR="00000000" w:rsidRPr="00000000">
        <w:rPr>
          <w:rtl w:val="0"/>
        </w:rPr>
      </w:r>
    </w:p>
    <w:p w:rsidR="00000000" w:rsidDel="00000000" w:rsidP="00000000" w:rsidRDefault="00000000" w:rsidRPr="00000000" w14:paraId="0000002E">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3.2 Feature Description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200"/>
        <w:gridCol w:w="5960"/>
        <w:tblGridChange w:id="0">
          <w:tblGrid>
            <w:gridCol w:w="400"/>
            <w:gridCol w:w="1800"/>
            <w:gridCol w:w="12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ffffff"/>
                <w:sz w:val="20"/>
                <w:szCs w:val="20"/>
                <w:rtl w:val="0"/>
              </w:rPr>
              <w:t xml:space="preserve">Clinical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0"/>
                <w:bCs w:val="0"/>
                <w:color w:val="1a252f"/>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1a252f"/>
                <w:sz w:val="20"/>
                <w:szCs w:val="20"/>
                <w:rtl w:val="0"/>
              </w:rPr>
              <w:t xml:space="preserv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1a252f"/>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1a252f"/>
                <w:sz w:val="20"/>
                <w:szCs w:val="20"/>
                <w:rtl w:val="0"/>
              </w:rPr>
              <w:t xml:space="preserve">Patient age in years. Older age is associated with greater cumulative atherosclerotic burden.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0"/>
                <w:bCs w:val="0"/>
                <w:color w:val="1a252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1a252f"/>
                <w:sz w:val="20"/>
                <w:szCs w:val="20"/>
                <w:rtl w:val="0"/>
              </w:rPr>
              <w:t xml:space="preserve">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1a252f"/>
                <w:sz w:val="20"/>
                <w:szCs w:val="20"/>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1a252f"/>
                <w:sz w:val="20"/>
                <w:szCs w:val="20"/>
                <w:rtl w:val="0"/>
              </w:rPr>
              <w:t xml:space="preserve">1 = Male, 0 = Female. Males exhibit higher CVD incidence prior to age 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0"/>
                <w:bCs w:val="0"/>
                <w:color w:val="1a252f"/>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1a252f"/>
                <w:sz w:val="20"/>
                <w:szCs w:val="20"/>
                <w:rtl w:val="0"/>
              </w:rPr>
              <w:t xml:space="preserve">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1a252f"/>
                <w:sz w:val="20"/>
                <w:szCs w:val="20"/>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1a252f"/>
                <w:sz w:val="20"/>
                <w:szCs w:val="20"/>
                <w:rtl w:val="0"/>
              </w:rPr>
              <w:t xml:space="preserve">Chest pain type (0=Asymptomatic, 1=Atypical Angina, 2=Non-Anginal, 3=Typical Angina). Counter-intuitively, asymptomatic type has highest disease association.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0"/>
                <w:bCs w:val="0"/>
                <w:color w:val="1a252f"/>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1a252f"/>
                <w:sz w:val="20"/>
                <w:szCs w:val="20"/>
                <w:rtl w:val="0"/>
              </w:rPr>
              <w:t xml:space="preserve">trestbps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1a252f"/>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1a252f"/>
                <w:sz w:val="20"/>
                <w:szCs w:val="20"/>
                <w:rtl w:val="0"/>
              </w:rPr>
              <w:t xml:space="preserve">Resting blood pressure (mm Hg). Elevated BP indicates increased cardiac workload.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0"/>
                <w:bCs w:val="0"/>
                <w:color w:val="1a252f"/>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1a252f"/>
                <w:sz w:val="20"/>
                <w:szCs w:val="20"/>
                <w:rtl w:val="0"/>
              </w:rPr>
              <w:t xml:space="preserve">chol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1a252f"/>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1a252f"/>
                <w:sz w:val="20"/>
                <w:szCs w:val="20"/>
                <w:rtl w:val="0"/>
              </w:rPr>
              <w:t xml:space="preserve">Serum cholesterol (mg/dl). High LDL drives atherosclerotic plaque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0"/>
                <w:bCs w:val="0"/>
                <w:color w:val="1a252f"/>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1"/>
                <w:bCs w:val="1"/>
                <w:color w:val="1a252f"/>
                <w:sz w:val="20"/>
                <w:szCs w:val="20"/>
                <w:rtl w:val="0"/>
              </w:rPr>
              <w:t xml:space="preserve">fbs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1a252f"/>
                <w:sz w:val="20"/>
                <w:szCs w:val="20"/>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1a252f"/>
                <w:sz w:val="20"/>
                <w:szCs w:val="20"/>
                <w:rtl w:val="0"/>
              </w:rPr>
              <w:t xml:space="preserve">Fasting blood sugar &gt; 120 mg/dl. Diabetic hyperglycemia accelerates arterial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0"/>
                <w:bCs w:val="0"/>
                <w:color w:val="1a252f"/>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1a252f"/>
                <w:sz w:val="20"/>
                <w:szCs w:val="20"/>
                <w:rtl w:val="0"/>
              </w:rPr>
              <w:t xml:space="preserve">restecg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1a252f"/>
                <w:sz w:val="20"/>
                <w:szCs w:val="20"/>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1a252f"/>
                <w:sz w:val="20"/>
                <w:szCs w:val="20"/>
                <w:rtl w:val="0"/>
              </w:rPr>
              <w:t xml:space="preserve">Resting ECG results (0=Normal, 1=ST-T Abnormality, 2=LV Hypertrophy). ST-T changes indicate ischemia.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0"/>
                <w:bCs w:val="0"/>
                <w:color w:val="1a252f"/>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1a252f"/>
                <w:sz w:val="20"/>
                <w:szCs w:val="20"/>
                <w:rtl w:val="0"/>
              </w:rPr>
              <w:t xml:space="preserve">thalach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1a252f"/>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1a252f"/>
                <w:sz w:val="20"/>
                <w:szCs w:val="20"/>
                <w:rtl w:val="0"/>
              </w:rPr>
              <w:t xml:space="preserve">Maximum heart rate achieved during exercise stress test. Low MaxHR indicates poor cardiac functional 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0"/>
                <w:bCs w:val="0"/>
                <w:color w:val="1a252f"/>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1a252f"/>
                <w:sz w:val="20"/>
                <w:szCs w:val="20"/>
                <w:rtl w:val="0"/>
              </w:rPr>
              <w:t xml:space="preserve">exang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1a252f"/>
                <w:sz w:val="20"/>
                <w:szCs w:val="20"/>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1a252f"/>
                <w:sz w:val="20"/>
                <w:szCs w:val="20"/>
                <w:rtl w:val="0"/>
              </w:rPr>
              <w:t xml:space="preserve">Exercise-induced angina (1=Yes). Chest pain during exertion strongly indicates coronary insufficiency.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0"/>
                <w:bCs w:val="0"/>
                <w:color w:val="1a252f"/>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1a252f"/>
                <w:sz w:val="20"/>
                <w:szCs w:val="20"/>
                <w:rtl w:val="0"/>
              </w:rPr>
              <w:t xml:space="preserve">oldpeak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1a252f"/>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1a252f"/>
                <w:sz w:val="20"/>
                <w:szCs w:val="20"/>
                <w:rtl w:val="0"/>
              </w:rPr>
              <w:t xml:space="preserve">ST segment depression during exercise relative to rest. Quantifies ischemic burden during stress.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0"/>
                <w:bCs w:val="0"/>
                <w:color w:val="1a252f"/>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color w:val="1a252f"/>
                <w:sz w:val="20"/>
                <w:szCs w:val="20"/>
                <w:rtl w:val="0"/>
              </w:rPr>
              <w:t xml:space="preserve">slope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1a252f"/>
                <w:sz w:val="20"/>
                <w:szCs w:val="20"/>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1a252f"/>
                <w:sz w:val="20"/>
                <w:szCs w:val="20"/>
                <w:rtl w:val="0"/>
              </w:rPr>
              <w:t xml:space="preserve">Slope of ST segment (0=Upsloping, 1=Flat, 2=Downsloping). Flat/downsloping indicates myocardial ischemia.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0"/>
                <w:bCs w:val="0"/>
                <w:color w:val="1a252f"/>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1"/>
                <w:bCs w:val="1"/>
                <w:color w:val="1a252f"/>
                <w:sz w:val="20"/>
                <w:szCs w:val="20"/>
                <w:rtl w:val="0"/>
              </w:rPr>
              <w:t xml:space="preserve">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1a252f"/>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1a252f"/>
                <w:sz w:val="20"/>
                <w:szCs w:val="20"/>
                <w:rtl w:val="0"/>
              </w:rPr>
              <w:t xml:space="preserve">Number of major coronary vessels colored by fluoroscopy (0-3). More blocked vessels = more advanced CAD.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0"/>
                <w:bCs w:val="0"/>
                <w:color w:val="1a252f"/>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1"/>
                <w:bCs w:val="1"/>
                <w:color w:val="1a252f"/>
                <w:sz w:val="20"/>
                <w:szCs w:val="20"/>
                <w:rtl w:val="0"/>
              </w:rPr>
              <w:t xml:space="preserve">thal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1a252f"/>
                <w:sz w:val="20"/>
                <w:szCs w:val="20"/>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1a252f"/>
                <w:sz w:val="20"/>
                <w:szCs w:val="20"/>
                <w:rtl w:val="0"/>
              </w:rPr>
              <w:t xml:space="preserve">Thalassemia perfusion type (0=Normal, 1=Fixed, 2=Reversible Defect). Reversible defect indicates ischemia.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1a252f"/>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1"/>
                <w:bCs w:val="1"/>
                <w:color w:val="1a252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1a252f"/>
                <w:sz w:val="20"/>
                <w:szCs w:val="20"/>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1a252f"/>
                <w:sz w:val="20"/>
                <w:szCs w:val="20"/>
                <w:rtl w:val="0"/>
              </w:rPr>
              <w:t xml:space="preserve">Heart disease presence: 0 = No Disease, 1 = Disease Present (Target Variable).</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3.3 Class Distribution</w:t>
      </w:r>
      <w:r w:rsidDel="00000000" w:rsidR="00000000" w:rsidRPr="00000000">
        <w:rPr>
          <w:rtl w:val="0"/>
        </w:rPr>
      </w:r>
    </w:p>
    <w:p w:rsidR="00000000" w:rsidDel="00000000" w:rsidP="00000000" w:rsidRDefault="00000000" w:rsidRPr="00000000" w14:paraId="0000006D">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After binarization, the dataset contains 411 patients without heart disease (44.7%) and 509 with heart disease (55.3%). This represents a mild class imbalance that is addressed through SMOTE+Tomek Links resampling applied exclusively to the training set to prevent data leakage.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Bdr>
          <w:bottom w:color="922b21" w:space="4" w:sz="6" w:val="single"/>
        </w:pBdr>
        <w:spacing w:after="120" w:before="280" w:line="276" w:lineRule="auto"/>
        <w:rPr/>
      </w:pPr>
      <w:r w:rsidDel="00000000" w:rsidR="00000000" w:rsidRPr="00000000">
        <w:rPr>
          <w:rFonts w:ascii="Arial" w:cs="Arial" w:eastAsia="Arial" w:hAnsi="Arial"/>
          <w:b w:val="1"/>
          <w:bCs w:val="1"/>
          <w:smallCaps w:val="1"/>
          <w:color w:val="922b21"/>
          <w:sz w:val="26"/>
          <w:szCs w:val="26"/>
          <w:rtl w:val="0"/>
        </w:rPr>
        <w:t xml:space="preserve">4. METHODOLOGY</w:t>
      </w:r>
      <w:r w:rsidDel="00000000" w:rsidR="00000000" w:rsidRPr="00000000">
        <w:rPr>
          <w:rtl w:val="0"/>
        </w:rPr>
      </w:r>
    </w:p>
    <w:p w:rsidR="00000000" w:rsidDel="00000000" w:rsidP="00000000" w:rsidRDefault="00000000" w:rsidRPr="00000000" w14:paraId="00000070">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Our pipeline is structured into five sequential stages, each building upon the output of the previous. Figure 1 (see notebook) illustrates the full architecture.</w:t>
      </w:r>
      <w:r w:rsidDel="00000000" w:rsidR="00000000" w:rsidRPr="00000000">
        <w:rPr>
          <w:rtl w:val="0"/>
        </w:rPr>
      </w:r>
    </w:p>
    <w:p w:rsidR="00000000" w:rsidDel="00000000" w:rsidP="00000000" w:rsidRDefault="00000000" w:rsidRPr="00000000" w14:paraId="00000071">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4.1 Data Preprocessing</w:t>
      </w:r>
      <w:r w:rsidDel="00000000" w:rsidR="00000000" w:rsidRPr="00000000">
        <w:rPr>
          <w:rtl w:val="0"/>
        </w:rPr>
      </w:r>
    </w:p>
    <w:p w:rsidR="00000000" w:rsidDel="00000000" w:rsidP="00000000" w:rsidRDefault="00000000" w:rsidRPr="00000000" w14:paraId="00000072">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Following dataset loading, we applied the following preprocessing steps in sequence: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Duplicate removal: three duplicate patient records were identified and removed to prevent training-test contamination.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Impossible value imputation: physiologically impossible zero values in Cholesterol and RestingBP were replaced with the column median of non-zero values. A cholesterol of 0 mg/dl is not clinically possible and represents a data entry error.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Outlier treatment via IQR Winsorization (3x IQR threshold): extreme values beyond three interquartile ranges from Q1/Q3 were capped rather than deleted. In a medical dataset of 920 records, deletion would significantly reduce statistical power; winsorization preserves sample count while limiting leverage of extreme values.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Categorical encoding: ChestPainType was one-hot encoded (no ordinal assumption). Binary features were retained as-is. RobustScaler was applied to continuous features — superior to StandardScaler in the presence of remaining outliers as it uses median and IQR rather than mean and standard deviation.</w:t>
      </w:r>
      <w:r w:rsidDel="00000000" w:rsidR="00000000" w:rsidRPr="00000000">
        <w:rPr>
          <w:rtl w:val="0"/>
        </w:rPr>
      </w:r>
    </w:p>
    <w:p w:rsidR="00000000" w:rsidDel="00000000" w:rsidP="00000000" w:rsidRDefault="00000000" w:rsidRPr="00000000" w14:paraId="00000077">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4.2 Feature Importance Analysis (5 Methods)</w:t>
      </w:r>
      <w:r w:rsidDel="00000000" w:rsidR="00000000" w:rsidRPr="00000000">
        <w:rPr>
          <w:rtl w:val="0"/>
        </w:rPr>
      </w:r>
    </w:p>
    <w:p w:rsidR="00000000" w:rsidDel="00000000" w:rsidP="00000000" w:rsidRDefault="00000000" w:rsidRPr="00000000" w14:paraId="00000078">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Before engineering new features, we established a consensus baseline importance ranking using five independent algorithms: Random Forest impurity-based importance, XGBoost gain-based importance, LightGBM split-based importance, Permutation Importance (model-agnostic, 15 repeats), and Extra Trees impurity importance. Using five methods mitigates the individual biases of each approach: Random Forest tends to favor high-cardinality continuous features, while permutation importance avoids this bias. The consensus top-5 features were: ca (blocked vessels), thal (perfusion type), cp (chest pain type), thalach (max heart rate), and oldpeak (ST depression). Notably, chol and fbs ranked low individually, motivating their incorporation into interaction features.</w:t>
      </w:r>
      <w:r w:rsidDel="00000000" w:rsidR="00000000" w:rsidRPr="00000000">
        <w:rPr>
          <w:rtl w:val="0"/>
        </w:rPr>
      </w:r>
    </w:p>
    <w:p w:rsidR="00000000" w:rsidDel="00000000" w:rsidP="00000000" w:rsidRDefault="00000000" w:rsidRPr="00000000" w14:paraId="00000079">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4.3 Clinically-Informed Feature Engineering</w:t>
      </w:r>
      <w:r w:rsidDel="00000000" w:rsidR="00000000" w:rsidRPr="00000000">
        <w:rPr>
          <w:rtl w:val="0"/>
        </w:rPr>
      </w:r>
    </w:p>
    <w:p w:rsidR="00000000" w:rsidDel="00000000" w:rsidP="00000000" w:rsidRDefault="00000000" w:rsidRPr="00000000" w14:paraId="0000007A">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We engineered eight novel features based on medical domain knowledge from cardiology literature. Unlike polynomial feature expansion (which creates mathematically-derived but clinically meaningless combinations), each of our features encodes a specific pathophysiological relationship:</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4800"/>
        <w:tblGridChange w:id="0">
          <w:tblGrid>
            <w:gridCol w:w="2400"/>
            <w:gridCol w:w="216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ffffff"/>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1"/>
                <w:bCs w:val="1"/>
                <w:color w:val="ffffff"/>
                <w:sz w:val="20"/>
                <w:szCs w:val="20"/>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1"/>
                <w:bCs w:val="1"/>
                <w:color w:val="ffffff"/>
                <w:sz w:val="20"/>
                <w:szCs w:val="20"/>
                <w:rtl w:val="0"/>
              </w:rPr>
              <w:t xml:space="preserve">Clinical 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1"/>
                <w:bCs w:val="1"/>
                <w:color w:val="1a252f"/>
                <w:sz w:val="20"/>
                <w:szCs w:val="20"/>
                <w:rtl w:val="0"/>
              </w:rPr>
              <w:t xml:space="preserve">age_hr_ratio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1a252f"/>
                <w:sz w:val="20"/>
                <w:szCs w:val="20"/>
                <w:rtl w:val="0"/>
              </w:rPr>
              <w:t xml:space="preserve">age / thalach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1a252f"/>
                <w:sz w:val="20"/>
                <w:szCs w:val="20"/>
                <w:rtl w:val="0"/>
              </w:rPr>
              <w:t xml:space="preserve">Cardiovascular efficiency ratio. High age with low maximum heart rate indicates severely reduced cardiac reserve — a hallmark of advanced coronary artery disease (CAD).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1a252f"/>
                <w:sz w:val="20"/>
                <w:szCs w:val="20"/>
                <w:rtl w:val="0"/>
              </w:rPr>
              <w:t xml:space="preserve">bp_age_risk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1a252f"/>
                <w:sz w:val="20"/>
                <w:szCs w:val="20"/>
                <w:rtl w:val="0"/>
              </w:rPr>
              <w:t xml:space="preserve">trestbps x age / 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1a252f"/>
                <w:sz w:val="20"/>
                <w:szCs w:val="20"/>
                <w:rtl w:val="0"/>
              </w:rPr>
              <w:t xml:space="preserve">Cumulative hypertensive load. A 60-year-old with BP 140 has sustained decades more endothelial damage than a 30-year-old with the same pressure. Analogous to pulse pressure x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1a252f"/>
                <w:sz w:val="20"/>
                <w:szCs w:val="20"/>
                <w:rtl w:val="0"/>
              </w:rPr>
              <w:t xml:space="preserve">chol_age_index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1a252f"/>
                <w:sz w:val="20"/>
                <w:szCs w:val="20"/>
                <w:rtl w:val="0"/>
              </w:rPr>
              <w:t xml:space="preserve">chol /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1a252f"/>
                <w:sz w:val="20"/>
                <w:szCs w:val="20"/>
                <w:rtl w:val="0"/>
              </w:rPr>
              <w:t xml:space="preserve">Age-adjusted cholesterol. Identical cholesterol carries higher absolute risk in younger patients due to longer duration of arterial exposure.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1a252f"/>
                <w:sz w:val="20"/>
                <w:szCs w:val="20"/>
                <w:rtl w:val="0"/>
              </w:rPr>
              <w:t xml:space="preserve">hr_reserve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1a252f"/>
                <w:sz w:val="20"/>
                <w:szCs w:val="20"/>
                <w:rtl w:val="0"/>
              </w:rPr>
              <w:t xml:space="preserve">(220 - age) - thalach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1a252f"/>
                <w:sz w:val="20"/>
                <w:szCs w:val="20"/>
                <w:rtl w:val="0"/>
              </w:rPr>
              <w:t xml:space="preserve">Heart Rate Reserve gap. The Tanaka formula (220 - age) estimates predicted maximum HR. The deficit from actual MaxHR quantifies unused cardiac capacity — larger gap indicates poorer cardiac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1a252f"/>
                <w:sz w:val="20"/>
                <w:szCs w:val="20"/>
                <w:rtl w:val="0"/>
              </w:rPr>
              <w:t xml:space="preserve">exercise_risk_score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1a252f"/>
                <w:sz w:val="20"/>
                <w:szCs w:val="20"/>
                <w:rtl w:val="0"/>
              </w:rPr>
              <w:t xml:space="preserve">oldpeak x (exang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1a252f"/>
                <w:sz w:val="20"/>
                <w:szCs w:val="20"/>
                <w:rtl w:val="0"/>
              </w:rPr>
              <w:t xml:space="preserve">Compound exercise ischemia score. Combines the magnitude of ST depression (oldpeak) with whether angina occurred during exercise, creating a weighted ischemic burden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1a252f"/>
                <w:sz w:val="20"/>
                <w:szCs w:val="20"/>
                <w:rtl w:val="0"/>
              </w:rPr>
              <w:t xml:space="preserve">metabolic_risk_score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1a252f"/>
                <w:sz w:val="20"/>
                <w:szCs w:val="20"/>
                <w:rtl w:val="0"/>
              </w:rPr>
              <w:t xml:space="preserve">(chol/200) + (trestbps/120) + (fbs x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1a252f"/>
                <w:sz w:val="20"/>
                <w:szCs w:val="20"/>
                <w:rtl w:val="0"/>
              </w:rPr>
              <w:t xml:space="preserve">Approximates metabolic syndrome risk by aggregating three cardiovascular risk factors: dyslipidemia, hypertension, and impaired glucose metabolism.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1a252f"/>
                <w:sz w:val="20"/>
                <w:szCs w:val="20"/>
                <w:rtl w:val="0"/>
              </w:rPr>
              <w:t xml:space="preserve">vessel_thal_interaction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1a252f"/>
                <w:sz w:val="20"/>
                <w:szCs w:val="20"/>
                <w:rtl w:val="0"/>
              </w:rPr>
              <w:t xml:space="preserve">ca x thal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1a252f"/>
                <w:sz w:val="20"/>
                <w:szCs w:val="20"/>
                <w:rtl w:val="0"/>
              </w:rPr>
              <w:t xml:space="preserve">Structural-functional cardiac risk product. Patients with both blocked vessels (ca &gt; 0) AND perfusion defects (thal &gt; 0) represent the highest-risk combination — capturing synergistic structural and functional impairment.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1a252f"/>
                <w:sz w:val="20"/>
                <w:szCs w:val="20"/>
                <w:rtl w:val="0"/>
              </w:rPr>
              <w:t xml:space="preserve">cp_exang_interaction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1a252f"/>
                <w:sz w:val="20"/>
                <w:szCs w:val="20"/>
                <w:rtl w:val="0"/>
              </w:rPr>
              <w:t xml:space="preserve">cp x (exang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1a252f"/>
                <w:sz w:val="20"/>
                <w:szCs w:val="20"/>
                <w:rtl w:val="0"/>
              </w:rPr>
              <w:t xml:space="preserve">Symptom synergy score. Chest pain pattern combined with exercise angina captures whether symptoms manifest at rest versus under stress — an important clinical distinction.</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Additionally, K-Means clustering (k=3, determined by elbow method) was applied to generate a cardiac_cluster feature, encoding latent patient sub-populations (e.g., young healthy, middle-aged at-risk, elderly with advanced disease). After engineering, the feature space expanded from 13 to 22 features. Feature importance re-evaluation confirmed that hr_reserve, age_hr_ratio, and exercise_risk_score all ranked in the top-8 features, validating the clinical utility of our engineered features.</w:t>
      </w:r>
      <w:r w:rsidDel="00000000" w:rsidR="00000000" w:rsidRPr="00000000">
        <w:rPr>
          <w:rtl w:val="0"/>
        </w:rPr>
      </w:r>
    </w:p>
    <w:p w:rsidR="00000000" w:rsidDel="00000000" w:rsidP="00000000" w:rsidRDefault="00000000" w:rsidRPr="00000000" w14:paraId="00000098">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4.4 Class Imbalance Handling: SMOTE + Tomek Links</w:t>
      </w:r>
      <w:r w:rsidDel="00000000" w:rsidR="00000000" w:rsidRPr="00000000">
        <w:rPr>
          <w:rtl w:val="0"/>
        </w:rPr>
      </w:r>
    </w:p>
    <w:p w:rsidR="00000000" w:rsidDel="00000000" w:rsidP="00000000" w:rsidRDefault="00000000" w:rsidRPr="00000000" w14:paraId="00000099">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SMOTE+Tomek combines synthetic minority oversampling with Tomek Links cleaning in a two-step process. First, SMOTE generates synthetic samples along line segments between minority class instances, increasing minority class representation. Second, Tomek Links identifies and removes majority class samples that form borderline pairs with minority instances — points near the decision boundary where classes overlap. This two-step process produces cleaner, better-separated class boundaries compared to SMOTE alone. Critically, resampling was applied exclusively to the training set after the train-test split (80%/20%, stratified), preventing any information leakage into the test evaluation.</w:t>
      </w:r>
      <w:r w:rsidDel="00000000" w:rsidR="00000000" w:rsidRPr="00000000">
        <w:rPr>
          <w:rtl w:val="0"/>
        </w:rPr>
      </w:r>
    </w:p>
    <w:p w:rsidR="00000000" w:rsidDel="00000000" w:rsidP="00000000" w:rsidRDefault="00000000" w:rsidRPr="00000000" w14:paraId="0000009A">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4.5 Model Training and Stacking Ensemble</w:t>
      </w:r>
      <w:r w:rsidDel="00000000" w:rsidR="00000000" w:rsidRPr="00000000">
        <w:rPr>
          <w:rtl w:val="0"/>
        </w:rPr>
      </w:r>
    </w:p>
    <w:p w:rsidR="00000000" w:rsidDel="00000000" w:rsidP="00000000" w:rsidRDefault="00000000" w:rsidRPr="00000000" w14:paraId="0000009B">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Five base classifiers were trained using 10-fold Stratified K-Fold Cross-Validation on the resampled training set. Stratified K-Fold preserves class distribution across all folds — essential for medical datasets where class proportion is clinically meaningful.</w:t>
      </w:r>
      <w:r w:rsidDel="00000000" w:rsidR="00000000" w:rsidRPr="00000000">
        <w:rPr>
          <w:rtl w:val="0"/>
        </w:rPr>
      </w:r>
    </w:p>
    <w:p w:rsidR="00000000" w:rsidDel="00000000" w:rsidP="00000000" w:rsidRDefault="00000000" w:rsidRPr="00000000" w14:paraId="0000009C">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Hyperparameter optimization for XGBoost and LightGBM was conducted using Optuna with Tree-structured Parzen Estimator (TPE) Bayesian optimization over 50 trials each. TPE builds a probabilistic model of the objective function and samples parameter configurations from regions likely to improve performance — superior to the exhaustive but uninformed search of GridSearchCV and the random but uninformed search of RandomizedSearchCV.</w:t>
      </w:r>
      <w:r w:rsidDel="00000000" w:rsidR="00000000" w:rsidRPr="00000000">
        <w:rPr>
          <w:rtl w:val="0"/>
        </w:rPr>
      </w:r>
    </w:p>
    <w:p w:rsidR="00000000" w:rsidDel="00000000" w:rsidP="00000000" w:rsidRDefault="00000000" w:rsidRPr="00000000" w14:paraId="0000009D">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The final stacking ensemble architecture consists of:</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Layer 0 — Base Learners: Random Forest (n=300, max_depth=10), Tuned XGBoost, Tuned LightGBM, SVM (RBF kernel). These four models were selected for their complementary inductive biases: RF and ET are bagging-based; XGB and LGBM are sequential boosting; SVM uses a kernel-based geometric decision boundary.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Meta-feature generation: each base learner produces out-of-fold predicted probabilities using 5-fold CV on the training set, generating a meta-feature matrix of shape (n_train, 8) — two probability columns per model.</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Layer 1 — Meta-Learner: Logistic Regression (C=0.5). The meta-learner was chosen for interpretability (its coefficients reveal which base models the ensemble trusts most), low complexity (preventing overfitting on stacked predictions), and well-calibrated probability output.</w:t>
      </w:r>
      <w:r w:rsidDel="00000000" w:rsidR="00000000" w:rsidRPr="00000000">
        <w:rPr>
          <w:rtl w:val="0"/>
        </w:rPr>
      </w:r>
    </w:p>
    <w:p w:rsidR="00000000" w:rsidDel="00000000" w:rsidP="00000000" w:rsidRDefault="00000000" w:rsidRPr="00000000" w14:paraId="000000A1">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4.6 Explainability: SHAP + LIME</w:t>
      </w:r>
      <w:r w:rsidDel="00000000" w:rsidR="00000000" w:rsidRPr="00000000">
        <w:rPr>
          <w:rtl w:val="0"/>
        </w:rPr>
      </w:r>
    </w:p>
    <w:p w:rsidR="00000000" w:rsidDel="00000000" w:rsidP="00000000" w:rsidRDefault="00000000" w:rsidRPr="00000000" w14:paraId="000000A2">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Explainability is not optional for clinical AI — it is a regulatory and ethical requirement. Physicians cannot and should not deploy a model whose reasoning they cannot inspect. We implement a dual-layer explainability framework:</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Global SHAP (SHapley Additive exPlanations): Applied to the LightGBM model using TreeExplainer for exact Shapley value computation. The beeswarm plot reveals which features drive predictions across the entire population, in which direction, and with what magnitude. Each dot is one patient; color encodes feature value; horizontal position encodes contribution.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Patient-level SHAP Waterfall: For any individual patient, a waterfall plot shows the step-by-step accumulation of each feature's contribution from the base prediction to the final risk score. This allows a physician to understand exactly why a specific patient was flagged as high-risk.</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252f"/>
          <w:sz w:val="22"/>
          <w:szCs w:val="22"/>
          <w:u w:val="none"/>
          <w:shd w:fill="auto" w:val="clear"/>
          <w:vertAlign w:val="baseline"/>
          <w:rtl w:val="0"/>
        </w:rPr>
        <w:t xml:space="preserve">LIME (Local Interpretable Model-agnostic Explanations): LIME fits a local linear model around each prediction by perturbing input features. The resulting coefficients identify which features most influenced the model's decision for that specific instance. LIME cross-validates SHAP findings using a completely different algorithmic approach — agreement between SHAP and LIME for the same patient increases clinician confidence in the explanation.</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Bdr>
          <w:bottom w:color="922b21" w:space="4" w:sz="6" w:val="single"/>
        </w:pBdr>
        <w:spacing w:after="120" w:before="280" w:line="276" w:lineRule="auto"/>
        <w:rPr/>
      </w:pPr>
      <w:r w:rsidDel="00000000" w:rsidR="00000000" w:rsidRPr="00000000">
        <w:rPr>
          <w:rFonts w:ascii="Arial" w:cs="Arial" w:eastAsia="Arial" w:hAnsi="Arial"/>
          <w:b w:val="1"/>
          <w:bCs w:val="1"/>
          <w:smallCaps w:val="1"/>
          <w:color w:val="922b21"/>
          <w:sz w:val="26"/>
          <w:szCs w:val="26"/>
          <w:rtl w:val="0"/>
        </w:rPr>
        <w:t xml:space="preserve">5. RESULTS AND DISCUSSION</w:t>
      </w:r>
      <w:r w:rsidDel="00000000" w:rsidR="00000000" w:rsidRPr="00000000">
        <w:rPr>
          <w:rtl w:val="0"/>
        </w:rPr>
      </w:r>
    </w:p>
    <w:p w:rsidR="00000000" w:rsidDel="00000000" w:rsidP="00000000" w:rsidRDefault="00000000" w:rsidRPr="00000000" w14:paraId="000000A8">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5.1 Base Model Performance (10-Fold CV)</w:t>
      </w:r>
      <w:r w:rsidDel="00000000" w:rsidR="00000000" w:rsidRPr="00000000">
        <w:rPr>
          <w:rtl w:val="0"/>
        </w:rPr>
      </w:r>
    </w:p>
    <w:p w:rsidR="00000000" w:rsidDel="00000000" w:rsidP="00000000" w:rsidRDefault="00000000" w:rsidRPr="00000000" w14:paraId="000000A9">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Table 2 presents the 10-fold cross-validation results for all five base models on the resampled training set. All metrics are mean values across folds; standard deviation is reported for Accuracy and ROC-AUC.</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gridCol w:w="900"/>
        <w:gridCol w:w="1200"/>
        <w:gridCol w:w="900"/>
        <w:gridCol w:w="1200"/>
        <w:gridCol w:w="900"/>
        <w:gridCol w:w="760"/>
        <w:tblGridChange w:id="0">
          <w:tblGrid>
            <w:gridCol w:w="2200"/>
            <w:gridCol w:w="1300"/>
            <w:gridCol w:w="900"/>
            <w:gridCol w:w="1200"/>
            <w:gridCol w:w="900"/>
            <w:gridCol w:w="1200"/>
            <w:gridCol w:w="900"/>
            <w:gridCol w:w="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1"/>
                <w:bCs w:val="1"/>
                <w:color w:val="ffffff"/>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ffffff"/>
                <w:sz w:val="20"/>
                <w:szCs w:val="20"/>
                <w:rtl w:val="0"/>
              </w:rPr>
              <w:t xml:space="preserve">Acc±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ffffff"/>
                <w:sz w:val="20"/>
                <w:szCs w:val="20"/>
                <w:rtl w:val="0"/>
              </w:rPr>
              <w:t xml:space="preserve">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ffffff"/>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1"/>
                <w:bCs w:val="1"/>
                <w:color w:val="ffffff"/>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1"/>
                <w:bCs w:val="1"/>
                <w:color w:val="ffffff"/>
                <w:sz w:val="20"/>
                <w:szCs w:val="20"/>
                <w:rtl w:val="0"/>
              </w:rPr>
              <w:t xml:space="preserve">ROC-AUC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1"/>
                <w:bCs w:val="1"/>
                <w:color w:val="ffffff"/>
                <w:sz w:val="20"/>
                <w:szCs w:val="20"/>
                <w:rtl w:val="0"/>
              </w:rPr>
              <w:t xml:space="preserve">AUC±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1a252f"/>
                <w:sz w:val="20"/>
                <w:szCs w:val="20"/>
                <w:rtl w:val="0"/>
              </w:rPr>
              <w:t xml:space="preserve">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0"/>
                <w:bCs w:val="0"/>
                <w:color w:val="1a252f"/>
                <w:sz w:val="20"/>
                <w:szCs w:val="20"/>
                <w:rtl w:val="0"/>
              </w:rPr>
              <w:t xml:space="preserve">0.848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0"/>
                <w:bCs w:val="0"/>
                <w:color w:val="1a252f"/>
                <w:sz w:val="20"/>
                <w:szCs w:val="20"/>
                <w:rtl w:val="0"/>
              </w:rPr>
              <w:t xml:space="preserve">0.031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0"/>
                <w:bCs w:val="0"/>
                <w:color w:val="1a252f"/>
                <w:sz w:val="20"/>
                <w:szCs w:val="20"/>
                <w:rtl w:val="0"/>
              </w:rPr>
              <w:t xml:space="preserve">0.857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0"/>
                <w:bCs w:val="0"/>
                <w:color w:val="1a252f"/>
                <w:sz w:val="20"/>
                <w:szCs w:val="20"/>
                <w:rtl w:val="0"/>
              </w:rPr>
              <w:t xml:space="preserve">0.851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0"/>
                <w:bCs w:val="0"/>
                <w:color w:val="1a252f"/>
                <w:sz w:val="20"/>
                <w:szCs w:val="20"/>
                <w:rtl w:val="0"/>
              </w:rPr>
              <w:t xml:space="preserve">0.863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rFonts w:ascii="Arial" w:cs="Arial" w:eastAsia="Arial" w:hAnsi="Arial"/>
                <w:b w:val="0"/>
                <w:bCs w:val="0"/>
                <w:color w:val="1a252f"/>
                <w:sz w:val="20"/>
                <w:szCs w:val="20"/>
                <w:rtl w:val="0"/>
              </w:rPr>
              <w:t xml:space="preserve">0.913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0"/>
                <w:bCs w:val="0"/>
                <w:color w:val="1a252f"/>
                <w:sz w:val="20"/>
                <w:szCs w:val="20"/>
                <w:rtl w:val="0"/>
              </w:rPr>
              <w:t xml:space="preserve">0.019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1a252f"/>
                <w:sz w:val="20"/>
                <w:szCs w:val="20"/>
                <w:rtl w:val="0"/>
              </w:rPr>
              <w:t xml:space="preserve">SVM (RBF)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0"/>
                <w:bCs w:val="0"/>
                <w:color w:val="1a252f"/>
                <w:sz w:val="20"/>
                <w:szCs w:val="20"/>
                <w:rtl w:val="0"/>
              </w:rPr>
              <w:t xml:space="preserve">0.863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rFonts w:ascii="Arial" w:cs="Arial" w:eastAsia="Arial" w:hAnsi="Arial"/>
                <w:b w:val="0"/>
                <w:bCs w:val="0"/>
                <w:color w:val="1a252f"/>
                <w:sz w:val="20"/>
                <w:szCs w:val="20"/>
                <w:rtl w:val="0"/>
              </w:rPr>
              <w:t xml:space="preserve">0.028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0"/>
                <w:bCs w:val="0"/>
                <w:color w:val="1a252f"/>
                <w:sz w:val="20"/>
                <w:szCs w:val="20"/>
                <w:rtl w:val="0"/>
              </w:rPr>
              <w:t xml:space="preserve">0.870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0"/>
                <w:bCs w:val="0"/>
                <w:color w:val="1a252f"/>
                <w:sz w:val="20"/>
                <w:szCs w:val="20"/>
                <w:rtl w:val="0"/>
              </w:rPr>
              <w:t xml:space="preserve">0.866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0"/>
                <w:bCs w:val="0"/>
                <w:color w:val="1a252f"/>
                <w:sz w:val="20"/>
                <w:szCs w:val="20"/>
                <w:rtl w:val="0"/>
              </w:rPr>
              <w:t xml:space="preserve">0.874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jc w:val="center"/>
              <w:rPr/>
            </w:pPr>
            <w:r w:rsidDel="00000000" w:rsidR="00000000" w:rsidRPr="00000000">
              <w:rPr>
                <w:rFonts w:ascii="Arial" w:cs="Arial" w:eastAsia="Arial" w:hAnsi="Arial"/>
                <w:b w:val="0"/>
                <w:bCs w:val="0"/>
                <w:color w:val="1a252f"/>
                <w:sz w:val="20"/>
                <w:szCs w:val="20"/>
                <w:rtl w:val="0"/>
              </w:rPr>
              <w:t xml:space="preserve">0.927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rFonts w:ascii="Arial" w:cs="Arial" w:eastAsia="Arial" w:hAnsi="Arial"/>
                <w:b w:val="0"/>
                <w:bCs w:val="0"/>
                <w:color w:val="1a252f"/>
                <w:sz w:val="20"/>
                <w:szCs w:val="20"/>
                <w:rtl w:val="0"/>
              </w:rPr>
              <w:t xml:space="preserve">0.017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1a252f"/>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0"/>
                <w:bCs w:val="0"/>
                <w:color w:val="1a252f"/>
                <w:sz w:val="20"/>
                <w:szCs w:val="20"/>
                <w:rtl w:val="0"/>
              </w:rPr>
              <w:t xml:space="preserve">0.891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0"/>
                <w:bCs w:val="0"/>
                <w:color w:val="1a252f"/>
                <w:sz w:val="20"/>
                <w:szCs w:val="20"/>
                <w:rtl w:val="0"/>
              </w:rPr>
              <w:t xml:space="preserve">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0"/>
                <w:bCs w:val="0"/>
                <w:color w:val="1a252f"/>
                <w:sz w:val="20"/>
                <w:szCs w:val="20"/>
                <w:rtl w:val="0"/>
              </w:rPr>
              <w:t xml:space="preserve">0.898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0"/>
                <w:bCs w:val="0"/>
                <w:color w:val="1a252f"/>
                <w:sz w:val="20"/>
                <w:szCs w:val="20"/>
                <w:rtl w:val="0"/>
              </w:rPr>
              <w:t xml:space="preserve">0.895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1a252f"/>
                <w:sz w:val="20"/>
                <w:szCs w:val="20"/>
                <w:rtl w:val="0"/>
              </w:rPr>
              <w:t xml:space="preserve">0.901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0"/>
                <w:bCs w:val="0"/>
                <w:color w:val="1a252f"/>
                <w:sz w:val="20"/>
                <w:szCs w:val="20"/>
                <w:rtl w:val="0"/>
              </w:rPr>
              <w:t xml:space="preserve">0.948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0"/>
                <w:bCs w:val="0"/>
                <w:color w:val="1a252f"/>
                <w:sz w:val="20"/>
                <w:szCs w:val="20"/>
                <w:rtl w:val="0"/>
              </w:rPr>
              <w:t xml:space="preserve">0.014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1a252f"/>
                <w:sz w:val="20"/>
                <w:szCs w:val="20"/>
                <w:rtl w:val="0"/>
              </w:rPr>
              <w:t xml:space="preserve">LightGBM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0"/>
                <w:bCs w:val="0"/>
                <w:color w:val="1a252f"/>
                <w:sz w:val="20"/>
                <w:szCs w:val="20"/>
                <w:rtl w:val="0"/>
              </w:rPr>
              <w:t xml:space="preserve">0.903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0"/>
                <w:bCs w:val="0"/>
                <w:color w:val="1a252f"/>
                <w:sz w:val="20"/>
                <w:szCs w:val="20"/>
                <w:rtl w:val="0"/>
              </w:rPr>
              <w:t xml:space="preserve">0.022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1a252f"/>
                <w:sz w:val="20"/>
                <w:szCs w:val="20"/>
                <w:rtl w:val="0"/>
              </w:rPr>
              <w:t xml:space="preserve">0.909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0"/>
                <w:bCs w:val="0"/>
                <w:color w:val="1a252f"/>
                <w:sz w:val="20"/>
                <w:szCs w:val="20"/>
                <w:rtl w:val="0"/>
              </w:rPr>
              <w:t xml:space="preserve">0.905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0"/>
                <w:bCs w:val="0"/>
                <w:color w:val="1a252f"/>
                <w:sz w:val="20"/>
                <w:szCs w:val="20"/>
                <w:rtl w:val="0"/>
              </w:rPr>
              <w:t xml:space="preserve">0.913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0"/>
                <w:bCs w:val="0"/>
                <w:color w:val="1a252f"/>
                <w:sz w:val="20"/>
                <w:szCs w:val="20"/>
                <w:rtl w:val="0"/>
              </w:rPr>
              <w:t xml:space="preserve">0.957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0"/>
                <w:bCs w:val="0"/>
                <w:color w:val="1a252f"/>
                <w:sz w:val="20"/>
                <w:szCs w:val="20"/>
                <w:rtl w:val="0"/>
              </w:rPr>
              <w:t xml:space="preserve">0.012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1a252f"/>
                <w:sz w:val="20"/>
                <w:szCs w:val="20"/>
                <w:rtl w:val="0"/>
              </w:rPr>
              <w:t xml:space="preserve">XGBoost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0"/>
                <w:bCs w:val="0"/>
                <w:color w:val="1a252f"/>
                <w:sz w:val="20"/>
                <w:szCs w:val="20"/>
                <w:rtl w:val="0"/>
              </w:rPr>
              <w:t xml:space="preserve">0.908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0"/>
                <w:bCs w:val="0"/>
                <w:color w:val="1a252f"/>
                <w:sz w:val="20"/>
                <w:szCs w:val="20"/>
                <w:rtl w:val="0"/>
              </w:rPr>
              <w:t xml:space="preserve">0.021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0"/>
                <w:bCs w:val="0"/>
                <w:color w:val="1a252f"/>
                <w:sz w:val="20"/>
                <w:szCs w:val="20"/>
                <w:rtl w:val="0"/>
              </w:rPr>
              <w:t xml:space="preserve">0.914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0"/>
                <w:bCs w:val="0"/>
                <w:color w:val="1a252f"/>
                <w:sz w:val="20"/>
                <w:szCs w:val="20"/>
                <w:rtl w:val="0"/>
              </w:rPr>
              <w:t xml:space="preserve">0.911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0"/>
                <w:bCs w:val="0"/>
                <w:color w:val="1a252f"/>
                <w:sz w:val="20"/>
                <w:szCs w:val="20"/>
                <w:rtl w:val="0"/>
              </w:rPr>
              <w:t xml:space="preserve">0.917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0"/>
                <w:bCs w:val="0"/>
                <w:color w:val="1a252f"/>
                <w:sz w:val="20"/>
                <w:szCs w:val="20"/>
                <w:rtl w:val="0"/>
              </w:rPr>
              <w:t xml:space="preserve">0.960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0"/>
                <w:bCs w:val="0"/>
                <w:color w:val="1a252f"/>
                <w:sz w:val="20"/>
                <w:szCs w:val="20"/>
                <w:rtl w:val="0"/>
              </w:rPr>
              <w:t xml:space="preserve">0.011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1"/>
                <w:bCs w:val="1"/>
                <w:color w:val="1a252f"/>
                <w:sz w:val="20"/>
                <w:szCs w:val="20"/>
                <w:rtl w:val="0"/>
              </w:rPr>
              <w:t xml:space="preserve">LightGBM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0"/>
                <w:bCs w:val="0"/>
                <w:color w:val="1a252f"/>
                <w:sz w:val="20"/>
                <w:szCs w:val="20"/>
                <w:rtl w:val="0"/>
              </w:rPr>
              <w:t xml:space="preserve">0.911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rFonts w:ascii="Arial" w:cs="Arial" w:eastAsia="Arial" w:hAnsi="Arial"/>
                <w:b w:val="0"/>
                <w:bCs w:val="0"/>
                <w:color w:val="1a252f"/>
                <w:sz w:val="20"/>
                <w:szCs w:val="20"/>
                <w:rtl w:val="0"/>
              </w:rPr>
              <w:t xml:space="preserve">0.020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0"/>
                <w:bCs w:val="0"/>
                <w:color w:val="1a252f"/>
                <w:sz w:val="20"/>
                <w:szCs w:val="20"/>
                <w:rtl w:val="0"/>
              </w:rPr>
              <w:t xml:space="preserve">0.917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0"/>
                <w:bCs w:val="0"/>
                <w:color w:val="1a252f"/>
                <w:sz w:val="20"/>
                <w:szCs w:val="20"/>
                <w:rtl w:val="0"/>
              </w:rPr>
              <w:t xml:space="preserve">0.913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0"/>
                <w:bCs w:val="0"/>
                <w:color w:val="1a252f"/>
                <w:sz w:val="20"/>
                <w:szCs w:val="20"/>
                <w:rtl w:val="0"/>
              </w:rPr>
              <w:t xml:space="preserve">0.921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0"/>
                <w:bCs w:val="0"/>
                <w:color w:val="1a252f"/>
                <w:sz w:val="20"/>
                <w:szCs w:val="20"/>
                <w:rtl w:val="0"/>
              </w:rPr>
              <w:t xml:space="preserve">0.962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1a252f"/>
                <w:sz w:val="20"/>
                <w:szCs w:val="20"/>
                <w:rtl w:val="0"/>
              </w:rPr>
              <w:t xml:space="preserve">0.010</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XGBoost and LightGBM consistently outperformed Logistic Regression and SVM, confirming the suitability of gradient-boosted trees for tabular clinical data. The relatively small standard deviations (0.010-0.019 for AUC) indicate stable, low-variance cross-validation estimates.</w:t>
      </w:r>
      <w:r w:rsidDel="00000000" w:rsidR="00000000" w:rsidRPr="00000000">
        <w:rPr>
          <w:rtl w:val="0"/>
        </w:rPr>
      </w:r>
    </w:p>
    <w:p w:rsidR="00000000" w:rsidDel="00000000" w:rsidP="00000000" w:rsidRDefault="00000000" w:rsidRPr="00000000" w14:paraId="000000E4">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5.2 Stacking Ensemble vs. Base Models (Test Set)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200"/>
        <w:gridCol w:w="1260"/>
        <w:gridCol w:w="1200"/>
        <w:gridCol w:w="1200"/>
        <w:gridCol w:w="900"/>
        <w:tblGridChange w:id="0">
          <w:tblGrid>
            <w:gridCol w:w="2400"/>
            <w:gridCol w:w="1200"/>
            <w:gridCol w:w="1200"/>
            <w:gridCol w:w="1260"/>
            <w:gridCol w:w="1200"/>
            <w:gridCol w:w="1200"/>
            <w:gridCol w:w="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1"/>
                <w:bCs w:val="1"/>
                <w:color w:val="ffffff"/>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1"/>
                <w:bCs w:val="1"/>
                <w:color w:val="ffffff"/>
                <w:sz w:val="20"/>
                <w:szCs w:val="20"/>
                <w:rtl w:val="0"/>
              </w:rPr>
              <w:t xml:space="preserve">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1"/>
                <w:bCs w:val="1"/>
                <w:color w:val="ffffff"/>
                <w:sz w:val="20"/>
                <w:szCs w:val="20"/>
                <w:rtl w:val="0"/>
              </w:rPr>
              <w:t xml:space="preserve">ROC-AUC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ffffff"/>
                <w:sz w:val="20"/>
                <w:szCs w:val="20"/>
                <w:rtl w:val="0"/>
              </w:rPr>
              <w:t xml:space="preserve">PR-AUC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1"/>
                <w:bCs w:val="1"/>
                <w:color w:val="ffffff"/>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1"/>
                <w:bCs w:val="1"/>
                <w:color w:val="ffffff"/>
                <w:sz w:val="20"/>
                <w:szCs w:val="20"/>
                <w:rtl w:val="0"/>
              </w:rPr>
              <w:t xml:space="preserve">Recall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1a252f"/>
                <w:sz w:val="20"/>
                <w:szCs w:val="20"/>
                <w:rtl w:val="0"/>
              </w:rPr>
              <w:t xml:space="preserve">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1a252f"/>
                <w:sz w:val="20"/>
                <w:szCs w:val="20"/>
                <w:rtl w:val="0"/>
              </w:rPr>
              <w:t xml:space="preserve">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jc w:val="center"/>
              <w:rPr/>
            </w:pPr>
            <w:r w:rsidDel="00000000" w:rsidR="00000000" w:rsidRPr="00000000">
              <w:rPr>
                <w:rFonts w:ascii="Arial" w:cs="Arial" w:eastAsia="Arial" w:hAnsi="Arial"/>
                <w:b w:val="0"/>
                <w:bCs w:val="0"/>
                <w:color w:val="1a252f"/>
                <w:sz w:val="20"/>
                <w:szCs w:val="20"/>
                <w:rtl w:val="0"/>
              </w:rPr>
              <w:t xml:space="preserve">85.0%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rFonts w:ascii="Arial" w:cs="Arial" w:eastAsia="Arial" w:hAnsi="Arial"/>
                <w:b w:val="0"/>
                <w:bCs w:val="0"/>
                <w:color w:val="1a252f"/>
                <w:sz w:val="20"/>
                <w:szCs w:val="20"/>
                <w:rtl w:val="0"/>
              </w:rPr>
              <w:t xml:space="preserve">0.914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0"/>
                <w:bCs w:val="0"/>
                <w:color w:val="1a252f"/>
                <w:sz w:val="20"/>
                <w:szCs w:val="20"/>
                <w:rtl w:val="0"/>
              </w:rPr>
              <w:t xml:space="preserve">0.891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rFonts w:ascii="Arial" w:cs="Arial" w:eastAsia="Arial" w:hAnsi="Arial"/>
                <w:b w:val="0"/>
                <w:bCs w:val="0"/>
                <w:color w:val="1a252f"/>
                <w:sz w:val="20"/>
                <w:szCs w:val="20"/>
                <w:rtl w:val="0"/>
              </w:rPr>
              <w:t xml:space="preserve">85.3%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rFonts w:ascii="Arial" w:cs="Arial" w:eastAsia="Arial" w:hAnsi="Arial"/>
                <w:b w:val="0"/>
                <w:bCs w:val="0"/>
                <w:color w:val="1a252f"/>
                <w:sz w:val="20"/>
                <w:szCs w:val="20"/>
                <w:rtl w:val="0"/>
              </w:rPr>
              <w:t xml:space="preserve">84.7%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1a252f"/>
                <w:sz w:val="20"/>
                <w:szCs w:val="20"/>
                <w:rtl w:val="0"/>
              </w:rPr>
              <w:t xml:space="preserve">SVM (RBF)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0"/>
                <w:bCs w:val="0"/>
                <w:color w:val="1a252f"/>
                <w:sz w:val="20"/>
                <w:szCs w:val="20"/>
                <w:rtl w:val="0"/>
              </w:rPr>
              <w:t xml:space="preserve">86.4%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0"/>
                <w:bCs w:val="0"/>
                <w:color w:val="1a252f"/>
                <w:sz w:val="20"/>
                <w:szCs w:val="20"/>
                <w:rtl w:val="0"/>
              </w:rPr>
              <w:t xml:space="preserve">87.1%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0"/>
                <w:bCs w:val="0"/>
                <w:color w:val="1a252f"/>
                <w:sz w:val="20"/>
                <w:szCs w:val="20"/>
                <w:rtl w:val="0"/>
              </w:rPr>
              <w:t xml:space="preserve">0.929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0"/>
                <w:bCs w:val="0"/>
                <w:color w:val="1a252f"/>
                <w:sz w:val="20"/>
                <w:szCs w:val="20"/>
                <w:rtl w:val="0"/>
              </w:rPr>
              <w:t xml:space="preserve">0.908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Arial" w:cs="Arial" w:eastAsia="Arial" w:hAnsi="Arial"/>
                <w:b w:val="0"/>
                <w:bCs w:val="0"/>
                <w:color w:val="1a252f"/>
                <w:sz w:val="20"/>
                <w:szCs w:val="20"/>
                <w:rtl w:val="0"/>
              </w:rPr>
              <w:t xml:space="preserve">87.4%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rFonts w:ascii="Arial" w:cs="Arial" w:eastAsia="Arial" w:hAnsi="Arial"/>
                <w:b w:val="0"/>
                <w:bCs w:val="0"/>
                <w:color w:val="1a252f"/>
                <w:sz w:val="20"/>
                <w:szCs w:val="20"/>
                <w:rtl w:val="0"/>
              </w:rPr>
              <w:t xml:space="preserve">86.8%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1a252f"/>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rFonts w:ascii="Arial" w:cs="Arial" w:eastAsia="Arial" w:hAnsi="Arial"/>
                <w:b w:val="0"/>
                <w:bCs w:val="0"/>
                <w:color w:val="1a252f"/>
                <w:sz w:val="20"/>
                <w:szCs w:val="20"/>
                <w:rtl w:val="0"/>
              </w:rPr>
              <w:t xml:space="preserve">89.1%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rFonts w:ascii="Arial" w:cs="Arial" w:eastAsia="Arial" w:hAnsi="Arial"/>
                <w:b w:val="0"/>
                <w:bCs w:val="0"/>
                <w:color w:val="1a252f"/>
                <w:sz w:val="20"/>
                <w:szCs w:val="20"/>
                <w:rtl w:val="0"/>
              </w:rPr>
              <w:t xml:space="preserve">89.7%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0"/>
                <w:bCs w:val="0"/>
                <w:color w:val="1a252f"/>
                <w:sz w:val="20"/>
                <w:szCs w:val="20"/>
                <w:rtl w:val="0"/>
              </w:rPr>
              <w:t xml:space="preserve">0.950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rFonts w:ascii="Arial" w:cs="Arial" w:eastAsia="Arial" w:hAnsi="Arial"/>
                <w:b w:val="0"/>
                <w:bCs w:val="0"/>
                <w:color w:val="1a252f"/>
                <w:sz w:val="20"/>
                <w:szCs w:val="20"/>
                <w:rtl w:val="0"/>
              </w:rPr>
              <w:t xml:space="preserve">0.929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0"/>
                <w:bCs w:val="0"/>
                <w:color w:val="1a252f"/>
                <w:sz w:val="20"/>
                <w:szCs w:val="20"/>
                <w:rtl w:val="0"/>
              </w:rPr>
              <w:t xml:space="preserve">89.9%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rFonts w:ascii="Arial" w:cs="Arial" w:eastAsia="Arial" w:hAnsi="Arial"/>
                <w:b w:val="0"/>
                <w:bCs w:val="0"/>
                <w:color w:val="1a252f"/>
                <w:sz w:val="20"/>
                <w:szCs w:val="20"/>
                <w:rtl w:val="0"/>
              </w:rPr>
              <w:t xml:space="preserve">89.5%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1a252f"/>
                <w:sz w:val="20"/>
                <w:szCs w:val="20"/>
                <w:rtl w:val="0"/>
              </w:rPr>
              <w:t xml:space="preserve">LightGBM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rFonts w:ascii="Arial" w:cs="Arial" w:eastAsia="Arial" w:hAnsi="Arial"/>
                <w:b w:val="0"/>
                <w:bCs w:val="0"/>
                <w:color w:val="1a252f"/>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0"/>
                <w:bCs w:val="0"/>
                <w:color w:val="1a252f"/>
                <w:sz w:val="20"/>
                <w:szCs w:val="20"/>
                <w:rtl w:val="0"/>
              </w:rPr>
              <w:t xml:space="preserve">91.9%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0"/>
                <w:bCs w:val="0"/>
                <w:color w:val="1a252f"/>
                <w:sz w:val="20"/>
                <w:szCs w:val="20"/>
                <w:rtl w:val="0"/>
              </w:rPr>
              <w:t xml:space="preserve">0.961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0"/>
                <w:bCs w:val="0"/>
                <w:color w:val="1a252f"/>
                <w:sz w:val="20"/>
                <w:szCs w:val="20"/>
                <w:rtl w:val="0"/>
              </w:rPr>
              <w:t xml:space="preserve">0.943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jc w:val="center"/>
              <w:rPr/>
            </w:pPr>
            <w:r w:rsidDel="00000000" w:rsidR="00000000" w:rsidRPr="00000000">
              <w:rPr>
                <w:rFonts w:ascii="Arial" w:cs="Arial" w:eastAsia="Arial" w:hAnsi="Arial"/>
                <w:b w:val="0"/>
                <w:bCs w:val="0"/>
                <w:color w:val="1a252f"/>
                <w:sz w:val="20"/>
                <w:szCs w:val="20"/>
                <w:rtl w:val="0"/>
              </w:rPr>
              <w:t xml:space="preserve">91.7%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0"/>
                <w:bCs w:val="0"/>
                <w:color w:val="1a252f"/>
                <w:sz w:val="20"/>
                <w:szCs w:val="20"/>
                <w:rtl w:val="0"/>
              </w:rPr>
              <w:t xml:space="preserve">92.1%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1a252f"/>
                <w:sz w:val="20"/>
                <w:szCs w:val="20"/>
                <w:rtl w:val="0"/>
              </w:rPr>
              <w:t xml:space="preserve">XGBoost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0"/>
                <w:bCs w:val="0"/>
                <w:color w:val="1a252f"/>
                <w:sz w:val="20"/>
                <w:szCs w:val="20"/>
                <w:rtl w:val="0"/>
              </w:rPr>
              <w:t xml:space="preserve">91.8%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rFonts w:ascii="Arial" w:cs="Arial" w:eastAsia="Arial" w:hAnsi="Arial"/>
                <w:b w:val="0"/>
                <w:bCs w:val="0"/>
                <w:color w:val="1a252f"/>
                <w:sz w:val="20"/>
                <w:szCs w:val="20"/>
                <w:rtl w:val="0"/>
              </w:rPr>
              <w:t xml:space="preserve">92.3%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0"/>
                <w:bCs w:val="0"/>
                <w:color w:val="1a252f"/>
                <w:sz w:val="20"/>
                <w:szCs w:val="20"/>
                <w:rtl w:val="0"/>
              </w:rPr>
              <w:t xml:space="preserve">0.963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0"/>
                <w:bCs w:val="0"/>
                <w:color w:val="1a252f"/>
                <w:sz w:val="20"/>
                <w:szCs w:val="20"/>
                <w:rtl w:val="0"/>
              </w:rPr>
              <w:t xml:space="preserve">0.946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0"/>
                <w:bCs w:val="0"/>
                <w:color w:val="1a252f"/>
                <w:sz w:val="20"/>
                <w:szCs w:val="20"/>
                <w:rtl w:val="0"/>
              </w:rPr>
              <w:t xml:space="preserve">92.1%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0"/>
                <w:bCs w:val="0"/>
                <w:color w:val="1a252f"/>
                <w:sz w:val="20"/>
                <w:szCs w:val="20"/>
                <w:rtl w:val="0"/>
              </w:rPr>
              <w:t xml:space="preserve">92.5%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922b21"/>
                <w:sz w:val="20"/>
                <w:szCs w:val="20"/>
                <w:rtl w:val="0"/>
              </w:rPr>
              <w:t xml:space="preserve">Stacking Ensemble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1a252f"/>
                <w:sz w:val="20"/>
                <w:szCs w:val="20"/>
                <w:rtl w:val="0"/>
              </w:rPr>
              <w:t xml:space="preserve">93.2%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1a252f"/>
                <w:sz w:val="20"/>
                <w:szCs w:val="20"/>
                <w:rtl w:val="0"/>
              </w:rPr>
              <w:t xml:space="preserve">93.7%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Arial" w:cs="Arial" w:eastAsia="Arial" w:hAnsi="Arial"/>
                <w:b w:val="1"/>
                <w:bCs w:val="1"/>
                <w:color w:val="1a252f"/>
                <w:sz w:val="20"/>
                <w:szCs w:val="20"/>
                <w:rtl w:val="0"/>
              </w:rPr>
              <w:t xml:space="preserve">0.965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1"/>
                <w:bCs w:val="1"/>
                <w:color w:val="1a252f"/>
                <w:sz w:val="20"/>
                <w:szCs w:val="20"/>
                <w:rtl w:val="0"/>
              </w:rPr>
              <w:t xml:space="preserve">0.951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Arial" w:cs="Arial" w:eastAsia="Arial" w:hAnsi="Arial"/>
                <w:b w:val="1"/>
                <w:bCs w:val="1"/>
                <w:color w:val="1a252f"/>
                <w:sz w:val="20"/>
                <w:szCs w:val="20"/>
                <w:rtl w:val="0"/>
              </w:rPr>
              <w:t xml:space="preserve">93.4%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b w:val="1"/>
                <w:bCs w:val="1"/>
                <w:color w:val="1a252f"/>
                <w:sz w:val="20"/>
                <w:szCs w:val="20"/>
                <w:rtl w:val="0"/>
              </w:rPr>
              <w:t xml:space="preserve">94.0%</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The stacking ensemble outperforms every individual model across all six evaluation metrics. Notably, the improvement from the best single model (XGBoost: 91.8% accuracy) to the ensemble (93.2% accuracy) represents a 1.4 percentage point gain — consistent with ensemble theory showing that diverse learners capture complementary aspects of the decision boundary that no single algorithm can capture alone.</w:t>
      </w:r>
      <w:r w:rsidDel="00000000" w:rsidR="00000000" w:rsidRPr="00000000">
        <w:rPr>
          <w:rtl w:val="0"/>
        </w:rPr>
      </w:r>
    </w:p>
    <w:p w:rsidR="00000000" w:rsidDel="00000000" w:rsidP="00000000" w:rsidRDefault="00000000" w:rsidRPr="00000000" w14:paraId="00000118">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The high Recall (94.0%) is particularly significant in a medical context: in heart disease screening, a false negative (missing a true case) is far more dangerous than a false positive (unnecessary follow-up testing). Our model correctly identifies 94% of all true positive heart disease cases.</w:t>
      </w:r>
      <w:r w:rsidDel="00000000" w:rsidR="00000000" w:rsidRPr="00000000">
        <w:rPr>
          <w:rtl w:val="0"/>
        </w:rPr>
      </w:r>
    </w:p>
    <w:p w:rsidR="00000000" w:rsidDel="00000000" w:rsidP="00000000" w:rsidRDefault="00000000" w:rsidRPr="00000000" w14:paraId="00000119">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5.3 Feature Engineering Impact</w:t>
      </w:r>
      <w:r w:rsidDel="00000000" w:rsidR="00000000" w:rsidRPr="00000000">
        <w:rPr>
          <w:rtl w:val="0"/>
        </w:rPr>
      </w:r>
    </w:p>
    <w:p w:rsidR="00000000" w:rsidDel="00000000" w:rsidP="00000000" w:rsidRDefault="00000000" w:rsidRPr="00000000" w14:paraId="0000011A">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To quantify the contribution of our engineered features, we trained LightGBM on the raw feature set alone (13 features, no engineering) and compared against the full engineered feature set (22 features). The engineered features improved ROC-AUC by 2.1 percentage points (0.937 to 0.957 on cross-validation), confirming that clinically-motivated interaction features extract signal beyond what raw features provide. The top three engineered features by SHAP importance were hr_reserve (rank 3 globally), age_hr_ratio (rank 5), and exercise_risk_score (rank 7).</w:t>
      </w:r>
      <w:r w:rsidDel="00000000" w:rsidR="00000000" w:rsidRPr="00000000">
        <w:rPr>
          <w:rtl w:val="0"/>
        </w:rPr>
      </w:r>
    </w:p>
    <w:p w:rsidR="00000000" w:rsidDel="00000000" w:rsidP="00000000" w:rsidRDefault="00000000" w:rsidRPr="00000000" w14:paraId="0000011B">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5.4 SHAP Explainability Findings</w:t>
      </w:r>
      <w:r w:rsidDel="00000000" w:rsidR="00000000" w:rsidRPr="00000000">
        <w:rPr>
          <w:rtl w:val="0"/>
        </w:rPr>
      </w:r>
    </w:p>
    <w:p w:rsidR="00000000" w:rsidDel="00000000" w:rsidP="00000000" w:rsidRDefault="00000000" w:rsidRPr="00000000" w14:paraId="0000011C">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SHAP analysis of the LightGBM model reveals the following global feature importance ranking (by mean absolute SHAP value): (1) ca — number of blocked vessels is the single strongest predictor; (2) thal — reversible perfusion defects indicate active ischemia; (3) hr_reserve — patients who fail to reach expected maximum heart rate carry significantly elevated risk; (4) cp — asymptomatic chest pain type, paradoxically, associates most strongly with confirmed disease (silent ischemia); (5) thalach — low maximum heart rate directly reflects cardiac functional impairment.</w:t>
      </w:r>
      <w:r w:rsidDel="00000000" w:rsidR="00000000" w:rsidRPr="00000000">
        <w:rPr>
          <w:rtl w:val="0"/>
        </w:rPr>
      </w:r>
    </w:p>
    <w:p w:rsidR="00000000" w:rsidDel="00000000" w:rsidP="00000000" w:rsidRDefault="00000000" w:rsidRPr="00000000" w14:paraId="0000011D">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At the patient level, SHAP waterfall plots enable individual clinical interpretation. A high-risk patient scored 87% probability of heart disease driven primarily by: ca = 2 (two blocked vessels, SHAP contribution +0.43), thal = 2 (reversible defect, +0.31), hr_reserve = 41 bpm deficit (+0.28), and cp = 0 (asymptomatic pattern, +0.19). A physician reviewing these contributions would immediately recognize a classic presentation of significant multi-vessel CAD — validating that our model has learned clinically coherent decision rules.</w:t>
      </w:r>
      <w:r w:rsidDel="00000000" w:rsidR="00000000" w:rsidRPr="00000000">
        <w:rPr>
          <w:rtl w:val="0"/>
        </w:rPr>
      </w:r>
    </w:p>
    <w:p w:rsidR="00000000" w:rsidDel="00000000" w:rsidP="00000000" w:rsidRDefault="00000000" w:rsidRPr="00000000" w14:paraId="0000011E">
      <w:pPr>
        <w:spacing w:after="80" w:before="200" w:line="276" w:lineRule="auto"/>
        <w:rPr/>
      </w:pPr>
      <w:r w:rsidDel="00000000" w:rsidR="00000000" w:rsidRPr="00000000">
        <w:rPr>
          <w:rFonts w:ascii="Arial" w:cs="Arial" w:eastAsia="Arial" w:hAnsi="Arial"/>
          <w:b w:val="1"/>
          <w:bCs w:val="1"/>
          <w:smallCaps w:val="0"/>
          <w:color w:val="1b4f72"/>
          <w:sz w:val="24"/>
          <w:szCs w:val="24"/>
          <w:rtl w:val="0"/>
        </w:rPr>
        <w:t xml:space="preserve">5.5 LIME Local Explanation Validation</w:t>
      </w:r>
      <w:r w:rsidDel="00000000" w:rsidR="00000000" w:rsidRPr="00000000">
        <w:rPr>
          <w:rtl w:val="0"/>
        </w:rPr>
      </w:r>
    </w:p>
    <w:p w:rsidR="00000000" w:rsidDel="00000000" w:rsidP="00000000" w:rsidRDefault="00000000" w:rsidRPr="00000000" w14:paraId="0000011F">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LIME explanations for the same high-risk patient identified the same top contributing features as SHAP in the same direction (ca, thal, hr_reserve, oldpeak). This cross-method agreement significantly increases trustworthiness: two completely different explainability algorithms — one game-theoretic (SHAP) and one local linear approximation (LIME) — independently arrive at the same clinical reasoning. When SHAP and LIME disagree on feature direction for a given patient, this flags an ambiguous or borderline case that warrants additional clinical investigation rather than automated decision-making.</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Bdr>
          <w:bottom w:color="922b21" w:space="4" w:sz="6" w:val="single"/>
        </w:pBdr>
        <w:spacing w:after="120" w:before="280" w:line="276" w:lineRule="auto"/>
        <w:rPr/>
      </w:pPr>
      <w:r w:rsidDel="00000000" w:rsidR="00000000" w:rsidRPr="00000000">
        <w:rPr>
          <w:rFonts w:ascii="Arial" w:cs="Arial" w:eastAsia="Arial" w:hAnsi="Arial"/>
          <w:b w:val="1"/>
          <w:bCs w:val="1"/>
          <w:smallCaps w:val="1"/>
          <w:color w:val="922b21"/>
          <w:sz w:val="26"/>
          <w:szCs w:val="26"/>
          <w:rtl w:val="0"/>
        </w:rPr>
        <w:t xml:space="preserve">6. COMPARISON WITH RELATED WORK</w:t>
      </w:r>
      <w:r w:rsidDel="00000000" w:rsidR="00000000" w:rsidRPr="00000000">
        <w:rPr>
          <w:rtl w:val="0"/>
        </w:rPr>
      </w:r>
    </w:p>
    <w:tbl>
      <w:tblPr>
        <w:tblStyle w:val="Table5"/>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0"/>
        <w:gridCol w:w="880"/>
        <w:gridCol w:w="880"/>
        <w:gridCol w:w="880"/>
        <w:gridCol w:w="880"/>
        <w:gridCol w:w="880"/>
        <w:gridCol w:w="920"/>
        <w:gridCol w:w="880"/>
        <w:tblGridChange w:id="0">
          <w:tblGrid>
            <w:gridCol w:w="1960"/>
            <w:gridCol w:w="880"/>
            <w:gridCol w:w="880"/>
            <w:gridCol w:w="880"/>
            <w:gridCol w:w="880"/>
            <w:gridCol w:w="880"/>
            <w:gridCol w:w="920"/>
            <w:gridCol w:w="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1"/>
                <w:bCs w:val="1"/>
                <w:color w:val="ffffff"/>
                <w:sz w:val="20"/>
                <w:szCs w:val="20"/>
                <w:rtl w:val="0"/>
              </w:rPr>
              <w:t xml:space="preserve">[1]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1"/>
                <w:bCs w:val="1"/>
                <w:color w:val="ffffff"/>
                <w:sz w:val="20"/>
                <w:szCs w:val="20"/>
                <w:rtl w:val="0"/>
              </w:rPr>
              <w:t xml:space="preserve">[2]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ffffff"/>
                <w:sz w:val="20"/>
                <w:szCs w:val="20"/>
                <w:rtl w:val="0"/>
              </w:rPr>
              <w:t xml:space="preserve">[3]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1"/>
                <w:bCs w:val="1"/>
                <w:color w:val="ffffff"/>
                <w:sz w:val="20"/>
                <w:szCs w:val="20"/>
                <w:rtl w:val="0"/>
              </w:rPr>
              <w:t xml:space="preserve">[4]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ffffff"/>
                <w:sz w:val="20"/>
                <w:szCs w:val="20"/>
                <w:rtl w:val="0"/>
              </w:rPr>
              <w:t xml:space="preserve">[5]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ffffff"/>
                <w:sz w:val="20"/>
                <w:szCs w:val="20"/>
                <w:rtl w:val="0"/>
              </w:rPr>
              <w:t xml:space="preserve">Our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1"/>
                <w:bCs w:val="1"/>
                <w:color w:val="ffffff"/>
                <w:sz w:val="20"/>
                <w:szCs w:val="20"/>
                <w:rtl w:val="0"/>
              </w:rPr>
              <w:t xml:space="preserve">Gap Filled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1"/>
                <w:bCs w:val="1"/>
                <w:color w:val="1a252f"/>
                <w:sz w:val="20"/>
                <w:szCs w:val="20"/>
                <w:rtl w:val="0"/>
              </w:rPr>
              <w:t xml:space="preserve">Dataset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0"/>
                <w:bCs w:val="0"/>
                <w:color w:val="1a252f"/>
                <w:sz w:val="20"/>
                <w:szCs w:val="20"/>
                <w:rtl w:val="0"/>
              </w:rPr>
              <w:t xml:space="preserve">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0"/>
                <w:bCs w:val="0"/>
                <w:color w:val="1a252f"/>
                <w:sz w:val="20"/>
                <w:szCs w:val="20"/>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0"/>
                <w:bCs w:val="0"/>
                <w:color w:val="1a252f"/>
                <w:sz w:val="20"/>
                <w:szCs w:val="20"/>
                <w:rtl w:val="0"/>
              </w:rPr>
              <w:t xml:space="preserve">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0"/>
                <w:bCs w:val="0"/>
                <w:color w:val="1a252f"/>
                <w:sz w:val="20"/>
                <w:szCs w:val="20"/>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0"/>
                <w:bCs w:val="0"/>
                <w:color w:val="1a252f"/>
                <w:sz w:val="20"/>
                <w:szCs w:val="20"/>
                <w:rtl w:val="0"/>
              </w:rPr>
              <w:t xml:space="preserve">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922b21"/>
                <w:sz w:val="20"/>
                <w:szCs w:val="20"/>
                <w:rtl w:val="0"/>
              </w:rPr>
              <w:t xml:space="preserve">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b w:val="0"/>
                <w:bCs w:val="0"/>
                <w:color w:val="1a252f"/>
                <w:sz w:val="20"/>
                <w:szCs w:val="20"/>
                <w:rtl w:val="0"/>
              </w:rPr>
              <w:t xml:space="preserve">Gap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1"/>
                <w:bCs w:val="1"/>
                <w:color w:val="1a252f"/>
                <w:sz w:val="20"/>
                <w:szCs w:val="20"/>
                <w:rtl w:val="0"/>
              </w:rPr>
              <w:t xml:space="preserve">Multi-Center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b w:val="0"/>
                <w:bCs w:val="0"/>
                <w:color w:val="1a252f"/>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b w:val="0"/>
                <w:bCs w:val="0"/>
                <w:color w:val="1a252f"/>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922b21"/>
                <w:sz w:val="20"/>
                <w:szCs w:val="20"/>
                <w:rtl w:val="0"/>
              </w:rPr>
              <w:t xml:space="preserve">All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rFonts w:ascii="Arial" w:cs="Arial" w:eastAsia="Arial" w:hAnsi="Arial"/>
                <w:b w:val="0"/>
                <w:bCs w:val="0"/>
                <w:color w:val="1a252f"/>
                <w:sz w:val="20"/>
                <w:szCs w:val="20"/>
                <w:rtl w:val="0"/>
              </w:rPr>
              <w:t xml:space="preserve">Gap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1"/>
                <w:bCs w:val="1"/>
                <w:color w:val="1a252f"/>
                <w:sz w:val="20"/>
                <w:szCs w:val="20"/>
                <w:rtl w:val="0"/>
              </w:rPr>
              <w:t xml:space="preserve">Stacking Ensemble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rFonts w:ascii="Arial" w:cs="Arial" w:eastAsia="Arial" w:hAnsi="Arial"/>
                <w:b w:val="1"/>
                <w:bCs w:val="1"/>
                <w:color w:val="922b21"/>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rFonts w:ascii="Arial" w:cs="Arial" w:eastAsia="Arial" w:hAnsi="Arial"/>
                <w:b w:val="0"/>
                <w:bCs w:val="0"/>
                <w:color w:val="1a252f"/>
                <w:sz w:val="20"/>
                <w:szCs w:val="20"/>
                <w:rtl w:val="0"/>
              </w:rPr>
              <w:t xml:space="preserve">Gap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1"/>
                <w:bCs w:val="1"/>
                <w:color w:val="1a252f"/>
                <w:sz w:val="20"/>
                <w:szCs w:val="20"/>
                <w:rtl w:val="0"/>
              </w:rPr>
              <w:t xml:space="preserve">Clinical Feat. Eng.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0"/>
                <w:bCs w:val="0"/>
                <w:color w:val="1a252f"/>
                <w:sz w:val="20"/>
                <w:szCs w:val="20"/>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922b21"/>
                <w:sz w:val="20"/>
                <w:szCs w:val="20"/>
                <w:rtl w:val="0"/>
              </w:rPr>
              <w:t xml:space="preserve">8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0"/>
                <w:bCs w:val="0"/>
                <w:color w:val="1a252f"/>
                <w:sz w:val="20"/>
                <w:szCs w:val="20"/>
                <w:rtl w:val="0"/>
              </w:rPr>
              <w:t xml:space="preserve">Gap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1"/>
                <w:bCs w:val="1"/>
                <w:color w:val="1a252f"/>
                <w:sz w:val="20"/>
                <w:szCs w:val="20"/>
                <w:rtl w:val="0"/>
              </w:rPr>
              <w:t xml:space="preserve">Bayesian HPO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4E">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4F">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rFonts w:ascii="Arial" w:cs="Arial" w:eastAsia="Arial" w:hAnsi="Arial"/>
                <w:b w:val="1"/>
                <w:bCs w:val="1"/>
                <w:color w:val="922b21"/>
                <w:sz w:val="20"/>
                <w:szCs w:val="20"/>
                <w:rtl w:val="0"/>
              </w:rPr>
              <w:t xml:space="preserve">Optuna TPE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rFonts w:ascii="Arial" w:cs="Arial" w:eastAsia="Arial" w:hAnsi="Arial"/>
                <w:b w:val="0"/>
                <w:bCs w:val="0"/>
                <w:color w:val="1a252f"/>
                <w:sz w:val="20"/>
                <w:szCs w:val="20"/>
                <w:rtl w:val="0"/>
              </w:rPr>
              <w:t xml:space="preserve">Gap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1"/>
                <w:bCs w:val="1"/>
                <w:color w:val="1a252f"/>
                <w:sz w:val="20"/>
                <w:szCs w:val="20"/>
                <w:rtl w:val="0"/>
              </w:rPr>
              <w:t xml:space="preserve">SMOTE+Tomek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rFonts w:ascii="Arial" w:cs="Arial" w:eastAsia="Arial" w:hAnsi="Arial"/>
                <w:b w:val="0"/>
                <w:bCs w:val="0"/>
                <w:color w:val="1a252f"/>
                <w:sz w:val="20"/>
                <w:szCs w:val="20"/>
                <w:rtl w:val="0"/>
              </w:rPr>
              <w:t xml:space="preserve">SMOTE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rFonts w:ascii="Arial" w:cs="Arial" w:eastAsia="Arial" w:hAnsi="Arial"/>
                <w:b w:val="0"/>
                <w:bCs w:val="0"/>
                <w:color w:val="1a252f"/>
                <w:sz w:val="20"/>
                <w:szCs w:val="20"/>
                <w:rtl w:val="0"/>
              </w:rPr>
              <w:t xml:space="preserve">SMOTE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922b21"/>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0"/>
                <w:bCs w:val="0"/>
                <w:color w:val="1a252f"/>
                <w:sz w:val="20"/>
                <w:szCs w:val="20"/>
                <w:rtl w:val="0"/>
              </w:rPr>
              <w:t xml:space="preserve">Gap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1"/>
                <w:bCs w:val="1"/>
                <w:color w:val="1a252f"/>
                <w:sz w:val="20"/>
                <w:szCs w:val="20"/>
                <w:rtl w:val="0"/>
              </w:rPr>
              <w:t xml:space="preserve">SHAP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5E">
            <w:pPr>
              <w:jc w:val="center"/>
              <w:rPr/>
            </w:pPr>
            <w:r w:rsidDel="00000000" w:rsidR="00000000" w:rsidRPr="00000000">
              <w:rPr>
                <w:rFonts w:ascii="Arial" w:cs="Arial" w:eastAsia="Arial" w:hAnsi="Arial"/>
                <w:b w:val="0"/>
                <w:bCs w:val="0"/>
                <w:color w:val="1a252f"/>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0"/>
                <w:bCs w:val="0"/>
                <w:color w:val="1a252f"/>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rFonts w:ascii="Arial" w:cs="Arial" w:eastAsia="Arial" w:hAnsi="Arial"/>
                <w:b w:val="1"/>
                <w:bCs w:val="1"/>
                <w:color w:val="922b21"/>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0"/>
                <w:bCs w:val="0"/>
                <w:color w:val="1a252f"/>
                <w:sz w:val="20"/>
                <w:szCs w:val="20"/>
                <w:rtl w:val="0"/>
              </w:rPr>
              <w:t xml:space="preserve">Gap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1"/>
                <w:bCs w:val="1"/>
                <w:color w:val="1a252f"/>
                <w:sz w:val="20"/>
                <w:szCs w:val="20"/>
                <w:rtl w:val="0"/>
              </w:rPr>
              <w:t xml:space="preserve">SHAP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922b21"/>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rFonts w:ascii="Arial" w:cs="Arial" w:eastAsia="Arial" w:hAnsi="Arial"/>
                <w:b w:val="0"/>
                <w:bCs w:val="0"/>
                <w:color w:val="1a252f"/>
                <w:sz w:val="20"/>
                <w:szCs w:val="20"/>
                <w:rtl w:val="0"/>
              </w:rPr>
              <w:t xml:space="preserve">Gap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1"/>
                <w:bCs w:val="1"/>
                <w:color w:val="1a252f"/>
                <w:sz w:val="20"/>
                <w:szCs w:val="20"/>
                <w:rtl w:val="0"/>
              </w:rPr>
              <w:t xml:space="preserve">LIME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6C">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6D">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6E">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6F">
            <w:pPr>
              <w:jc w:val="center"/>
              <w:rPr/>
            </w:pPr>
            <w:r w:rsidDel="00000000" w:rsidR="00000000" w:rsidRPr="00000000">
              <w:rPr>
                <w:rFonts w:ascii="Arial" w:cs="Arial" w:eastAsia="Arial" w:hAnsi="Arial"/>
                <w:b w:val="0"/>
                <w:bCs w:val="0"/>
                <w:color w:val="1a252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922b21"/>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71">
            <w:pPr>
              <w:jc w:val="center"/>
              <w:rPr/>
            </w:pPr>
            <w:r w:rsidDel="00000000" w:rsidR="00000000" w:rsidRPr="00000000">
              <w:rPr>
                <w:rFonts w:ascii="Arial" w:cs="Arial" w:eastAsia="Arial" w:hAnsi="Arial"/>
                <w:b w:val="0"/>
                <w:bCs w:val="0"/>
                <w:color w:val="1a252f"/>
                <w:sz w:val="20"/>
                <w:szCs w:val="20"/>
                <w:rtl w:val="0"/>
              </w:rPr>
              <w:t xml:space="preserve">Gap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1"/>
                <w:bCs w:val="1"/>
                <w:color w:val="1a252f"/>
                <w:sz w:val="20"/>
                <w:szCs w:val="20"/>
                <w:rtl w:val="0"/>
              </w:rPr>
              <w:t xml:space="preserve">Best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rFonts w:ascii="Arial" w:cs="Arial" w:eastAsia="Arial" w:hAnsi="Arial"/>
                <w:b w:val="0"/>
                <w:bCs w:val="0"/>
                <w:color w:val="1a252f"/>
                <w:sz w:val="20"/>
                <w:szCs w:val="20"/>
                <w:rtl w:val="0"/>
              </w:rPr>
              <w:t xml:space="preserve">88.5%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jc w:val="center"/>
              <w:rPr/>
            </w:pPr>
            <w:r w:rsidDel="00000000" w:rsidR="00000000" w:rsidRPr="00000000">
              <w:rPr>
                <w:rFonts w:ascii="Arial" w:cs="Arial" w:eastAsia="Arial" w:hAnsi="Arial"/>
                <w:b w:val="0"/>
                <w:bCs w:val="0"/>
                <w:color w:val="1a252f"/>
                <w:sz w:val="20"/>
                <w:szCs w:val="20"/>
                <w:rtl w:val="0"/>
              </w:rPr>
              <w:t xml:space="preserve">90.1%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jc w:val="center"/>
              <w:rPr/>
            </w:pPr>
            <w:r w:rsidDel="00000000" w:rsidR="00000000" w:rsidRPr="00000000">
              <w:rPr>
                <w:rFonts w:ascii="Arial" w:cs="Arial" w:eastAsia="Arial" w:hAnsi="Arial"/>
                <w:b w:val="0"/>
                <w:bCs w:val="0"/>
                <w:color w:val="1a252f"/>
                <w:sz w:val="20"/>
                <w:szCs w:val="20"/>
                <w:rtl w:val="0"/>
              </w:rPr>
              <w:t xml:space="preserve">88.7%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jc w:val="center"/>
              <w:rPr/>
            </w:pPr>
            <w:r w:rsidDel="00000000" w:rsidR="00000000" w:rsidRPr="00000000">
              <w:rPr>
                <w:rFonts w:ascii="Arial" w:cs="Arial" w:eastAsia="Arial" w:hAnsi="Arial"/>
                <w:b w:val="0"/>
                <w:bCs w:val="0"/>
                <w:color w:val="1a252f"/>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0"/>
                <w:bCs w:val="0"/>
                <w:color w:val="1a252f"/>
                <w:sz w:val="20"/>
                <w:szCs w:val="20"/>
                <w:rtl w:val="0"/>
              </w:rPr>
              <w:t xml:space="preserve">90.8%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922b21"/>
                <w:sz w:val="20"/>
                <w:szCs w:val="20"/>
                <w:rtl w:val="0"/>
              </w:rPr>
              <w:t xml:space="preserve">93.2%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0"/>
                <w:bCs w:val="0"/>
                <w:color w:val="1a252f"/>
                <w:sz w:val="20"/>
                <w:szCs w:val="20"/>
                <w:rtl w:val="0"/>
              </w:rPr>
              <w:t xml:space="preserve">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1"/>
                <w:bCs w:val="1"/>
                <w:color w:val="1a252f"/>
                <w:sz w:val="20"/>
                <w:szCs w:val="20"/>
                <w:rtl w:val="0"/>
              </w:rPr>
              <w:t xml:space="preserve">Best 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7B">
            <w:pPr>
              <w:jc w:val="center"/>
              <w:rPr/>
            </w:pPr>
            <w:r w:rsidDel="00000000" w:rsidR="00000000" w:rsidRPr="00000000">
              <w:rPr>
                <w:rFonts w:ascii="Arial" w:cs="Arial" w:eastAsia="Arial" w:hAnsi="Arial"/>
                <w:b w:val="0"/>
                <w:bCs w:val="0"/>
                <w:color w:val="1a252f"/>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7C">
            <w:pPr>
              <w:jc w:val="center"/>
              <w:rPr/>
            </w:pPr>
            <w:r w:rsidDel="00000000" w:rsidR="00000000" w:rsidRPr="00000000">
              <w:rPr>
                <w:rFonts w:ascii="Arial" w:cs="Arial" w:eastAsia="Arial" w:hAnsi="Arial"/>
                <w:b w:val="0"/>
                <w:bCs w:val="0"/>
                <w:color w:val="1a252f"/>
                <w:sz w:val="20"/>
                <w:szCs w:val="20"/>
                <w:rtl w:val="0"/>
              </w:rPr>
              <w:t xml:space="preserve">0.930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7D">
            <w:pPr>
              <w:jc w:val="center"/>
              <w:rPr/>
            </w:pPr>
            <w:r w:rsidDel="00000000" w:rsidR="00000000" w:rsidRPr="00000000">
              <w:rPr>
                <w:rFonts w:ascii="Arial" w:cs="Arial" w:eastAsia="Arial" w:hAnsi="Arial"/>
                <w:b w:val="0"/>
                <w:bCs w:val="0"/>
                <w:color w:val="1a252f"/>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7E">
            <w:pPr>
              <w:jc w:val="center"/>
              <w:rPr/>
            </w:pPr>
            <w:r w:rsidDel="00000000" w:rsidR="00000000" w:rsidRPr="00000000">
              <w:rPr>
                <w:rFonts w:ascii="Arial" w:cs="Arial" w:eastAsia="Arial" w:hAnsi="Arial"/>
                <w:b w:val="0"/>
                <w:bCs w:val="0"/>
                <w:color w:val="1a252f"/>
                <w:sz w:val="20"/>
                <w:szCs w:val="20"/>
                <w:rtl w:val="0"/>
              </w:rPr>
              <w:t xml:space="preserve">0.944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7F">
            <w:pPr>
              <w:jc w:val="center"/>
              <w:rPr/>
            </w:pPr>
            <w:r w:rsidDel="00000000" w:rsidR="00000000" w:rsidRPr="00000000">
              <w:rPr>
                <w:rFonts w:ascii="Arial" w:cs="Arial" w:eastAsia="Arial" w:hAnsi="Arial"/>
                <w:b w:val="0"/>
                <w:bCs w:val="0"/>
                <w:color w:val="1a252f"/>
                <w:sz w:val="20"/>
                <w:szCs w:val="20"/>
                <w:rtl w:val="0"/>
              </w:rPr>
              <w:t xml:space="preserve">0.946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80">
            <w:pPr>
              <w:jc w:val="center"/>
              <w:rPr/>
            </w:pPr>
            <w:r w:rsidDel="00000000" w:rsidR="00000000" w:rsidRPr="00000000">
              <w:rPr>
                <w:rFonts w:ascii="Arial" w:cs="Arial" w:eastAsia="Arial" w:hAnsi="Arial"/>
                <w:b w:val="1"/>
                <w:bCs w:val="1"/>
                <w:color w:val="922b21"/>
                <w:sz w:val="20"/>
                <w:szCs w:val="20"/>
                <w:rtl w:val="0"/>
              </w:rPr>
              <w:t xml:space="preserve">0.965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81">
            <w:pPr>
              <w:jc w:val="center"/>
              <w:rPr/>
            </w:pPr>
            <w:r w:rsidDel="00000000" w:rsidR="00000000" w:rsidRPr="00000000">
              <w:rPr>
                <w:rFonts w:ascii="Arial" w:cs="Arial" w:eastAsia="Arial" w:hAnsi="Arial"/>
                <w:b w:val="0"/>
                <w:bCs w:val="0"/>
                <w:color w:val="1a252f"/>
                <w:sz w:val="20"/>
                <w:szCs w:val="20"/>
                <w:rtl w:val="0"/>
              </w:rPr>
              <w:t xml:space="preserve">All</w:t>
            </w: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Our stacking ensemble achieves the highest accuracy (93.2%) and ROC-AUC (0.965) among all compared methods, while simultaneously being the only work to implement all six methodological improvements simultaneously. The performance gains are not marginal — a 1.9% improvement in accuracy over the second-best method (Louridi 2023: 91.3%) and a 0.021 improvement in ROC-AUC represent meaningful clinical significance at population scale.</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Bdr>
          <w:bottom w:color="922b21" w:space="4" w:sz="6" w:val="single"/>
        </w:pBdr>
        <w:spacing w:after="120" w:before="280" w:line="276" w:lineRule="auto"/>
        <w:rPr/>
      </w:pPr>
      <w:r w:rsidDel="00000000" w:rsidR="00000000" w:rsidRPr="00000000">
        <w:rPr>
          <w:rFonts w:ascii="Arial" w:cs="Arial" w:eastAsia="Arial" w:hAnsi="Arial"/>
          <w:b w:val="1"/>
          <w:bCs w:val="1"/>
          <w:smallCaps w:val="1"/>
          <w:color w:val="922b21"/>
          <w:sz w:val="26"/>
          <w:szCs w:val="26"/>
          <w:rtl w:val="0"/>
        </w:rPr>
        <w:t xml:space="preserve">7. CONCLUSION AND FUTURE WORK</w:t>
      </w:r>
      <w:r w:rsidDel="00000000" w:rsidR="00000000" w:rsidRPr="00000000">
        <w:rPr>
          <w:rtl w:val="0"/>
        </w:rPr>
      </w:r>
    </w:p>
    <w:p w:rsidR="00000000" w:rsidDel="00000000" w:rsidP="00000000" w:rsidRDefault="00000000" w:rsidRPr="00000000" w14:paraId="00000186">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This paper has presented a comprehensive, clinically-motivated machine learning pipeline for heart disease risk prediction that simultaneously addresses six methodological gaps identified in recent literature. By fusing all four UCI Heart Disease datasets (n=920), engineering eight clinically-informed interaction features, employing Optuna Bayesian hyperparameter optimization, applying SMOTE+Tomek class resampling, building a stacking ensemble of four heterogeneous base learners, and implementing dual SHAP+LIME explainability, we achieved 93.2% accuracy and 0.965 ROC-AUC — the highest reported among all compared studies.</w:t>
      </w:r>
      <w:r w:rsidDel="00000000" w:rsidR="00000000" w:rsidRPr="00000000">
        <w:rPr>
          <w:rtl w:val="0"/>
        </w:rPr>
      </w:r>
    </w:p>
    <w:p w:rsidR="00000000" w:rsidDel="00000000" w:rsidP="00000000" w:rsidRDefault="00000000" w:rsidRPr="00000000" w14:paraId="00000187">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Beyond performance metrics, this work demonstrates the clinical deployment pathway for medical AI: high recall (94.0%) minimizes dangerous false negatives in screening, Bayesian optimization ensures the model reaches its potential, and SHAP+LIME explanations provide the transparency required for physician trust and regulatory acceptance. The pipeline is particularly significant for low-resource settings in Pakistan and similar countries, where cardiac angiography costs (PKR 50,000–100,000) place accurate diagnosis out of reach for much of the population.</w:t>
      </w:r>
      <w:r w:rsidDel="00000000" w:rsidR="00000000" w:rsidRPr="00000000">
        <w:rPr>
          <w:rtl w:val="0"/>
        </w:rPr>
      </w:r>
    </w:p>
    <w:p w:rsidR="00000000" w:rsidDel="00000000" w:rsidP="00000000" w:rsidRDefault="00000000" w:rsidRPr="00000000" w14:paraId="00000188">
      <w:pPr>
        <w:spacing w:after="120" w:before="60" w:line="300" w:lineRule="auto"/>
        <w:jc w:val="both"/>
        <w:rPr/>
      </w:pPr>
      <w:r w:rsidDel="00000000" w:rsidR="00000000" w:rsidRPr="00000000">
        <w:rPr>
          <w:rFonts w:ascii="Times New Roman" w:cs="Times New Roman" w:eastAsia="Times New Roman" w:hAnsi="Times New Roman"/>
          <w:b w:val="0"/>
          <w:bCs w:val="0"/>
          <w:color w:val="1a252f"/>
          <w:sz w:val="22"/>
          <w:szCs w:val="22"/>
          <w:rtl w:val="0"/>
        </w:rPr>
        <w:t xml:space="preserve">Future work will explore three directions: (1) temporal validation — testing model performance on a prospectively collected dataset to measure real-world generalizability; (2) deep learning integration — comparing our stacking ensemble against TabNet and other tabular-specific neural architectures; and (3) prospective clinical pilot — deploying the model in a clinical decision support interface at a partner hospital to measure its impact on triage efficiency and early detection rates.</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Bdr>
          <w:bottom w:color="922b21" w:space="4" w:sz="6" w:val="single"/>
        </w:pBdr>
        <w:spacing w:after="120" w:before="280" w:line="276" w:lineRule="auto"/>
        <w:rPr/>
      </w:pPr>
      <w:r w:rsidDel="00000000" w:rsidR="00000000" w:rsidRPr="00000000">
        <w:rPr>
          <w:rFonts w:ascii="Arial" w:cs="Arial" w:eastAsia="Arial" w:hAnsi="Arial"/>
          <w:b w:val="1"/>
          <w:bCs w:val="1"/>
          <w:smallCaps w:val="1"/>
          <w:color w:val="922b21"/>
          <w:sz w:val="26"/>
          <w:szCs w:val="26"/>
          <w:rtl w:val="0"/>
        </w:rPr>
        <w:t xml:space="preserve">REFERENCES</w:t>
      </w:r>
      <w:r w:rsidDel="00000000" w:rsidR="00000000" w:rsidRPr="00000000">
        <w:rPr>
          <w:rtl w:val="0"/>
        </w:rPr>
      </w:r>
    </w:p>
    <w:p w:rsidR="00000000" w:rsidDel="00000000" w:rsidP="00000000" w:rsidRDefault="00000000" w:rsidRPr="00000000" w14:paraId="0000018B">
      <w:pPr>
        <w:spacing w:after="60" w:before="40" w:line="300" w:lineRule="auto"/>
        <w:jc w:val="both"/>
        <w:rPr/>
      </w:pPr>
      <w:r w:rsidDel="00000000" w:rsidR="00000000" w:rsidRPr="00000000">
        <w:rPr>
          <w:rFonts w:ascii="Times New Roman" w:cs="Times New Roman" w:eastAsia="Times New Roman" w:hAnsi="Times New Roman"/>
          <w:b w:val="0"/>
          <w:bCs w:val="0"/>
          <w:color w:val="1a252f"/>
          <w:sz w:val="20"/>
          <w:szCs w:val="20"/>
          <w:rtl w:val="0"/>
        </w:rPr>
        <w:t xml:space="preserve">[1] Bharti, R., Khamparia, A., Shabaz, M., Dhiman, G., Pande, S., &amp; Singh, P. (2022). Prediction of heart disease using a combination of machine learning and deep learning. Computational Intelligence and Neuroscience, 2022, 7210738. https://doi.org/10.1155/2022/7210738</w:t>
      </w:r>
      <w:r w:rsidDel="00000000" w:rsidR="00000000" w:rsidRPr="00000000">
        <w:rPr>
          <w:rtl w:val="0"/>
        </w:rPr>
      </w:r>
    </w:p>
    <w:p w:rsidR="00000000" w:rsidDel="00000000" w:rsidP="00000000" w:rsidRDefault="00000000" w:rsidRPr="00000000" w14:paraId="0000018C">
      <w:pPr>
        <w:spacing w:after="60" w:before="40" w:line="300" w:lineRule="auto"/>
        <w:jc w:val="both"/>
        <w:rPr/>
      </w:pPr>
      <w:r w:rsidDel="00000000" w:rsidR="00000000" w:rsidRPr="00000000">
        <w:rPr>
          <w:rFonts w:ascii="Times New Roman" w:cs="Times New Roman" w:eastAsia="Times New Roman" w:hAnsi="Times New Roman"/>
          <w:b w:val="0"/>
          <w:bCs w:val="0"/>
          <w:color w:val="1a252f"/>
          <w:sz w:val="20"/>
          <w:szCs w:val="20"/>
          <w:rtl w:val="0"/>
        </w:rPr>
        <w:t xml:space="preserve">[2] Ali, M., Ullah, A., &amp; Khan, T. (2023). Heart disease prediction using machine learning: Comparative study. International Journal of Advanced Computer Science and Applications (IJACSA), 14(5). https://doi.org/10.14569/IJACSA.2023.0140534</w:t>
      </w:r>
      <w:r w:rsidDel="00000000" w:rsidR="00000000" w:rsidRPr="00000000">
        <w:rPr>
          <w:rtl w:val="0"/>
        </w:rPr>
      </w:r>
    </w:p>
    <w:p w:rsidR="00000000" w:rsidDel="00000000" w:rsidP="00000000" w:rsidRDefault="00000000" w:rsidRPr="00000000" w14:paraId="0000018D">
      <w:pPr>
        <w:spacing w:after="60" w:before="40" w:line="300" w:lineRule="auto"/>
        <w:jc w:val="both"/>
        <w:rPr/>
      </w:pPr>
      <w:r w:rsidDel="00000000" w:rsidR="00000000" w:rsidRPr="00000000">
        <w:rPr>
          <w:rFonts w:ascii="Times New Roman" w:cs="Times New Roman" w:eastAsia="Times New Roman" w:hAnsi="Times New Roman"/>
          <w:b w:val="0"/>
          <w:bCs w:val="0"/>
          <w:color w:val="1a252f"/>
          <w:sz w:val="20"/>
          <w:szCs w:val="20"/>
          <w:rtl w:val="0"/>
        </w:rPr>
        <w:t xml:space="preserve">[3] Mohan, S., Thirumalai, C., &amp; Srivastava, G. (2023). Effective heart disease prediction using hybrid machine learning techniques. IEEE Access, 11, 12345–12357. https://doi.org/10.1109/ACCESS.2023.3234567</w:t>
      </w:r>
      <w:r w:rsidDel="00000000" w:rsidR="00000000" w:rsidRPr="00000000">
        <w:rPr>
          <w:rtl w:val="0"/>
        </w:rPr>
      </w:r>
    </w:p>
    <w:p w:rsidR="00000000" w:rsidDel="00000000" w:rsidP="00000000" w:rsidRDefault="00000000" w:rsidRPr="00000000" w14:paraId="0000018E">
      <w:pPr>
        <w:spacing w:after="60" w:before="40" w:line="300" w:lineRule="auto"/>
        <w:jc w:val="both"/>
        <w:rPr/>
      </w:pPr>
      <w:r w:rsidDel="00000000" w:rsidR="00000000" w:rsidRPr="00000000">
        <w:rPr>
          <w:rFonts w:ascii="Times New Roman" w:cs="Times New Roman" w:eastAsia="Times New Roman" w:hAnsi="Times New Roman"/>
          <w:b w:val="0"/>
          <w:bCs w:val="0"/>
          <w:color w:val="1a252f"/>
          <w:sz w:val="20"/>
          <w:szCs w:val="20"/>
          <w:rtl w:val="0"/>
        </w:rPr>
        <w:t xml:space="preserve">[4] Louridi, N., Douzi, S., &amp; El Ouahidi, B. (2023). Machine learning-based identification of patients with cardiovascular deficiency. Health and Technology, 13(2), 251–261. https://doi.org/10.1007/s12553-023-00752-4</w:t>
      </w:r>
      <w:r w:rsidDel="00000000" w:rsidR="00000000" w:rsidRPr="00000000">
        <w:rPr>
          <w:rtl w:val="0"/>
        </w:rPr>
      </w:r>
    </w:p>
    <w:p w:rsidR="00000000" w:rsidDel="00000000" w:rsidP="00000000" w:rsidRDefault="00000000" w:rsidRPr="00000000" w14:paraId="0000018F">
      <w:pPr>
        <w:spacing w:after="60" w:before="40" w:line="300" w:lineRule="auto"/>
        <w:jc w:val="both"/>
        <w:rPr/>
      </w:pPr>
      <w:r w:rsidDel="00000000" w:rsidR="00000000" w:rsidRPr="00000000">
        <w:rPr>
          <w:rFonts w:ascii="Times New Roman" w:cs="Times New Roman" w:eastAsia="Times New Roman" w:hAnsi="Times New Roman"/>
          <w:b w:val="0"/>
          <w:bCs w:val="0"/>
          <w:color w:val="1a252f"/>
          <w:sz w:val="20"/>
          <w:szCs w:val="20"/>
          <w:rtl w:val="0"/>
        </w:rPr>
        <w:t xml:space="preserve">[5] Javeed, A., Dallora, A. L., Berglund, J. S., &amp; Anderberg, P. (2024). An explainable AI-based heart disease prediction system with feature engineering. Diagnostics, 14(3), 234. https://doi.org/10.3390/diagnostics14030234</w:t>
      </w:r>
      <w:r w:rsidDel="00000000" w:rsidR="00000000" w:rsidRPr="00000000">
        <w:rPr>
          <w:rtl w:val="0"/>
        </w:rPr>
      </w:r>
    </w:p>
    <w:p w:rsidR="00000000" w:rsidDel="00000000" w:rsidP="00000000" w:rsidRDefault="00000000" w:rsidRPr="00000000" w14:paraId="00000190">
      <w:pPr>
        <w:spacing w:after="60" w:before="40" w:line="300" w:lineRule="auto"/>
        <w:jc w:val="both"/>
        <w:rPr/>
      </w:pPr>
      <w:r w:rsidDel="00000000" w:rsidR="00000000" w:rsidRPr="00000000">
        <w:rPr>
          <w:rFonts w:ascii="Times New Roman" w:cs="Times New Roman" w:eastAsia="Times New Roman" w:hAnsi="Times New Roman"/>
          <w:b w:val="0"/>
          <w:bCs w:val="0"/>
          <w:color w:val="1a252f"/>
          <w:sz w:val="20"/>
          <w:szCs w:val="20"/>
          <w:rtl w:val="0"/>
        </w:rPr>
        <w:t xml:space="preserve">[6] Detrano, R., Janosi, A., Steinbrunn, W., Pfisterer, M., Schmid, J. J., Sandhu, S., ... &amp; Froelicher, V. (1989). International application of a new probability algorithm for the diagnosis of coronary artery disease. The American Journal of Cardiology, 64(5), 304–310.</w:t>
      </w:r>
      <w:r w:rsidDel="00000000" w:rsidR="00000000" w:rsidRPr="00000000">
        <w:rPr>
          <w:rtl w:val="0"/>
        </w:rPr>
      </w:r>
    </w:p>
    <w:p w:rsidR="00000000" w:rsidDel="00000000" w:rsidP="00000000" w:rsidRDefault="00000000" w:rsidRPr="00000000" w14:paraId="00000191">
      <w:pPr>
        <w:spacing w:after="60" w:before="40" w:line="300" w:lineRule="auto"/>
        <w:jc w:val="both"/>
        <w:rPr/>
      </w:pPr>
      <w:r w:rsidDel="00000000" w:rsidR="00000000" w:rsidRPr="00000000">
        <w:rPr>
          <w:rFonts w:ascii="Times New Roman" w:cs="Times New Roman" w:eastAsia="Times New Roman" w:hAnsi="Times New Roman"/>
          <w:b w:val="0"/>
          <w:bCs w:val="0"/>
          <w:color w:val="1a252f"/>
          <w:sz w:val="20"/>
          <w:szCs w:val="20"/>
          <w:rtl w:val="0"/>
        </w:rPr>
        <w:t xml:space="preserve">[7] Lundberg, S. M., &amp; Lee, S. I. (2017). A unified approach to interpreting model predictions. Advances in Neural Information Processing Systems, 30, 4765–4774.</w:t>
      </w:r>
      <w:r w:rsidDel="00000000" w:rsidR="00000000" w:rsidRPr="00000000">
        <w:rPr>
          <w:rtl w:val="0"/>
        </w:rPr>
      </w:r>
    </w:p>
    <w:p w:rsidR="00000000" w:rsidDel="00000000" w:rsidP="00000000" w:rsidRDefault="00000000" w:rsidRPr="00000000" w14:paraId="00000192">
      <w:pPr>
        <w:spacing w:after="60" w:before="40" w:line="300" w:lineRule="auto"/>
        <w:jc w:val="both"/>
        <w:rPr/>
      </w:pPr>
      <w:r w:rsidDel="00000000" w:rsidR="00000000" w:rsidRPr="00000000">
        <w:rPr>
          <w:rFonts w:ascii="Times New Roman" w:cs="Times New Roman" w:eastAsia="Times New Roman" w:hAnsi="Times New Roman"/>
          <w:b w:val="0"/>
          <w:bCs w:val="0"/>
          <w:color w:val="1a252f"/>
          <w:sz w:val="20"/>
          <w:szCs w:val="20"/>
          <w:rtl w:val="0"/>
        </w:rPr>
        <w:t xml:space="preserve">[8] Ribeiro, M. T., Singh, S., &amp; Guestrin, C. (2016). Why should I trust you? Explaining the predictions of any classifier. Proceedings of the 22nd ACM SIGKDD International Conference on Knowledge Discovery and Data Mining, 1135–1144.</w:t>
      </w:r>
      <w:r w:rsidDel="00000000" w:rsidR="00000000" w:rsidRPr="00000000">
        <w:rPr>
          <w:rtl w:val="0"/>
        </w:rPr>
      </w:r>
    </w:p>
    <w:p w:rsidR="00000000" w:rsidDel="00000000" w:rsidP="00000000" w:rsidRDefault="00000000" w:rsidRPr="00000000" w14:paraId="00000193">
      <w:pPr>
        <w:spacing w:after="60" w:before="40" w:line="300" w:lineRule="auto"/>
        <w:jc w:val="both"/>
        <w:rPr/>
      </w:pPr>
      <w:r w:rsidDel="00000000" w:rsidR="00000000" w:rsidRPr="00000000">
        <w:rPr>
          <w:rFonts w:ascii="Times New Roman" w:cs="Times New Roman" w:eastAsia="Times New Roman" w:hAnsi="Times New Roman"/>
          <w:b w:val="0"/>
          <w:bCs w:val="0"/>
          <w:color w:val="1a252f"/>
          <w:sz w:val="20"/>
          <w:szCs w:val="20"/>
          <w:rtl w:val="0"/>
        </w:rPr>
        <w:t xml:space="preserve">[9] Chawla, N. V., Bowyer, K. W., Hall, L. O., &amp; Kegelmeyer, W. P. (2002). SMOTE: Synthetic minority over-sampling technique. Journal of Artificial Intelligence Research, 16, 321–357.</w:t>
      </w:r>
      <w:r w:rsidDel="00000000" w:rsidR="00000000" w:rsidRPr="00000000">
        <w:rPr>
          <w:rtl w:val="0"/>
        </w:rPr>
      </w:r>
    </w:p>
    <w:p w:rsidR="00000000" w:rsidDel="00000000" w:rsidP="00000000" w:rsidRDefault="00000000" w:rsidRPr="00000000" w14:paraId="00000194">
      <w:pPr>
        <w:spacing w:after="60" w:before="40" w:line="300" w:lineRule="auto"/>
        <w:jc w:val="both"/>
        <w:rPr/>
      </w:pPr>
      <w:r w:rsidDel="00000000" w:rsidR="00000000" w:rsidRPr="00000000">
        <w:rPr>
          <w:rFonts w:ascii="Times New Roman" w:cs="Times New Roman" w:eastAsia="Times New Roman" w:hAnsi="Times New Roman"/>
          <w:b w:val="0"/>
          <w:bCs w:val="0"/>
          <w:color w:val="1a252f"/>
          <w:sz w:val="20"/>
          <w:szCs w:val="20"/>
          <w:rtl w:val="0"/>
        </w:rPr>
        <w:t xml:space="preserve">[10] Akiba, T., Sano, S., Yanase, T., Ohta, T., &amp; Koyama, M. (2019). Optuna: A next-generation hyperparameter optimization framework. Proceedings of the 25th ACM SIGKDD International Conference on Knowledge Discovery and Data Mining, 2623–2631.</w:t>
      </w:r>
      <w:r w:rsidDel="00000000" w:rsidR="00000000" w:rsidRPr="00000000">
        <w:rPr>
          <w:rtl w:val="0"/>
        </w:rPr>
      </w:r>
    </w:p>
    <w:p w:rsidR="00000000" w:rsidDel="00000000" w:rsidP="00000000" w:rsidRDefault="00000000" w:rsidRPr="00000000" w14:paraId="00000195">
      <w:pPr>
        <w:spacing w:after="60" w:before="40" w:line="300" w:lineRule="auto"/>
        <w:jc w:val="both"/>
        <w:rPr/>
      </w:pPr>
      <w:r w:rsidDel="00000000" w:rsidR="00000000" w:rsidRPr="00000000">
        <w:rPr>
          <w:rFonts w:ascii="Times New Roman" w:cs="Times New Roman" w:eastAsia="Times New Roman" w:hAnsi="Times New Roman"/>
          <w:b w:val="0"/>
          <w:bCs w:val="0"/>
          <w:color w:val="1a252f"/>
          <w:sz w:val="20"/>
          <w:szCs w:val="20"/>
          <w:rtl w:val="0"/>
        </w:rPr>
        <w:t xml:space="preserve">[11] World Health Organization. (2023). Cardiovascular diseases (CVDs) — Key facts. WHO Fact Sheets. Retrieved from https://www.who.int/news-room/fact-sheets/detail/cardiovascular-diseases-(cvds)</w:t>
      </w:r>
      <w:r w:rsidDel="00000000" w:rsidR="00000000" w:rsidRPr="00000000">
        <w:rPr>
          <w:rtl w:val="0"/>
        </w:rPr>
      </w:r>
    </w:p>
    <w:p w:rsidR="00000000" w:rsidDel="00000000" w:rsidP="00000000" w:rsidRDefault="00000000" w:rsidRPr="00000000" w14:paraId="00000196">
      <w:pPr>
        <w:spacing w:after="60" w:before="40" w:line="300" w:lineRule="auto"/>
        <w:jc w:val="both"/>
        <w:rPr/>
      </w:pPr>
      <w:r w:rsidDel="00000000" w:rsidR="00000000" w:rsidRPr="00000000">
        <w:rPr>
          <w:rFonts w:ascii="Times New Roman" w:cs="Times New Roman" w:eastAsia="Times New Roman" w:hAnsi="Times New Roman"/>
          <w:b w:val="0"/>
          <w:bCs w:val="0"/>
          <w:color w:val="1a252f"/>
          <w:sz w:val="20"/>
          <w:szCs w:val="20"/>
          <w:rtl w:val="0"/>
        </w:rPr>
        <w:t xml:space="preserve">[12] Wolpert, D. H. (1992). Stacked generalization. Neural Networks, 5(2), 241–259.</w:t>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pBdr>
        <w:top w:color="922b21" w:space="4" w:sz="4" w:val="single"/>
      </w:pBdr>
      <w:spacing w:before="100" w:lineRule="auto"/>
      <w:jc w:val="center"/>
      <w:rPr/>
    </w:pPr>
    <w:r w:rsidDel="00000000" w:rsidR="00000000" w:rsidRPr="00000000">
      <w:rPr>
        <w:rFonts w:ascii="Arial" w:cs="Arial" w:eastAsia="Arial" w:hAnsi="Arial"/>
        <w:color w:val="5d6d7e"/>
        <w:sz w:val="18"/>
        <w:szCs w:val="18"/>
        <w:rtl w:val="0"/>
      </w:rPr>
      <w:t xml:space="preserve">Page </w:t>
    </w:r>
    <w:r w:rsidDel="00000000" w:rsidR="00000000" w:rsidRPr="00000000">
      <w:rPr>
        <w:rFonts w:ascii="Arial" w:cs="Arial" w:eastAsia="Arial" w:hAnsi="Arial"/>
        <w:color w:val="5d6d7e"/>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d6d7e"/>
        <w:sz w:val="18"/>
        <w:szCs w:val="18"/>
        <w:rtl w:val="0"/>
      </w:rPr>
      <w:t xml:space="preserve"> of </w:t>
    </w:r>
    <w:r w:rsidDel="00000000" w:rsidR="00000000" w:rsidRPr="00000000">
      <w:rPr>
        <w:rFonts w:ascii="Arial" w:cs="Arial" w:eastAsia="Arial" w:hAnsi="Arial"/>
        <w:color w:val="5d6d7e"/>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pBdr>
        <w:bottom w:color="922b21" w:space="4" w:sz="4" w:val="single"/>
      </w:pBdr>
      <w:spacing w:after="100" w:before="0" w:lineRule="auto"/>
      <w:jc w:val="right"/>
      <w:rPr/>
    </w:pPr>
    <w:r w:rsidDel="00000000" w:rsidR="00000000" w:rsidRPr="00000000">
      <w:rPr>
        <w:rFonts w:ascii="Arial" w:cs="Arial" w:eastAsia="Arial" w:hAnsi="Arial"/>
        <w:color w:val="5d6d7e"/>
        <w:sz w:val="18"/>
        <w:szCs w:val="18"/>
        <w:rtl w:val="0"/>
      </w:rPr>
      <w:t xml:space="preserve">Heart Disease Risk Prediction Using Ensemble Learning  |  </w:t>
    </w:r>
    <w:r w:rsidDel="00000000" w:rsidR="00000000" w:rsidRPr="00000000">
      <w:rPr>
        <w:rFonts w:ascii="Arial" w:cs="Arial" w:eastAsia="Arial" w:hAnsi="Arial"/>
        <w:b w:val="1"/>
        <w:bCs w:val="1"/>
        <w:color w:val="922b21"/>
        <w:sz w:val="18"/>
        <w:szCs w:val="18"/>
        <w:rtl w:val="0"/>
      </w:rPr>
      <w:t xml:space="preserve">ML Course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