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DISTRICT ONE  ·  D1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Acquisition SCI Jacimmo — Vaucluse (84)</w:t>
      </w:r>
    </w:p>
    <w:p>
      <w:pPr>
        <w:pBdr>
          <w:bottom w:val="single" w:color="C5A55A" w:sz="6" w:space="1"/>
        </w:pBdr>
        <w:spacing w:after="200"/>
        <w:jc w:val="center"/>
      </w:pPr>
    </w:p>
    <w:p>
      <w:pPr>
        <w:spacing w:after="40" w:before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POINT 3 — MODÈLE FINANCIER</w:t>
      </w:r>
    </w:p>
    <w:p>
      <w:pPr>
        <w:spacing w:after="60"/>
        <w:jc w:val="center"/>
      </w:pPr>
      <w:r>
        <w:rPr>
          <w:rFonts w:ascii="Arial" w:cs="Arial" w:eastAsia="Arial" w:hAnsi="Arial"/>
          <w:color w:val="C5A55A"/>
          <w:sz w:val="20"/>
          <w:szCs w:val="20"/>
        </w:rPr>
        <w:t xml:space="preserve">Ressources/Emplois · DSCR 15 ans · Cash-flows · LTV · Cessions partielles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VERSION V2 — AVRIL 2026 — FORMAT PAYSAGE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Loyers réels An 1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887 307 € (factures T2 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Potentiel vacants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+131 000 € (4 lots / 932 m²)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Prêt bancaire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7 000 000 € (4,50 % / 15 ans)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Cessions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2 : You Jump — An 3 : Givaudan + Vital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Statut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CONFIDENTIEL</w:t>
            </w:r>
          </w:p>
        </w:tc>
      </w:tr>
    </w:tbl>
    <w:p>
      <w:pPr>
        <w:sectPr>
          <w:pgSz w:w="16838" w:h="11906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5A55A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MODÈLE FINANCIER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3.1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Tableau Ressources / Emplois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  <w:gridCol w:w="2619"/>
        <w:gridCol w:w="2619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(€)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RESSOURCES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(€)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Prix d’acquisition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10 000 000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Prêt bancaire senior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7 000 000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Rang 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Frais notaire &amp; droits (7,5 %)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750 000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OC (7 % PIK/cash)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2 400 000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Rang 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Travaux remise en état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200 000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CCA (7 % bloqués 3 ans)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1 664 000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Rang 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Frais montage &amp; due diligence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100 000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Capital social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310 000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Rang 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Frais de garantie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74 000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Fonds de roulement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250 000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EMPLOIS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11 374 000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 RESSOURCES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11 374 000</w:t>
            </w:r>
          </w:p>
        </w:tc>
        <w:tc>
          <w:tcPr>
            <w:tcW w:type="dxa" w:w="2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3.2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DSCR prévisionnel sur 15 ans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Hypothèses : loyers indexés +2 %/an, vacants commercialisés 100 % An 1, cession You Jump An 2 (net 2 535 K€), cession Givaudan + SCI Vital An 3 (net 3 239 K€). Produits de cession affectés au remboursement anticipé du CRD.</w:t>
      </w:r>
    </w:p>
    <w:p>
      <w:pPr>
        <w:spacing w:after="40" w:before="40"/>
      </w:pP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13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14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Loyers bruts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1 018 307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816 237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568 629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580 001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591 601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603 433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615 502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627 812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640 368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653 175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666 239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679 564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693 155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707 018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721 158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Charges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-90 000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NOI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928 307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726 237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478 629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490 001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501 601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513 433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525 502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537 812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550 368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563 175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576 239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589 564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603 155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617 018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631 158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Service dette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-642 594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-642 594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-642 594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4"/>
                <w:szCs w:val="14"/>
              </w:rPr>
              <w:t xml:space="preserve">-88 045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CASH-FLOW NET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285 713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83 642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-163 966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401 956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501 601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513 433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525 502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537 812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550 368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563 175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576 239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589 564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603 155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617 018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4"/>
                <w:szCs w:val="14"/>
              </w:rPr>
              <w:t xml:space="preserve">631 158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Cession (net)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2 535 000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3 239 000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CRD résiduel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6 672 406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3 795 070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84 253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DSCR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1.44x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1.13x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0.74x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5.57x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∞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4"/>
                <w:szCs w:val="14"/>
              </w:rPr>
              <w:t xml:space="preserve">LTV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66.7%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52.7%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2.5%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  <w:tc>
          <w:tcPr>
            <w:tcW w:type="dxa" w:w="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0 %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Le DSCR passe sous 1,0x en An 3 car le service de dette est maintenu alors que les loyers cédés sont retranchés. Cependant, les produits de cession (5 774 K€ net) remboursent l’intégralité du CRD dès An 4. À partir de l’An 5, le cash-flow net dépasse 500 K€/an avec zéro dette.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3.3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Évolution des loyers et charges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800"/>
        <w:gridCol w:w="1800"/>
        <w:gridCol w:w="1800"/>
        <w:gridCol w:w="19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12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Loyers conservés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1 018 307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568 629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591 601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615 502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653 175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679 564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721 158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Charges exploitation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NOI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928 307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478 629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501 601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525 502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563 175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589 564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631 158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Service dette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-642 594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-642 594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Cash-flow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285 713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-163 966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501 601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525 502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563 175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589 564</w:t>
            </w:r>
          </w:p>
        </w:tc>
        <w:tc>
          <w:tcPr>
            <w:tcW w:type="dxa" w:w="1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631 158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L’indexation de +2 %/an sur les loyers conservés porte le cash-flow net de 502 K€ (An 5) à 631 K€ (An 15), soit une croissance de +26 % sur 10 ans.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3.4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Cash-flow avant et après service de la dette</w:t>
      </w:r>
    </w:p>
    <w:p>
      <w:pPr>
        <w:spacing w:after="40" w:before="40"/>
      </w:pP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  <w:gridCol w:w="2000"/>
        <w:gridCol w:w="2119"/>
        <w:gridCol w:w="21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4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5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Loyers bruts (conservés)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1 018 307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816 237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568 629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580 001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591 601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653 175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- Charges exploitation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-90 000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= NOI (avant dette)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928 307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726 237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478 629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490 001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501 601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563 175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- Service dette annuel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-642 594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-642 594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-642 594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-88 045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= CF après dette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285 713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83 642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-163 966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401 956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501 601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563 175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CRD fin d’année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6 672 406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3 795 070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84 253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DSCR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1.44x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1.13x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0.74x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5.57x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∞</w:t>
            </w:r>
          </w:p>
        </w:tc>
        <w:tc>
          <w:tcPr>
            <w:tcW w:type="dxa" w:w="21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∞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cash-flow est négatif en An 3 (–164 K€) car le service de dette est maintenu sur l’exercice complet tandis que les cessions interviennent en cours d’année. Ce déficit ponctuel est couvert par le fonds de roulement (250 K€ provisionné). Dès An 4, le prêt est soldé et le cash-flow dépasse 400 K€/an.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3.5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LTV initial / à 5 ans / à 10 ans</w:t>
      </w:r>
    </w:p>
    <w:p>
      <w:pPr>
        <w:spacing w:after="40" w:before="40"/>
      </w:pP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00"/>
        <w:gridCol w:w="2800"/>
        <w:gridCol w:w="28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(AN 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2 (post-cession)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4 (prêt soldé)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 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CRD bancaire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7 000 000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3 795 070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Valeur actif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10 000 000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7 200 000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3 367 000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3 367 000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LTV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70,0 %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52.7 %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0.0 %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0,0 %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Loyers conservés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1 018 307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816 237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580 001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653 175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Rendement brut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10,2 %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11.3 %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17.2 %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19.4 %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LTV passe de 70 % à l’origine à 52,7 % dès l’An 2 (après cession You Jump), puis à 2,5 % en An 3 et 0 % en An 4. La banque n’est exposée au risque de défaut que pendant 3-4 ans sur une durée contractuelle de 15 ans.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Le rendement brut du portefeuille conservé augmente mécaniquement : les lots cédés (You Jump à 67 €/m², Givaudan à 65 €/m²) sont les moins rentables au m². Après cessions, le rendement brut dépasse 17 % sur la valeur des lots conservés.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C5A55A" w:sz="4" w:space="1"/>
        </w:pBdr>
        <w:spacing w:after="80" w:before="3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Document confidentiel — SCI District One — Avril 2026</w:t>
      </w:r>
    </w:p>
    <w:sectPr>
      <w:headerReference w:type="default" r:id="rId7"/>
      <w:footerReference w:type="default" r:id="rId8"/>
      <w:pgSz w:w="16838" w:h="11906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CONFIDENTIEL — SCI District One — Avril 2026 — Page </w:t>
    </w:r>
    <w:r>
      <w:rPr>
        <w:rFonts w:ascii="Arial" w:cs="Arial" w:eastAsia="Arial" w:hAnsi="Arial"/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55A" w:sz="2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2"/>
        <w:szCs w:val="12"/>
      </w:rPr>
      <w:t xml:space="preserve">DISTRICT ONE · D1</w:t>
    </w:r>
    <w:r>
      <w:rPr>
        <w:rFonts w:ascii="Arial" w:cs="Arial" w:eastAsia="Arial" w:hAnsi="Arial"/>
        <w:color w:val="666666"/>
        <w:sz w:val="12"/>
        <w:szCs w:val="12"/>
      </w:rPr>
      <w:t xml:space="preserve">	Point 3 — Modèle Financier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2026-04-13T11:31:25.118Z</dcterms:created>
  <dcterms:modified xsi:type="dcterms:W3CDTF">2026-04-13T11:31:25.119Z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