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DISTRICT ONE  ·  D1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Acquisition SCI Jacimmo — Vaucluse (84)</w:t>
      </w:r>
    </w:p>
    <w:p>
      <w:pPr>
        <w:pBdr>
          <w:bottom w:val="single" w:color="C5A55A" w:sz="6" w:space="1"/>
        </w:pBdr>
        <w:spacing w:after="300"/>
        <w:jc w:val="center"/>
      </w:pPr>
    </w:p>
    <w:p>
      <w:pPr>
        <w:spacing w:after="40" w:before="4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POINT 5 — INVESTISSEURS</w:t>
      </w:r>
    </w:p>
    <w:p>
      <w:pPr>
        <w:spacing w:after="60"/>
        <w:jc w:val="center"/>
      </w:pPr>
      <w:r>
        <w:rPr>
          <w:rFonts w:ascii="Arial" w:cs="Arial" w:eastAsia="Arial" w:hAnsi="Arial"/>
          <w:color w:val="C5A55A"/>
          <w:sz w:val="20"/>
          <w:szCs w:val="20"/>
        </w:rPr>
        <w:t xml:space="preserve">Montant levé · Répartition Equity/CCA/OC · Modalités de sortie · Blocage · Subordination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VERSION V2 — AVRIL 2026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Total levé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4 374 000 € (FP + quasi-FP)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Equity (capital)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310 000 € (Rang 4)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OC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2 400 000 € à 7 % (Rang 2)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CCA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1 664 000 € à 7 % (Rang 3)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MOIC cible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1,4–1,6x sur 3–5 ans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Statut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CONFIDENTIEL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Ce document est confidentiel et strictement réservé à son destinataire.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5A55A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INVESTISSEURS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5.1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Montant total levé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plan de financement de l’opération (11 374 000 €) repose sur un prêt bancaire senior de 7 000 000 € (61,5 %) complété par des fonds propres et quasi-fonds propres de 4 374 000 € (38,5 %). Ce ratio FP/Total de 38,5 % dépasse le seuil usuel de 30 % attendu par les établissements bancaires.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 (€)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 / PRIORITÉ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Prêt bancaire senior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7 000 000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61,5 %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1 — Priorité absolue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Obligations Convertibles (OC)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2 400 000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21,1 %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2 — Subordonné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Comptes Courants (CCA)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14,6 %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3 — Subordonné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Capital social (Equity)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310 000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2,7 %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4 — Dernier rang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A5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S/TOTAL FP &amp; QUASI-FP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A5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4 374 000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A5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38,5 %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A5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Rangs 2–4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FINANCEMENT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11 374 000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100 %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 fondateur participe personnellement au capital (apport personnel + CCA fondateur). Les investisseurs interviennent exclusivement via les OC et les CCA, sans droit de gestion ni droit de vote (cf. Point 4 — Structure Juridique).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5.2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Répartition Equity / CCA / OC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répartition des quasi-fonds propres est conçue pour équilibrer trois objectifs : (i) limiter le risque investisseur, (ii) maximiser la sécurité de la banque, (iii) maintenir le contrôle du fondateur.</w:t>
      </w:r>
    </w:p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A. Capital social (Equity) — 310 000 €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Montant total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310 000 € divisé en 31 000 parts de 10 €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Fondateur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15 000 parts (150 000 €) — 48,4 % du capital, 100 % des droits de vote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Investisseurs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16 000 parts (160 000 €) — 51,6 % du capital, 0 % droit de vote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Nature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Capital permanent — non remboursable sauf dissolution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Dividendes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Interdits tant que CCA non intégralement remboursés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Sortie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Rachat par le fondateur via call option (Art. 5 pacte) ou cession à tiers avec agrément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B. Obligations Convertibles (OC) — 2 400 000 €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Montant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2 400 000 € (240 obligations × 10 000 € nominal)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Rémunération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7,00 % annuel — PIK An 1, puis cash trimestriel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Ticket minimum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50 000 € (5 obligations)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Durée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ans — remboursement anticipé possible dès An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Conversion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 parts SCI à parité fixe — fenêtre An 3 à An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Subordination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2 — junior au prêt bancaire, senior aux CCA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Couverture annuelle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168 000 € d’intérêts (PIK An 1, cash An 2+)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C. Comptes Courants d’Associés (CCA) — 1 664 000 €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Montant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1 664 000 € (réparti entre fondateur et investisseurs)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Rémunération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7,00 % annuel — versé sous conditions DSCR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Durée blocage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ans minimum — 5 ans maximum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Subordination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 3 — junior au prêt bancaire ET aux 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Condition de remboursement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DSCR &gt; 1,25x ET CRD &lt; 4 M€ ET OC soldées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Couverture annuelle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116 480 € d’intérêts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D. Synthèse des coûts annuels de la dette / quasi-FP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400"/>
        <w:gridCol w:w="2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COÛT ANNUEL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Prêt bancaire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7 000 000 €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4,50 %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315 000 € (intérêts An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2 400 000 €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7,00 %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168 000 € (PIK An 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1 664 000 €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7,00 %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116 480 €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COÛT FINANCIER AN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11 064 000 €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599 480 €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Ce coût de financement de 599 480 €/an est couvert par le NOI de 928 307 € (loyers réels + vacants – charges), soit un ratio de couverture global de 1,55x.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5.3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Modalités de sortie prévues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Deux scénarios de sortie sont prévus : (A) la sortie naturelle par remboursement progressif, et (B) la sortie accélérée via cessions partielles et exercice de la call option.</w:t>
      </w:r>
    </w:p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A. Scénario sans cession («exploitation pure»)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Dans ce scénario, le portefeuille est conservé intégralement. Le remboursement suit l’échéancier standard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CASH-OUT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Coupons OC (7 %)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2–5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 K€/an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Cash-flows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672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Intérêts CCA (7 %)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1–5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116 K€/an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Cash-flows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582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Remboursement OC nominal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2 568 K€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Refi ou cash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3 822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Remboursement CCA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5–7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1 664 K€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Cash-flows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5 486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Rachat equity (call option)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7–10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~160 K€ + prime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Call Art. 5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~5 700 K€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B. Scénario recommandé (cessions partielles An 2–3)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Dans le scénario S3 (cf. Point 3 — Modèle Financier), les cessions de You Jump (An 2), Givaudan et SCI Vital (An 3) libèrent 5 774 K€ net, permettant un remboursement accéléré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13"/>
        <w:gridCol w:w="1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Cession You Jump 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2 535 K€ net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Vente lot A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2 535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Cession Givaudan + SCI Vital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3 239 K€ net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Vente lots B+C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5 774 K€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Affectation : CRD bancaire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2–3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-6 916 K€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Remb. anticipé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Prêt soldé — An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CRD = 0 €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Cash-flow libre pour remb. OC+CCA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4+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~490 K€/an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Exploitation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Remboursement OC + CCA + rachat equity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 5–7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~4 742 K€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CF + refi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FONDATEUR SEUL PROPRIÉTAIRE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 7–10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CF ~630 K€/an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Rente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Dans ce scénario, les investisseurs récupèrent ~4 742 K€ sur un investissement total de 4 064 K€ (OC + CCA + equity), soit un MOIC de ~1,17x. En ajoutant les coupons OC/CCA perçus pendant la détention, le rendement global approche 1,4–1,6x.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5.4 </w:t>
      </w: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Blocage et subordination des avances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L’ensemble des quasi-fonds propres est soumis à un régime de blocage strict et de subordination contractuelle à la dette bancaire senior.</w:t>
      </w:r>
    </w:p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A. Périodes de blocage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700"/>
        <w:gridCol w:w="18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BLOCAGE MIN.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BLOCAGE MAX.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REMB. ANTICIPÉ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Capital (Equity)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Illimité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Illimité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Sortie uniquement via call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ans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Oui dès An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DSCR &gt; 1,25x + CRD &lt; 4 M€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ans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ans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Oui dès An 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OC soldées + DSCR &gt; 1,25x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B. Règles de subordination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convention de subordination inter-créanciers (cf. Point 4, section 4.6) impose une cascade stricte de remboursement 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Rang 1 — Prêt bancaire senior (7 000 000 €) : priorité absolue sur tous les flux. Aucun paiement de Rang 2 ou inférieur tant que le service de dette n’est pas à jour.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Rang 2 — OC (2 400 000 €) : coupons PIK An 1 (pas de sortie de cash), puis cash An 2+. Remboursement nominal conditionné au DSCR et CRD.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Rang 3 — CCA (1 664 000 €) : intérêts versés uniquement si DSCR &gt; 1,20x après paiement. Remboursement après OC intégralement soldées.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Rang 4 — Capital (310 000 €) : aucun dividende tant que CCA non remboursés. Dernier rang en cas de liquidation.</w:t>
      </w:r>
    </w:p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C. Engagements envers la banque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Les investisseurs s’engagent formellement à :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Stand-still intégral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Aucun remboursement d’OC ou CCA si DSCR &lt; 1,25x ou CRD &gt; 4 M€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Non-distribution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Aucun dividende versé tant que CCA non soldés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Maintien des loyers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Covenant loyers bruts ≥ 900 000 €/an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Veto banque sur cessions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Accord préalable pour cession &gt; 20 % de la surface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Accélération croisée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Défaut bancaire = OC/CCA exigibles mais toujours subordonnées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Reporting annuel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Comptes certifiés + KPIs (DSCR, LTV, occupation) transmis à la banque</w:t>
            </w:r>
          </w:p>
        </w:tc>
      </w:tr>
    </w:tbl>
    <w:p>
      <w:pPr>
        <w:spacing w:after="40" w:before="40"/>
      </w:pPr>
    </w:p>
    <w:p>
      <w:pPr>
        <w:spacing w:after="100" w:before="180"/>
      </w:pPr>
      <w:r>
        <w:rPr>
          <w:rFonts w:ascii="Arial" w:cs="Arial" w:eastAsia="Arial" w:hAnsi="Arial"/>
          <w:b/>
          <w:bCs/>
          <w:color w:val="3D5A80"/>
          <w:sz w:val="20"/>
          <w:szCs w:val="20"/>
        </w:rPr>
        <w:t xml:space="preserve">D. Impact pour la banque — Synthèse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CLÉ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Les quasi-FP peuvent-ils être retirés avant le prêt 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 — blocage 3 ans + stand-still contractuel tant que DSCR &lt; 1,25x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Les investisseurs ont-ils le contrôle 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 — 0 % de droits de vote, gérance exclusive du fondateur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Que se passe-t-il en cas de défaut 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Accélération croisée : OC/CCA exigibles mais TOUJOURS subordonnées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Peut-on verser des dividendes 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 — interdit tant que CCA non intégralement remboursés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Quel risque pour la banque 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AUCUN supplémentaire — les quasi-FP renforcent la structure sans diluer la sécurité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Bdr>
          <w:top w:val="single" w:color="C5A55A" w:sz="4" w:space="1"/>
        </w:pBdr>
        <w:spacing w:after="100" w:before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 confidentiel — SCI District One — Avril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Toute reproduction ou diffusion est strictement interdite sans autorisation écrite du porteur de projet.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CONFIDENTIEL — SCI District One — Avril 2026 —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55A" w:sz="2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4"/>
        <w:szCs w:val="14"/>
      </w:rPr>
      <w:t xml:space="preserve">DISTRICT ONE · D1</w:t>
    </w:r>
    <w:r>
      <w:rPr>
        <w:rFonts w:ascii="Arial" w:cs="Arial" w:eastAsia="Arial" w:hAnsi="Arial"/>
        <w:color w:val="666666"/>
        <w:sz w:val="14"/>
        <w:szCs w:val="14"/>
      </w:rPr>
      <w:t xml:space="preserve">	Point 5 — Investisseurs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2026-04-13T11:42:55.214Z</dcterms:created>
  <dcterms:modified xsi:type="dcterms:W3CDTF">2026-04-13T11:42:55.215Z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