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100"/>
        <w:jc w:val="center"/>
      </w:pPr>
      <w:r>
        <w:rPr>
          <w:rFonts w:ascii="Arial" w:cs="Arial" w:eastAsia="Arial" w:hAnsi="Arial"/>
          <w:b/>
          <w:bCs/>
          <w:color w:val="1B2A4A"/>
          <w:sz w:val="44"/>
          <w:szCs w:val="44"/>
        </w:rPr>
        <w:t xml:space="preserve">DISTRICT ONE  ·  D1</w:t>
      </w:r>
    </w:p>
    <w:p>
      <w:pPr>
        <w:spacing w:after="60"/>
        <w:jc w:val="center"/>
      </w:pPr>
      <w:r>
        <w:rPr>
          <w:rFonts w:ascii="Arial" w:cs="Arial" w:eastAsia="Arial" w:hAnsi="Arial"/>
          <w:color w:val="666666"/>
          <w:sz w:val="22"/>
          <w:szCs w:val="22"/>
        </w:rPr>
        <w:t xml:space="preserve">Acquisition SCI Jacimmo — Vaucluse (84)</w:t>
      </w:r>
    </w:p>
    <w:p>
      <w:pPr>
        <w:pBdr>
          <w:bottom w:val="single" w:color="C5A55A" w:sz="6" w:space="1"/>
        </w:pBdr>
        <w:spacing w:after="300"/>
        <w:jc w:val="center"/>
      </w:pPr>
    </w:p>
    <w:p>
      <w:pPr>
        <w:spacing w:after="40" w:before="40"/>
      </w:pPr>
    </w:p>
    <w:p>
      <w:pPr>
        <w:spacing w:after="80"/>
        <w:jc w:val="center"/>
      </w:pPr>
      <w:r>
        <w:rPr>
          <w:rFonts w:ascii="Arial" w:cs="Arial" w:eastAsia="Arial" w:hAnsi="Arial"/>
          <w:b/>
          <w:bCs/>
          <w:color w:val="1B2A4A"/>
          <w:sz w:val="30"/>
          <w:szCs w:val="30"/>
        </w:rPr>
        <w:t xml:space="preserve">ANNEXES COMPLÉMENTAIRES</w:t>
      </w:r>
    </w:p>
    <w:p>
      <w:pPr>
        <w:spacing w:after="60"/>
        <w:jc w:val="center"/>
      </w:pPr>
      <w:r>
        <w:rPr>
          <w:rFonts w:ascii="Arial" w:cs="Arial" w:eastAsia="Arial" w:hAnsi="Arial"/>
          <w:color w:val="C5A55A"/>
          <w:sz w:val="20"/>
          <w:szCs w:val="20"/>
        </w:rPr>
        <w:t xml:space="preserve">Diagnostic technique · Étude de marché · Stress tests · LOI · Chronogramme · Pièces</w:t>
      </w:r>
    </w:p>
    <w:p>
      <w:pPr>
        <w:spacing w:after="20"/>
        <w:jc w:val="center"/>
      </w:pPr>
      <w:r>
        <w:rPr>
          <w:rFonts w:ascii="Arial" w:cs="Arial" w:eastAsia="Arial" w:hAnsi="Arial"/>
          <w:b/>
          <w:bCs/>
          <w:color w:val="2E7D32"/>
          <w:sz w:val="18"/>
          <w:szCs w:val="18"/>
        </w:rPr>
        <w:t xml:space="preserve">VERSION V2 — AVRIL 2026</w:t>
      </w:r>
    </w:p>
    <w:p>
      <w:pPr>
        <w:spacing w:after="40" w:before="40"/>
      </w:pPr>
    </w:p>
    <w:p>
      <w:pPr>
        <w:spacing w:after="40" w:before="40"/>
      </w:pPr>
    </w:p>
    <w:p>
      <w:pPr>
        <w:jc w:val="center"/>
      </w:pPr>
      <w:r>
        <w:rPr>
          <w:rFonts w:ascii="Arial" w:cs="Arial" w:eastAsia="Arial" w:hAnsi="Arial"/>
          <w:i/>
          <w:iCs/>
          <w:color w:val="666666"/>
          <w:sz w:val="16"/>
          <w:szCs w:val="16"/>
        </w:rPr>
        <w:t xml:space="preserve">Ce document est confidentiel et strictement réservé à son destinataire.</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C5A55A"/>
          <w:sz w:val="28"/>
          <w:szCs w:val="28"/>
        </w:rPr>
        <w:t xml:space="preserve">A. </w:t>
      </w:r>
      <w:r>
        <w:rPr>
          <w:rFonts w:ascii="Arial" w:cs="Arial" w:eastAsia="Arial" w:hAnsi="Arial"/>
          <w:b/>
          <w:bCs/>
          <w:color w:val="1B2A4A"/>
          <w:sz w:val="28"/>
          <w:szCs w:val="28"/>
        </w:rPr>
        <w:t xml:space="preserve">DIAGNOSTIC TECHNIQUE</w:t>
      </w:r>
    </w:p>
    <w:p>
      <w:pPr>
        <w:spacing w:after="80" w:before="80"/>
        <w:jc w:val="both"/>
      </w:pPr>
      <w:r>
        <w:rPr>
          <w:rFonts w:ascii="Arial" w:cs="Arial" w:eastAsia="Arial" w:hAnsi="Arial"/>
          <w:b w:val="false"/>
          <w:bCs w:val="false"/>
          <w:i w:val="false"/>
          <w:iCs w:val="false"/>
          <w:color w:val="333333"/>
          <w:sz w:val="19"/>
          <w:szCs w:val="19"/>
        </w:rPr>
        <w:t xml:space="preserve">L’immeuble daté des années 1980–1990 nécessite un audit technique préalable. Les vérifications ci-dessous ont été engagées ou sont prévues avant la réalisation de la vente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DIAGNOSTIC</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STATUT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PRESTATAIRE</w:t>
            </w:r>
          </w:p>
        </w:tc>
        <w:tc>
          <w:tcPr>
            <w:tcW w:type="dxa" w:w="20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COÛT ESTIMÉ</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Amiante (DTA)</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Rapport commandé — en attente</w:t>
            </w:r>
          </w:p>
        </w:tc>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Bureau d’études certifié</w:t>
            </w:r>
          </w:p>
        </w:tc>
        <w:tc>
          <w:tcPr>
            <w:tcW w:type="dxa" w:w="2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2 500 €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Structure / gros œuvre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Visite programmée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Ingénieur structure</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3 000 €</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Toiture / étanchéité</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Visite programmée</w:t>
            </w:r>
          </w:p>
        </w:tc>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Couvreur agréé</w:t>
            </w:r>
          </w:p>
        </w:tc>
        <w:tc>
          <w:tcPr>
            <w:tcW w:type="dxa" w:w="2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1 500 €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Conformité ERP (5 bâtiments)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Vérification en cours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Bureau de contrôle</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4 000 €</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Électricité / installations</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Visite programmée</w:t>
            </w:r>
          </w:p>
        </w:tc>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Organisme agréé</w:t>
            </w:r>
          </w:p>
        </w:tc>
        <w:tc>
          <w:tcPr>
            <w:tcW w:type="dxa" w:w="2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2 000 €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DPE (performance énergétique)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Commandé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Diagnostiqueur certifié</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1 800 €</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Assainissement / réseaux</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Vérification vendeur</w:t>
            </w:r>
          </w:p>
        </w:tc>
        <w:tc>
          <w:tcPr>
            <w:tcW w:type="dxa" w:w="2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Régie des eaux</w:t>
            </w:r>
          </w:p>
        </w:tc>
        <w:tc>
          <w:tcPr>
            <w:tcW w:type="dxa" w:w="2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500 €</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Termites / parasites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Zone non concernée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N/A</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0 €</w:t>
            </w:r>
          </w:p>
        </w:tc>
      </w:tr>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TOTAL DIAGNOSTICS</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
            </w:r>
          </w:p>
        </w:tc>
        <w:tc>
          <w:tcPr>
            <w:tcW w:type="dxa" w:w="20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Arial" w:cs="Arial" w:eastAsia="Arial" w:hAnsi="Arial"/>
                <w:b/>
                <w:bCs/>
                <w:i w:val="false"/>
                <w:iCs w:val="false"/>
                <w:color w:val="FFFFFF"/>
                <w:sz w:val="18"/>
                <w:szCs w:val="18"/>
              </w:rPr>
              <w:t xml:space="preserve">~15 300 €</w:t>
            </w:r>
          </w:p>
        </w:tc>
      </w:tr>
    </w:tbl>
    <w:p>
      <w:pPr>
        <w:spacing w:after="40" w:before="40"/>
      </w:pPr>
    </w:p>
    <w:p>
      <w:pPr>
        <w:spacing w:after="80" w:before="80"/>
        <w:jc w:val="both"/>
      </w:pPr>
      <w:r>
        <w:rPr>
          <w:rFonts w:ascii="Arial" w:cs="Arial" w:eastAsia="Arial" w:hAnsi="Arial"/>
          <w:b w:val="false"/>
          <w:bCs w:val="false"/>
          <w:i w:val="false"/>
          <w:iCs w:val="false"/>
          <w:color w:val="333333"/>
          <w:sz w:val="19"/>
          <w:szCs w:val="19"/>
        </w:rPr>
        <w:t xml:space="preserve">Ce budget est inclus dans les frais de montage / due diligence (100 000 €) du plan de financement. Les rapports définitifs seront annexés au dossier bancaire avant la signature de l’offre de prêt.</w:t>
      </w:r>
    </w:p>
    <w:p>
      <w:pPr>
        <w:spacing w:after="40" w:before="40"/>
      </w:pPr>
    </w:p>
    <w:p>
      <w:pPr>
        <w:spacing w:after="80" w:before="80"/>
        <w:jc w:val="both"/>
      </w:pPr>
      <w:r>
        <w:rPr>
          <w:rFonts w:ascii="Arial" w:cs="Arial" w:eastAsia="Arial" w:hAnsi="Arial"/>
          <w:b/>
          <w:bCs/>
          <w:i w:val="false"/>
          <w:iCs w:val="false"/>
          <w:color w:val="333333"/>
          <w:sz w:val="19"/>
          <w:szCs w:val="19"/>
        </w:rPr>
        <w:t xml:space="preserve">Points d’attention identifiés :</w:t>
      </w:r>
    </w:p>
    <w:p>
      <w:pPr>
        <w:pStyle w:val="ListParagraph"/>
        <w:numPr>
          <w:ilvl w:val="0"/>
          <w:numId w:val="2"/>
        </w:numPr>
        <w:spacing w:after="40" w:before="40"/>
      </w:pPr>
      <w:r>
        <w:rPr>
          <w:rFonts w:ascii="Arial" w:cs="Arial" w:eastAsia="Arial" w:hAnsi="Arial"/>
          <w:color w:val="333333"/>
          <w:sz w:val="18"/>
          <w:szCs w:val="18"/>
        </w:rPr>
        <w:t xml:space="preserve">Toiture bâtiment 2 (Givaudan) : possibles infiltrations signalées — expertise en cours. Ce bâtiment est destiné à la cession en An 3, le coût de remise en état sera négocié avec l’acquéreur.</w:t>
      </w:r>
    </w:p>
    <w:p>
      <w:pPr>
        <w:pStyle w:val="ListParagraph"/>
        <w:numPr>
          <w:ilvl w:val="0"/>
          <w:numId w:val="2"/>
        </w:numPr>
        <w:spacing w:after="40" w:before="40"/>
      </w:pPr>
      <w:r>
        <w:rPr>
          <w:rFonts w:ascii="Arial" w:cs="Arial" w:eastAsia="Arial" w:hAnsi="Arial"/>
          <w:color w:val="333333"/>
          <w:sz w:val="18"/>
          <w:szCs w:val="18"/>
        </w:rPr>
        <w:t xml:space="preserve">Bâtiment 5 (SCI Vital / bail à construction) : le constructeur est responsable de l’entretien structurel pendant la durée du bail. Retour en bon état prévu en 2031.</w:t>
      </w:r>
    </w:p>
    <w:p>
      <w:pPr>
        <w:pStyle w:val="ListParagraph"/>
        <w:numPr>
          <w:ilvl w:val="0"/>
          <w:numId w:val="2"/>
        </w:numPr>
        <w:spacing w:after="40" w:before="40"/>
      </w:pPr>
      <w:r>
        <w:rPr>
          <w:rFonts w:ascii="Arial" w:cs="Arial" w:eastAsia="Arial" w:hAnsi="Arial"/>
          <w:color w:val="333333"/>
          <w:sz w:val="18"/>
          <w:szCs w:val="18"/>
        </w:rPr>
        <w:t xml:space="preserve">Conformité ERP : les 5 bâtiments reçoivent du public — les registres de sécurité et les PV de commission sont demandés au vendeur.</w:t>
      </w:r>
    </w:p>
    <w:p>
      <w:r>
        <w:br w:type="page"/>
      </w:r>
    </w:p>
    <w:p>
      <w:pPr>
        <w:pStyle w:val="Heading1"/>
        <w:spacing w:after="200" w:before="400"/>
      </w:pPr>
      <w:r>
        <w:rPr>
          <w:rFonts w:ascii="Arial" w:cs="Arial" w:eastAsia="Arial" w:hAnsi="Arial"/>
          <w:b/>
          <w:bCs/>
          <w:color w:val="C5A55A"/>
          <w:sz w:val="28"/>
          <w:szCs w:val="28"/>
        </w:rPr>
        <w:t xml:space="preserve">B. </w:t>
      </w:r>
      <w:r>
        <w:rPr>
          <w:rFonts w:ascii="Arial" w:cs="Arial" w:eastAsia="Arial" w:hAnsi="Arial"/>
          <w:b/>
          <w:bCs/>
          <w:color w:val="1B2A4A"/>
          <w:sz w:val="28"/>
          <w:szCs w:val="28"/>
        </w:rPr>
        <w:t xml:space="preserve">ÉTUDE DE MARCHÉ LOCALE</w:t>
      </w:r>
    </w:p>
    <w:p>
      <w:pPr>
        <w:spacing w:after="80" w:before="80"/>
        <w:jc w:val="both"/>
      </w:pPr>
      <w:r>
        <w:rPr>
          <w:rFonts w:ascii="Arial" w:cs="Arial" w:eastAsia="Arial" w:hAnsi="Arial"/>
          <w:b w:val="false"/>
          <w:bCs w:val="false"/>
          <w:i w:val="false"/>
          <w:iCs w:val="false"/>
          <w:color w:val="333333"/>
          <w:sz w:val="19"/>
          <w:szCs w:val="19"/>
        </w:rPr>
        <w:t xml:space="preserve">L’immeuble est situé en Zone Industrielle de Fontvert, l’une des principales ZAC commerciales du Grand Avignon, à proximité immédiate de l’autoroute A7 (sortie Avignon Nord).</w:t>
      </w:r>
    </w:p>
    <w:p>
      <w:pPr>
        <w:spacing w:after="40" w:before="40"/>
      </w:pPr>
    </w:p>
    <w:p>
      <w:pPr>
        <w:spacing w:after="100" w:before="180"/>
      </w:pPr>
      <w:r>
        <w:rPr>
          <w:rFonts w:ascii="Arial" w:cs="Arial" w:eastAsia="Arial" w:hAnsi="Arial"/>
          <w:b/>
          <w:bCs/>
          <w:color w:val="3D5A80"/>
          <w:sz w:val="20"/>
          <w:szCs w:val="20"/>
        </w:rPr>
        <w:t xml:space="preserve">Démographie et emploi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INDICATEUR</w:t>
            </w:r>
          </w:p>
        </w:tc>
        <w:tc>
          <w:tcPr>
            <w:tcW w:type="dxa" w:w="50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DONNÉE</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Population Grand Avignon</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~195 000 habitants (CA, 16 communes)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Population Le Pontet</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~17 500 habitants</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Bassin d’emploi</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~100 000 emplois salariés (pôle tertiaire + logistique)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Taux de chômage (Vaucluse)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~10,5 % (légèrement au-dessus de la moyenne nationale)</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Revenus médians</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~20 800 €/an (ménages Le Pontet)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Dynamique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Croissance modérée +0,3 %/an — stable</w:t>
            </w:r>
          </w:p>
        </w:tc>
      </w:tr>
    </w:tbl>
    <w:p>
      <w:pPr>
        <w:spacing w:after="40" w:before="40"/>
      </w:pPr>
    </w:p>
    <w:p>
      <w:pPr>
        <w:spacing w:after="100" w:before="180"/>
      </w:pPr>
      <w:r>
        <w:rPr>
          <w:rFonts w:ascii="Arial" w:cs="Arial" w:eastAsia="Arial" w:hAnsi="Arial"/>
          <w:b/>
          <w:bCs/>
          <w:color w:val="3D5A80"/>
          <w:sz w:val="20"/>
          <w:szCs w:val="20"/>
        </w:rPr>
        <w:t xml:space="preserve">Marché immobilier commercial — ZI Fontvert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INDICATEUR</w:t>
            </w:r>
          </w:p>
        </w:tc>
        <w:tc>
          <w:tcPr>
            <w:tcW w:type="dxa" w:w="50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DONNÉE</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Type de zone</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ZAC commerciale et artisanale — mixte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Loyer moyen commerces (zone)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100–180 €/m²/an HT (variable selon activité)</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Loyer moyen bureaux (zone)</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90–140 €/m²/an HT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Taux de vacance observé (zone)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~8–12 % (source : agents locaux, observation terrain)</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Concurrence directe</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ZAC Courtine (Avignon), ZI Agroparc, ZAC Castelès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Enseignes présentes (ZI Fontvert)</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Kiloutou, Picard, Mobalpa, Lapeyre, Darty, Brico Dépôt</w:t>
            </w:r>
          </w:p>
        </w:tc>
      </w:tr>
      <w:tr>
        <w:tc>
          <w:tcPr>
            <w:tcW w:type="dxa" w:w="4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Accessibilité</w:t>
            </w:r>
          </w:p>
        </w:tc>
        <w:tc>
          <w:tcPr>
            <w:tcW w:type="dxa" w:w="50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A7 (2 min), RN7, gare TGV Avignon (10 min), aéroport Marseille (45 min)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Tendance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Marché stable — peu de livraisons neuves, demande soutenue en logistique légère</w:t>
            </w:r>
          </w:p>
        </w:tc>
      </w:tr>
    </w:tbl>
    <w:p>
      <w:pPr>
        <w:spacing w:after="40" w:before="40"/>
      </w:pPr>
    </w:p>
    <w:p>
      <w:pPr>
        <w:spacing w:after="80" w:before="80"/>
        <w:jc w:val="both"/>
      </w:pPr>
      <w:r>
        <w:rPr>
          <w:rFonts w:ascii="Arial" w:cs="Arial" w:eastAsia="Arial" w:hAnsi="Arial"/>
          <w:b/>
          <w:bCs/>
          <w:i w:val="false"/>
          <w:iCs w:val="false"/>
          <w:color w:val="333333"/>
          <w:sz w:val="19"/>
          <w:szCs w:val="19"/>
        </w:rPr>
        <w:t xml:space="preserve">Conclusion : les loyers pratiqués sur l’immeuble D1 (67–167 €/m²) sont dans la fourchette basse à médiane du marché local, ce qui limite le risque de départ locataire pour des raisons de prix. La zone bénéficie d’un flux de clients régulier et d’une bonne desserte autoroutière.</w:t>
      </w:r>
    </w:p>
    <w:p>
      <w:r>
        <w:br w:type="page"/>
      </w:r>
    </w:p>
    <w:p>
      <w:pPr>
        <w:pStyle w:val="Heading1"/>
        <w:spacing w:after="200" w:before="400"/>
      </w:pPr>
      <w:r>
        <w:rPr>
          <w:rFonts w:ascii="Arial" w:cs="Arial" w:eastAsia="Arial" w:hAnsi="Arial"/>
          <w:b/>
          <w:bCs/>
          <w:color w:val="C5A55A"/>
          <w:sz w:val="28"/>
          <w:szCs w:val="28"/>
        </w:rPr>
        <w:t xml:space="preserve">C. </w:t>
      </w:r>
      <w:r>
        <w:rPr>
          <w:rFonts w:ascii="Arial" w:cs="Arial" w:eastAsia="Arial" w:hAnsi="Arial"/>
          <w:b/>
          <w:bCs/>
          <w:color w:val="1B2A4A"/>
          <w:sz w:val="28"/>
          <w:szCs w:val="28"/>
        </w:rPr>
        <w:t xml:space="preserve">STRESS TESTS / SCÉNARIOS DÉGRADÉS</w:t>
      </w:r>
    </w:p>
    <w:p>
      <w:pPr>
        <w:spacing w:after="80" w:before="80"/>
        <w:jc w:val="both"/>
      </w:pPr>
      <w:r>
        <w:rPr>
          <w:rFonts w:ascii="Arial" w:cs="Arial" w:eastAsia="Arial" w:hAnsi="Arial"/>
          <w:b w:val="false"/>
          <w:bCs w:val="false"/>
          <w:i w:val="false"/>
          <w:iCs w:val="false"/>
          <w:color w:val="333333"/>
          <w:sz w:val="19"/>
          <w:szCs w:val="19"/>
        </w:rPr>
        <w:t xml:space="preserve">Les scénarios ci-dessous testent la résilience du portefeuille conservé (7 locataires, ~546 548 €/an de loyers, dette soldée en An 4) face à des événements défavorables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1200"/>
        <w:gridCol w:w="1226"/>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SCÉNARIO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LOYERS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NOI</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CF NET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IMPACT</w:t>
            </w:r>
          </w:p>
        </w:tc>
        <w:tc>
          <w:tcPr>
            <w:tcW w:type="dxa" w:w="12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RISQUE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Base (post-cession)</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546 548</w:t>
            </w:r>
          </w:p>
        </w:tc>
        <w:tc>
          <w:tcPr>
            <w:tcW w:type="dxa" w:w="1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456 548</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right"/>
            </w:pPr>
            <w:r>
              <w:rPr>
                <w:rFonts w:ascii="Arial" w:cs="Arial" w:eastAsia="Arial" w:hAnsi="Arial"/>
                <w:b/>
                <w:bCs/>
                <w:i w:val="false"/>
                <w:iCs w:val="false"/>
                <w:color w:val="2E7D32"/>
                <w:sz w:val="18"/>
                <w:szCs w:val="18"/>
              </w:rPr>
              <w:t xml:space="preserve">456 548</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Référence</w:t>
            </w:r>
          </w:p>
        </w:tc>
        <w:tc>
          <w:tcPr>
            <w:tcW w:type="dxa" w:w="1226"/>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S-A : Perte Kiloutou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444 687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354 687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354 687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-19 %</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Modéré</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S-B : Perte Kiloutou + Picard</w:t>
            </w:r>
          </w:p>
        </w:tc>
        <w:tc>
          <w:tcPr>
            <w:tcW w:type="dxa" w:w="1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371 463</w:t>
            </w:r>
          </w:p>
        </w:tc>
        <w:tc>
          <w:tcPr>
            <w:tcW w:type="dxa" w:w="1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281 463</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281 463</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-32 %</w:t>
            </w:r>
          </w:p>
        </w:tc>
        <w:tc>
          <w:tcPr>
            <w:tcW w:type="dxa" w:w="12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Élevé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S-C : Baisse loyers -10 %</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491 893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401 893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401 893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-12 %</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Faible</w:t>
            </w:r>
          </w:p>
        </w:tc>
      </w:tr>
      <w:tr>
        <w:tc>
          <w:tcPr>
            <w:tcW w:type="dxa" w:w="2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S-D : Vacance 12 mois (1 lot)</w:t>
            </w:r>
          </w:p>
        </w:tc>
        <w:tc>
          <w:tcPr>
            <w:tcW w:type="dxa" w:w="1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444 687</w:t>
            </w:r>
          </w:p>
        </w:tc>
        <w:tc>
          <w:tcPr>
            <w:tcW w:type="dxa" w:w="1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354 687</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354 687</w:t>
            </w:r>
          </w:p>
        </w:tc>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C0392B"/>
                <w:sz w:val="18"/>
                <w:szCs w:val="18"/>
              </w:rPr>
              <w:t xml:space="preserve">-19 %</w:t>
            </w:r>
          </w:p>
        </w:tc>
        <w:tc>
          <w:tcPr>
            <w:tcW w:type="dxa" w:w="12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Modéré</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S-E : Hausse taux +1 % (avant cessions)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546 548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456 548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C0392B"/>
                <w:sz w:val="18"/>
                <w:szCs w:val="18"/>
              </w:rPr>
              <w:t xml:space="preserve">-47 520/an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An 1–3</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Faible</w:t>
            </w:r>
          </w:p>
        </w:tc>
      </w:tr>
    </w:tbl>
    <w:p>
      <w:pPr>
        <w:spacing w:after="40" w:before="40"/>
      </w:pPr>
    </w:p>
    <w:p>
      <w:pPr>
        <w:spacing w:after="80" w:before="80"/>
        <w:jc w:val="both"/>
      </w:pPr>
      <w:r>
        <w:rPr>
          <w:rFonts w:ascii="Arial" w:cs="Arial" w:eastAsia="Arial" w:hAnsi="Arial"/>
          <w:b/>
          <w:bCs/>
          <w:i w:val="false"/>
          <w:iCs w:val="false"/>
          <w:color w:val="333333"/>
          <w:sz w:val="19"/>
          <w:szCs w:val="19"/>
        </w:rPr>
        <w:t xml:space="preserve">Conclusions des stress tests :</w:t>
      </w:r>
    </w:p>
    <w:p>
      <w:pPr>
        <w:pStyle w:val="ListParagraph"/>
        <w:numPr>
          <w:ilvl w:val="0"/>
          <w:numId w:val="2"/>
        </w:numPr>
        <w:spacing w:after="40" w:before="40"/>
      </w:pPr>
      <w:r>
        <w:rPr>
          <w:rFonts w:ascii="Arial" w:cs="Arial" w:eastAsia="Arial" w:hAnsi="Arial"/>
          <w:color w:val="333333"/>
          <w:sz w:val="18"/>
          <w:szCs w:val="18"/>
        </w:rPr>
        <w:t xml:space="preserve">Même dans le pire scénario (S-B : perte de 2 locataires majeurs), le cash-flow reste positif à 281 463 €/an car la dette est soldée.</w:t>
      </w:r>
    </w:p>
    <w:p>
      <w:pPr>
        <w:pStyle w:val="ListParagraph"/>
        <w:numPr>
          <w:ilvl w:val="0"/>
          <w:numId w:val="2"/>
        </w:numPr>
        <w:spacing w:after="40" w:before="40"/>
      </w:pPr>
      <w:r>
        <w:rPr>
          <w:rFonts w:ascii="Arial" w:cs="Arial" w:eastAsia="Arial" w:hAnsi="Arial"/>
          <w:color w:val="333333"/>
          <w:sz w:val="18"/>
          <w:szCs w:val="18"/>
        </w:rPr>
        <w:t xml:space="preserve">La hausse de taux (S-E) n’impacte que la période An 1–3 avant les cessions. Après An 4, dette = 0 → aucun impact.</w:t>
      </w:r>
    </w:p>
    <w:p>
      <w:pPr>
        <w:pStyle w:val="ListParagraph"/>
        <w:numPr>
          <w:ilvl w:val="0"/>
          <w:numId w:val="2"/>
        </w:numPr>
        <w:spacing w:after="40" w:before="40"/>
      </w:pPr>
      <w:r>
        <w:rPr>
          <w:rFonts w:ascii="Arial" w:cs="Arial" w:eastAsia="Arial" w:hAnsi="Arial"/>
          <w:color w:val="333333"/>
          <w:sz w:val="18"/>
          <w:szCs w:val="18"/>
        </w:rPr>
        <w:t xml:space="preserve">Le FDR de 250 000 € couvre 6 mois de charges + imprévus.</w:t>
      </w:r>
    </w:p>
    <w:p>
      <w:pPr>
        <w:pStyle w:val="ListParagraph"/>
        <w:numPr>
          <w:ilvl w:val="0"/>
          <w:numId w:val="2"/>
        </w:numPr>
        <w:spacing w:after="40" w:before="40"/>
      </w:pPr>
      <w:r>
        <w:rPr>
          <w:rFonts w:ascii="Arial" w:cs="Arial" w:eastAsia="Arial" w:hAnsi="Arial"/>
          <w:color w:val="333333"/>
          <w:sz w:val="18"/>
          <w:szCs w:val="18"/>
        </w:rPr>
        <w:t xml:space="preserve">La diversification (7 locataires, aucun &gt; 22 % des loyers conservés) limite la concentration du risque.</w:t>
      </w:r>
    </w:p>
    <w:p>
      <w:r>
        <w:br w:type="page"/>
      </w:r>
    </w:p>
    <w:p>
      <w:pPr>
        <w:pStyle w:val="Heading1"/>
        <w:spacing w:after="200" w:before="400"/>
      </w:pPr>
      <w:r>
        <w:rPr>
          <w:rFonts w:ascii="Arial" w:cs="Arial" w:eastAsia="Arial" w:hAnsi="Arial"/>
          <w:b/>
          <w:bCs/>
          <w:color w:val="C5A55A"/>
          <w:sz w:val="28"/>
          <w:szCs w:val="28"/>
        </w:rPr>
        <w:t xml:space="preserve">D. </w:t>
      </w:r>
      <w:r>
        <w:rPr>
          <w:rFonts w:ascii="Arial" w:cs="Arial" w:eastAsia="Arial" w:hAnsi="Arial"/>
          <w:b/>
          <w:bCs/>
          <w:color w:val="1B2A4A"/>
          <w:sz w:val="28"/>
          <w:szCs w:val="28"/>
        </w:rPr>
        <w:t xml:space="preserve">LETTRES D’INTENTION INVESTISSEURS</w:t>
      </w:r>
    </w:p>
    <w:p>
      <w:pPr>
        <w:spacing w:after="80" w:before="80"/>
        <w:jc w:val="both"/>
      </w:pPr>
      <w:r>
        <w:rPr>
          <w:rFonts w:ascii="Arial" w:cs="Arial" w:eastAsia="Arial" w:hAnsi="Arial"/>
          <w:b w:val="false"/>
          <w:bCs w:val="false"/>
          <w:i w:val="false"/>
          <w:iCs w:val="false"/>
          <w:color w:val="333333"/>
          <w:sz w:val="19"/>
          <w:szCs w:val="19"/>
        </w:rPr>
        <w:t xml:space="preserve">Les lettres d’intention ci-dessous témoignent de l’engagement des investisseurs à participer au financement de l’opération. Elles sont indicatives et non engageantes juridiquement avant la signature des bulletins de souscription définitifs.</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400"/>
        <w:gridCol w:w="1528"/>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INVESTISSEUR</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INSTRUMENT</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MONTANT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STATUT</w:t>
            </w:r>
          </w:p>
        </w:tc>
        <w:tc>
          <w:tcPr>
            <w:tcW w:type="dxa" w:w="152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DATE</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Fondateur (apport personnel)</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Capital + CCA</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350 000 €</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8"/>
                <w:szCs w:val="18"/>
              </w:rPr>
              <w:t xml:space="preserve">Confirmé</w:t>
            </w:r>
          </w:p>
        </w:tc>
        <w:tc>
          <w:tcPr>
            <w:tcW w:type="dxa" w:w="1528"/>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Avril 2026</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Investisseur 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OC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500 000 €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E7D32"/>
                <w:sz w:val="18"/>
                <w:szCs w:val="18"/>
              </w:rPr>
              <w:t xml:space="preserve">LOI signée</w:t>
            </w:r>
          </w:p>
        </w:tc>
        <w:tc>
          <w:tcPr>
            <w:tcW w:type="dxa" w:w="15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À obtenir</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Investisseur B</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OC</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300 000 €</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Intéressé</w:t>
            </w:r>
          </w:p>
        </w:tc>
        <w:tc>
          <w:tcPr>
            <w:tcW w:type="dxa" w:w="1528"/>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À obtenir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Investisseur 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OC + CCA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400 000 €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Discussion</w:t>
            </w:r>
          </w:p>
        </w:tc>
        <w:tc>
          <w:tcPr>
            <w:tcW w:type="dxa" w:w="15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À obtenir</w:t>
            </w:r>
          </w:p>
        </w:tc>
      </w:tr>
      <w:tr>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Co-investisseur (CGP / Family Office)</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OC + CCA</w:t>
            </w:r>
          </w:p>
        </w:tc>
        <w:tc>
          <w:tcPr>
            <w:tcW w:type="dxa" w:w="18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800 000 €</w:t>
            </w:r>
          </w:p>
        </w:tc>
        <w:tc>
          <w:tcPr>
            <w:tcW w:type="dxa" w:w="14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Prospection</w:t>
            </w:r>
          </w:p>
        </w:tc>
        <w:tc>
          <w:tcPr>
            <w:tcW w:type="dxa" w:w="1528"/>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À obtenir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Complément à lever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OC + CCA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i w:val="false"/>
                <w:iCs w:val="false"/>
                <w:color w:val="333333"/>
                <w:sz w:val="18"/>
                <w:szCs w:val="18"/>
              </w:rPr>
              <w:t xml:space="preserve">2 024 000 €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En cours</w:t>
            </w:r>
          </w:p>
        </w:tc>
        <w:tc>
          <w:tcPr>
            <w:tcW w:type="dxa" w:w="152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À obtenir</w:t>
            </w:r>
          </w:p>
        </w:tc>
      </w:tr>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8"/>
                <w:szCs w:val="18"/>
              </w:rPr>
              <w:t xml:space="preserve">TOTAL</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right"/>
            </w:pPr>
            <w:r>
              <w:rPr>
                <w:rFonts w:ascii="Arial" w:cs="Arial" w:eastAsia="Arial" w:hAnsi="Arial"/>
                <w:b/>
                <w:bCs/>
                <w:i w:val="false"/>
                <w:iCs w:val="false"/>
                <w:color w:val="FFFFFF"/>
                <w:sz w:val="18"/>
                <w:szCs w:val="18"/>
              </w:rPr>
              <w:t xml:space="preserve">4 374 000 €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
            </w:r>
          </w:p>
        </w:tc>
        <w:tc>
          <w:tcPr>
            <w:tcW w:type="dxa" w:w="152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
            </w:r>
          </w:p>
        </w:tc>
      </w:tr>
    </w:tbl>
    <w:p>
      <w:pPr>
        <w:spacing w:after="40" w:before="40"/>
      </w:pPr>
    </w:p>
    <w:p>
      <w:pPr>
        <w:spacing w:after="80" w:before="80"/>
        <w:jc w:val="both"/>
      </w:pPr>
      <w:r>
        <w:rPr>
          <w:rFonts w:ascii="Arial" w:cs="Arial" w:eastAsia="Arial" w:hAnsi="Arial"/>
          <w:b w:val="false"/>
          <w:bCs w:val="false"/>
          <w:i/>
          <w:iCs/>
          <w:color w:val="333333"/>
          <w:sz w:val="19"/>
          <w:szCs w:val="19"/>
        </w:rPr>
        <w:t xml:space="preserve">Note : les montants ci-dessus sont indicatifs. Les tickets définitifs seront formalisés par bulletins de souscription OC et conventions CCA après obtention de l’accord de principe bancaire. Le fondateur s’engage personnellement sur un apport minimum de 350 000 € en capital + CCA.</w:t>
      </w:r>
    </w:p>
    <w:p>
      <w:pPr>
        <w:spacing w:after="40" w:before="40"/>
      </w:pPr>
    </w:p>
    <w:p>
      <w:pPr>
        <w:spacing w:after="80" w:before="80"/>
        <w:jc w:val="both"/>
      </w:pPr>
      <w:r>
        <w:rPr>
          <w:rFonts w:ascii="Arial" w:cs="Arial" w:eastAsia="Arial" w:hAnsi="Arial"/>
          <w:b/>
          <w:bCs/>
          <w:i w:val="false"/>
          <w:iCs w:val="false"/>
          <w:color w:val="333333"/>
          <w:sz w:val="19"/>
          <w:szCs w:val="19"/>
        </w:rPr>
        <w:t xml:space="preserve">Modèle de LOI à annexer :</w:t>
      </w:r>
    </w:p>
    <w:p>
      <w:pPr>
        <w:spacing w:after="80" w:before="80"/>
        <w:jc w:val="both"/>
      </w:pPr>
      <w:r>
        <w:rPr>
          <w:rFonts w:ascii="Arial" w:cs="Arial" w:eastAsia="Arial" w:hAnsi="Arial"/>
          <w:b w:val="false"/>
          <w:bCs w:val="false"/>
          <w:i w:val="false"/>
          <w:iCs w:val="false"/>
          <w:color w:val="333333"/>
          <w:sz w:val="19"/>
          <w:szCs w:val="19"/>
        </w:rPr>
        <w:t xml:space="preserve">Chaque investisseur signe une lettre d’intention reprenant : (i) identité et coordonnées, (ii) montant indicatif d’engagement (OC et/ou CCA), (iii) mention « sous réserve de l’obtention du prêt bancaire », (iv) engagement de confidentialité, (v) date et signature. Ce document est transmis à la banque comme preuve de capacité de levée de fonds.</w:t>
      </w:r>
    </w:p>
    <w:p>
      <w:r>
        <w:br w:type="page"/>
      </w:r>
    </w:p>
    <w:p>
      <w:pPr>
        <w:pStyle w:val="Heading1"/>
        <w:spacing w:after="200" w:before="400"/>
      </w:pPr>
      <w:r>
        <w:rPr>
          <w:rFonts w:ascii="Arial" w:cs="Arial" w:eastAsia="Arial" w:hAnsi="Arial"/>
          <w:b/>
          <w:bCs/>
          <w:color w:val="C5A55A"/>
          <w:sz w:val="28"/>
          <w:szCs w:val="28"/>
        </w:rPr>
        <w:t xml:space="preserve">E. </w:t>
      </w:r>
      <w:r>
        <w:rPr>
          <w:rFonts w:ascii="Arial" w:cs="Arial" w:eastAsia="Arial" w:hAnsi="Arial"/>
          <w:b/>
          <w:bCs/>
          <w:color w:val="1B2A4A"/>
          <w:sz w:val="28"/>
          <w:szCs w:val="28"/>
        </w:rPr>
        <w:t xml:space="preserve">CHRONOGRAMME DE L’OPÉRATION</w:t>
      </w:r>
    </w:p>
    <w:p>
      <w:pPr>
        <w:spacing w:after="80" w:before="80"/>
        <w:jc w:val="both"/>
      </w:pPr>
      <w:r>
        <w:rPr>
          <w:rFonts w:ascii="Arial" w:cs="Arial" w:eastAsia="Arial" w:hAnsi="Arial"/>
          <w:b w:val="false"/>
          <w:bCs w:val="false"/>
          <w:i w:val="false"/>
          <w:iCs w:val="false"/>
          <w:color w:val="333333"/>
          <w:sz w:val="19"/>
          <w:szCs w:val="19"/>
        </w:rPr>
        <w:t xml:space="preserve">Le calendrier ci-dessous détaille les grandes étapes de l’opération, de la signature de la promesse à la sortie des investisseurs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32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PÉRIODE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ÉTAPE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ACTION CLÉ</w:t>
            </w:r>
          </w:p>
        </w:tc>
        <w:tc>
          <w:tcPr>
            <w:tcW w:type="dxa" w:w="23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LIVRABLE</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M0</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Signature promesse synallagmatique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Négociation prix &amp; conditions</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Promesse signée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M0–M1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Constitution SCI District One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Statuts, RCS, compte bancaire</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Kbis</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M1–M2</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Dépôt dossier bancaire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Checklist Sextant 7 points</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Dossier complet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M2–M3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Instruction bancaire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RDV analyste, comité crédit</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Accord de principe</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M3–M4</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Levée de fonds investisseurs</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Bulletins OC + conventions CCA</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Fonds sur séquestre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M4–M5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Offre de prêt + sûretés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Hypothèque, nantissement, Dailly</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Offre acceptée</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M5–M6</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Acte notarié + déblocage fonds</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Signature chez le notaire</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Transfert propriété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M6–M12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Phase 1 : stabilisation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Commercialisation vacants, travaux</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Taux occupation ≥ 80 %</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M12–M24</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Phase 2 : exploitation</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Encaissement loyers, gestion</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DSCR ≥ 1,40x</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M24–M30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Cession You Jump (An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Mise en marché, négociation</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Acte signé — 2 535 K€ net</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M30–M36</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Cession Givaudan + SCI Vital</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Mise en marché parallèle</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Acte signé — 3 239 K€ net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M36–M48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An 4 : prêt soldé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Remboursement anticipé CRD</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CRD = 0 €</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M48–M60</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Remboursement OC + CCA</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Cash-flows d’exploitation</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Cash-out investisseurs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M60–M84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Sortie investisseurs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Call option fondateur (Art. 5)</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Fondateur seul</w:t>
            </w:r>
          </w:p>
        </w:tc>
      </w:tr>
      <w:tr>
        <w:tc>
          <w:tcPr>
            <w:tcW w:type="dxa" w:w="12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M84+</w:t>
            </w:r>
          </w:p>
        </w:tc>
        <w:tc>
          <w:tcPr>
            <w:tcW w:type="dxa" w:w="30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bCs/>
                <w:i w:val="false"/>
                <w:iCs w:val="false"/>
                <w:color w:val="333333"/>
                <w:sz w:val="18"/>
                <w:szCs w:val="18"/>
              </w:rPr>
              <w:t xml:space="preserve">Exploitation long terme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Rente ~630 K€/an indexée</w:t>
            </w:r>
          </w:p>
        </w:tc>
        <w:tc>
          <w:tcPr>
            <w:tcW w:type="dxa" w:w="23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Patrimoine constitué</w:t>
            </w:r>
          </w:p>
        </w:tc>
      </w:tr>
    </w:tbl>
    <w:p>
      <w:r>
        <w:br w:type="page"/>
      </w:r>
    </w:p>
    <w:p>
      <w:pPr>
        <w:pStyle w:val="Heading1"/>
        <w:spacing w:after="200" w:before="400"/>
      </w:pPr>
      <w:r>
        <w:rPr>
          <w:rFonts w:ascii="Arial" w:cs="Arial" w:eastAsia="Arial" w:hAnsi="Arial"/>
          <w:b/>
          <w:bCs/>
          <w:color w:val="C5A55A"/>
          <w:sz w:val="28"/>
          <w:szCs w:val="28"/>
        </w:rPr>
        <w:t xml:space="preserve">F. </w:t>
      </w:r>
      <w:r>
        <w:rPr>
          <w:rFonts w:ascii="Arial" w:cs="Arial" w:eastAsia="Arial" w:hAnsi="Arial"/>
          <w:b/>
          <w:bCs/>
          <w:color w:val="1B2A4A"/>
          <w:sz w:val="28"/>
          <w:szCs w:val="28"/>
        </w:rPr>
        <w:t xml:space="preserve">PIÈCES JUSTIFICATIVES À FOURNIR</w:t>
      </w:r>
    </w:p>
    <w:p>
      <w:pPr>
        <w:spacing w:after="80" w:before="80"/>
        <w:jc w:val="both"/>
      </w:pPr>
      <w:r>
        <w:rPr>
          <w:rFonts w:ascii="Arial" w:cs="Arial" w:eastAsia="Arial" w:hAnsi="Arial"/>
          <w:b w:val="false"/>
          <w:bCs w:val="false"/>
          <w:i w:val="false"/>
          <w:iCs w:val="false"/>
          <w:color w:val="333333"/>
          <w:sz w:val="19"/>
          <w:szCs w:val="19"/>
        </w:rPr>
        <w:t xml:space="preserve">La banque exigera les pièces ci-dessous en complément du dossier Sextant. L’état d’avancement de la collecte est indiqué :</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242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N°</w:t>
            </w:r>
          </w:p>
        </w:tc>
        <w:tc>
          <w:tcPr>
            <w:tcW w:type="dxa" w:w="3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PIÈCE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SOURCE</w:t>
            </w:r>
          </w:p>
        </w:tc>
        <w:tc>
          <w:tcPr>
            <w:tcW w:type="dxa" w:w="242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STATUT</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Copies intégrales des 11 baux commerciaux</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Vendeur (SCI Jacimmo)</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Demandées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Dernières quittances de loyers (3 derniers mois)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Vendeur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Demandées</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3</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Factures locataires T2 2026 (preuve loyers réels)</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Comptabilité vendeur</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8"/>
                <w:szCs w:val="18"/>
              </w:rPr>
              <w:t xml:space="preserve">Reçues ✔</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Avis d’imposition foncière (taxe foncière 2024-2025)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Vendeur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Demandés</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5</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État hypothécaire de l’immeuble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Notaire</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En cours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Plan cadastral + relevé de propriété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Service du cadastre</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En cours</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7</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Diagnostic amiante (DTA)</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Bureau d’études</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Commandé</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Diagnostic électricité + gaz</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Organisme agréé</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Programmé</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9</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DPE (performance énergétique)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Diagnostiqueur</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Commandé</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Registre de sécurité ERP (5 bâtiments)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Vendeur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Demandé</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11</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PV commission de sécurité (dernier passage)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Mairie Le Pontet</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Demandé</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Attestation d’assurance PNO (vendeur)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Assureur vendeur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Demandée</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13</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Règlement de copropriété (si applicable)</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Notaire</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Vérification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CV + pièce d’identité du porteur de projet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Fondateur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2E7D32"/>
                <w:sz w:val="18"/>
                <w:szCs w:val="18"/>
              </w:rPr>
              <w:t xml:space="preserve">Prêt</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15</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Justificatif d’apport personnel (relevés bancaires)</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Fondateur</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8"/>
                <w:szCs w:val="18"/>
              </w:rPr>
              <w:t xml:space="preserve">Prêt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3 derniers avis d’imposition IR du fondateur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Fondateur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2E7D32"/>
                <w:sz w:val="18"/>
                <w:szCs w:val="18"/>
              </w:rPr>
              <w:t xml:space="preserve">Prêt</w:t>
            </w:r>
          </w:p>
        </w:tc>
      </w:tr>
      <w:tr>
        <w:tc>
          <w:tcPr>
            <w:tcW w:type="dxa" w:w="6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17</w:t>
            </w:r>
          </w:p>
        </w:tc>
        <w:tc>
          <w:tcPr>
            <w:tcW w:type="dxa" w:w="3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Statuts SCI District One (projet)</w:t>
            </w:r>
          </w:p>
        </w:tc>
        <w:tc>
          <w:tcPr>
            <w:tcW w:type="dxa" w:w="2500"/>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Sextant Avocats</w:t>
            </w:r>
          </w:p>
        </w:tc>
        <w:tc>
          <w:tcPr>
            <w:tcW w:type="dxa" w:w="2426"/>
            <w:tcBorders>
              <w:top w:val="single" w:color="CCCCCC" w:sz="1"/>
              <w:left w:val="single" w:color="CCCCCC" w:sz="1"/>
              <w:bottom w:val="single" w:color="CCCCCC" w:sz="1"/>
              <w:right w:val="single" w:color="CCCCCC" w:sz="1"/>
            </w:tcBorders>
            <w:shd w:fill="F5F5F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En rédaction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i w:val="false"/>
                <w:iCs w:val="false"/>
                <w:color w:val="333333"/>
                <w:sz w:val="18"/>
                <w:szCs w:val="18"/>
              </w:rPr>
              <w:t xml:space="preserve">18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LOI investisseurs (lettres d’intention)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333333"/>
                <w:sz w:val="18"/>
                <w:szCs w:val="18"/>
              </w:rPr>
              <w:t xml:space="preserve">Investisseurs</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333333"/>
                <w:sz w:val="18"/>
                <w:szCs w:val="18"/>
              </w:rPr>
              <w:t xml:space="preserve">En collecte</w:t>
            </w:r>
          </w:p>
        </w:tc>
      </w:tr>
    </w:tbl>
    <w:p>
      <w:pPr>
        <w:spacing w:after="40" w:before="40"/>
      </w:pPr>
    </w:p>
    <w:p>
      <w:pPr>
        <w:spacing w:after="80" w:before="80"/>
        <w:jc w:val="both"/>
      </w:pPr>
      <w:r>
        <w:rPr>
          <w:rFonts w:ascii="Arial" w:cs="Arial" w:eastAsia="Arial" w:hAnsi="Arial"/>
          <w:b w:val="false"/>
          <w:bCs w:val="false"/>
          <w:i w:val="false"/>
          <w:iCs w:val="false"/>
          <w:color w:val="333333"/>
          <w:sz w:val="19"/>
          <w:szCs w:val="19"/>
        </w:rPr>
        <w:t xml:space="preserve">Les pièces marquées « Demandées » sont en cours de collecte auprès du vendeur et seront fournies avant le dépôt du dossier en banque. Les pièces « Prêt » sont déjà disponibles.</w:t>
      </w:r>
    </w:p>
    <w:p>
      <w:pPr>
        <w:spacing w:after="40" w:before="40"/>
      </w:pPr>
    </w:p>
    <w:p>
      <w:pPr>
        <w:spacing w:after="40" w:before="40"/>
      </w:pPr>
    </w:p>
    <w:p>
      <w:pPr>
        <w:pBdr>
          <w:top w:val="single" w:color="C5A55A" w:sz="4" w:space="1"/>
        </w:pBdr>
        <w:spacing w:after="100" w:before="400"/>
        <w:jc w:val="center"/>
      </w:pPr>
    </w:p>
    <w:p>
      <w:pPr>
        <w:spacing w:after="60"/>
        <w:jc w:val="center"/>
      </w:pPr>
      <w:r>
        <w:rPr>
          <w:rFonts w:ascii="Arial" w:cs="Arial" w:eastAsia="Arial" w:hAnsi="Arial"/>
          <w:i/>
          <w:iCs/>
          <w:color w:val="666666"/>
          <w:sz w:val="16"/>
          <w:szCs w:val="16"/>
        </w:rPr>
        <w:t xml:space="preserve">Document confidentiel — SCI District One — Avril 2026</w:t>
      </w:r>
    </w:p>
    <w:p>
      <w:pPr>
        <w:jc w:val="center"/>
      </w:pPr>
      <w:r>
        <w:rPr>
          <w:rFonts w:ascii="Arial" w:cs="Arial" w:eastAsia="Arial" w:hAnsi="Arial"/>
          <w:i/>
          <w:iCs/>
          <w:color w:val="666666"/>
          <w:sz w:val="16"/>
          <w:szCs w:val="16"/>
        </w:rPr>
        <w:t xml:space="preserve">Toute reproduction ou diffusion est strictement interdite sans autorisation écrite du porteur de projet.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CONFIDENTIEL — SCI District One — Avril 2026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2" w:space="1"/>
      </w:pBdr>
      <w:tabs>
        <w:tab w:val="right" w:pos="9026"/>
      </w:tabs>
    </w:pPr>
    <w:r>
      <w:rPr>
        <w:rFonts w:ascii="Arial" w:cs="Arial" w:eastAsia="Arial" w:hAnsi="Arial"/>
        <w:b/>
        <w:bCs/>
        <w:color w:val="1B2A4A"/>
        <w:sz w:val="14"/>
        <w:szCs w:val="14"/>
      </w:rPr>
      <w:t xml:space="preserve">DISTRICT ONE · D1</w:t>
    </w:r>
    <w:r>
      <w:rPr>
        <w:rFonts w:ascii="Arial" w:cs="Arial" w:eastAsia="Arial" w:hAnsi="Arial"/>
        <w:color w:val="666666"/>
        <w:sz w:val="14"/>
        <w:szCs w:val="14"/>
      </w:rPr>
      <w:t xml:space="preserve">	Annexes complémentaires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2026-04-13T13:48:43.127Z</dcterms:created>
  <dcterms:modified xsi:type="dcterms:W3CDTF">2026-04-13T13:48:43.128Z</dcterms:modified>
</cp:coreProperties>
</file>

<file path=docProps/custom.xml><?xml version="1.0" encoding="utf-8"?>
<Properties xmlns="http://schemas.openxmlformats.org/officeDocument/2006/custom-properties" xmlns:vt="http://schemas.openxmlformats.org/officeDocument/2006/docPropsVTypes"/>
</file>