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100"/>
        <w:jc w:val="center"/>
      </w:pPr>
      <w:r>
        <w:rPr>
          <w:rFonts w:ascii="Arial" w:cs="Arial" w:eastAsia="Arial" w:hAnsi="Arial"/>
          <w:b/>
          <w:bCs/>
          <w:color w:val="1B2A4A"/>
          <w:sz w:val="44"/>
          <w:szCs w:val="44"/>
        </w:rPr>
        <w:t xml:space="preserve">DISTRICT ONE  ·  D1</w:t>
      </w:r>
    </w:p>
    <w:p>
      <w:pPr>
        <w:spacing w:after="60"/>
        <w:jc w:val="center"/>
      </w:pPr>
      <w:r>
        <w:rPr>
          <w:rFonts w:ascii="Arial" w:cs="Arial" w:eastAsia="Arial" w:hAnsi="Arial"/>
          <w:color w:val="666666"/>
          <w:sz w:val="22"/>
          <w:szCs w:val="22"/>
        </w:rPr>
        <w:t xml:space="preserve">Acquisition SCI Jacimmo — Zone Commerciale Avignon Nord</w:t>
      </w:r>
    </w:p>
    <w:p>
      <w:pPr>
        <w:pBdr>
          <w:bottom w:val="single" w:color="C5A55A" w:sz="6" w:space="1"/>
        </w:pBdr>
        <w:spacing w:after="300"/>
        <w:jc w:val="center"/>
      </w:pPr>
    </w:p>
    <w:p>
      <w:pPr>
        <w:spacing w:after="40" w:before="40"/>
      </w:pPr>
    </w:p>
    <w:p>
      <w:pPr>
        <w:spacing w:after="80"/>
        <w:jc w:val="center"/>
      </w:pPr>
      <w:r>
        <w:rPr>
          <w:rFonts w:ascii="Arial" w:cs="Arial" w:eastAsia="Arial" w:hAnsi="Arial"/>
          <w:b/>
          <w:bCs/>
          <w:color w:val="1B2A4A"/>
          <w:sz w:val="30"/>
          <w:szCs w:val="30"/>
        </w:rPr>
        <w:t xml:space="preserve">ÉTUDE DE MARCHÉ LOCALE</w:t>
      </w:r>
    </w:p>
    <w:p>
      <w:pPr>
        <w:spacing w:after="40"/>
        <w:jc w:val="center"/>
      </w:pPr>
      <w:r>
        <w:rPr>
          <w:rFonts w:ascii="Arial" w:cs="Arial" w:eastAsia="Arial" w:hAnsi="Arial"/>
          <w:color w:val="C5A55A"/>
          <w:sz w:val="20"/>
          <w:szCs w:val="20"/>
        </w:rPr>
        <w:t xml:space="preserve">Zone Aushopping Avignon Nord · Voie rapide · 80 000 véh./jour · Visibilité premium</w:t>
      </w:r>
    </w:p>
    <w:p>
      <w:pPr>
        <w:spacing w:after="20"/>
        <w:jc w:val="center"/>
      </w:pPr>
      <w:r>
        <w:rPr>
          <w:rFonts w:ascii="Arial" w:cs="Arial" w:eastAsia="Arial" w:hAnsi="Arial"/>
          <w:b/>
          <w:bCs/>
          <w:color w:val="2E7D32"/>
          <w:sz w:val="18"/>
          <w:szCs w:val="18"/>
        </w:rPr>
        <w:t xml:space="preserve">AVRIL 2026 — CONFIDENTIEL</w:t>
      </w:r>
    </w:p>
    <w:p>
      <w:pPr>
        <w:spacing w:after="40" w:before="40"/>
      </w:pPr>
    </w:p>
    <w:p>
      <w:pPr>
        <w:spacing w:after="40" w:before="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sz="0"/>
              <w:left w:val="none" w:sz="0"/>
              <w:bottom w:val="none" w:sz="0"/>
              <w:right w:val="none" w:sz="0"/>
            </w:tcBorders>
            <w:tcMar>
              <w:top w:type="dxa" w:w="50"/>
              <w:left w:type="dxa" w:w="80"/>
              <w:bottom w:type="dxa" w:w="50"/>
              <w:right w:type="dxa" w:w="80"/>
            </w:tcMar>
          </w:tcPr>
          <w:p>
            <w:pPr>
              <w:jc w:val="right"/>
            </w:pPr>
            <w:r>
              <w:rPr>
                <w:rFonts w:ascii="Arial" w:cs="Arial" w:eastAsia="Arial" w:hAnsi="Arial"/>
                <w:b/>
                <w:bCs/>
                <w:color w:val="1B2A4A"/>
                <w:sz w:val="18"/>
                <w:szCs w:val="18"/>
              </w:rPr>
              <w:t xml:space="preserve">Fondateur</w:t>
            </w:r>
          </w:p>
        </w:tc>
        <w:tc>
          <w:tcPr>
            <w:tcW w:type="dxa" w:w="3200"/>
            <w:tcBorders>
              <w:top w:val="none" w:sz="0"/>
              <w:left w:val="none" w:sz="0"/>
              <w:bottom w:val="none" w:sz="0"/>
              <w:right w:val="none" w:sz="0"/>
            </w:tcBorders>
            <w:tcMar>
              <w:top w:type="dxa" w:w="50"/>
              <w:left w:type="dxa" w:w="80"/>
              <w:bottom w:type="dxa" w:w="50"/>
              <w:right w:type="dxa" w:w="80"/>
            </w:tcMar>
          </w:tcPr>
          <w:p>
            <w:r>
              <w:rPr>
                <w:rFonts w:ascii="Arial" w:cs="Arial" w:eastAsia="Arial" w:hAnsi="Arial"/>
                <w:color w:val="333333"/>
                <w:sz w:val="18"/>
                <w:szCs w:val="18"/>
              </w:rPr>
              <w:t xml:space="preserve">Apport personnel 150 000 €</w:t>
            </w:r>
          </w:p>
        </w:tc>
      </w:tr>
      <w:tr>
        <w:tc>
          <w:tcPr>
            <w:tcW w:type="dxa" w:w="2800"/>
            <w:tcBorders>
              <w:top w:val="none" w:sz="0"/>
              <w:left w:val="none" w:sz="0"/>
              <w:bottom w:val="none" w:sz="0"/>
              <w:right w:val="none" w:sz="0"/>
            </w:tcBorders>
            <w:tcMar>
              <w:top w:type="dxa" w:w="50"/>
              <w:left w:type="dxa" w:w="80"/>
              <w:bottom w:type="dxa" w:w="50"/>
              <w:right w:type="dxa" w:w="80"/>
            </w:tcMar>
          </w:tcPr>
          <w:p>
            <w:pPr>
              <w:jc w:val="right"/>
            </w:pPr>
            <w:r>
              <w:rPr>
                <w:rFonts w:ascii="Arial" w:cs="Arial" w:eastAsia="Arial" w:hAnsi="Arial"/>
                <w:b/>
                <w:bCs/>
                <w:color w:val="1B2A4A"/>
                <w:sz w:val="18"/>
                <w:szCs w:val="18"/>
              </w:rPr>
              <w:t xml:space="preserve">Investisseurs</w:t>
            </w:r>
          </w:p>
        </w:tc>
        <w:tc>
          <w:tcPr>
            <w:tcW w:type="dxa" w:w="3200"/>
            <w:tcBorders>
              <w:top w:val="none" w:sz="0"/>
              <w:left w:val="none" w:sz="0"/>
              <w:bottom w:val="none" w:sz="0"/>
              <w:right w:val="none" w:sz="0"/>
            </w:tcBorders>
            <w:tcMar>
              <w:top w:type="dxa" w:w="50"/>
              <w:left w:type="dxa" w:w="80"/>
              <w:bottom w:type="dxa" w:w="50"/>
              <w:right w:type="dxa" w:w="80"/>
            </w:tcMar>
          </w:tcPr>
          <w:p>
            <w:r>
              <w:rPr>
                <w:rFonts w:ascii="Arial" w:cs="Arial" w:eastAsia="Arial" w:hAnsi="Arial"/>
                <w:color w:val="333333"/>
                <w:sz w:val="18"/>
                <w:szCs w:val="18"/>
              </w:rPr>
              <w:t xml:space="preserve">En cours de recherche (OC + CCA)</w:t>
            </w:r>
          </w:p>
        </w:tc>
      </w:tr>
      <w:tr>
        <w:tc>
          <w:tcPr>
            <w:tcW w:type="dxa" w:w="2800"/>
            <w:tcBorders>
              <w:top w:val="none" w:sz="0"/>
              <w:left w:val="none" w:sz="0"/>
              <w:bottom w:val="none" w:sz="0"/>
              <w:right w:val="none" w:sz="0"/>
            </w:tcBorders>
            <w:tcMar>
              <w:top w:type="dxa" w:w="50"/>
              <w:left w:type="dxa" w:w="80"/>
              <w:bottom w:type="dxa" w:w="50"/>
              <w:right w:type="dxa" w:w="80"/>
            </w:tcMar>
          </w:tcPr>
          <w:p>
            <w:pPr>
              <w:jc w:val="right"/>
            </w:pPr>
            <w:r>
              <w:rPr>
                <w:rFonts w:ascii="Arial" w:cs="Arial" w:eastAsia="Arial" w:hAnsi="Arial"/>
                <w:b/>
                <w:bCs/>
                <w:color w:val="1B2A4A"/>
                <w:sz w:val="18"/>
                <w:szCs w:val="18"/>
              </w:rPr>
              <w:t xml:space="preserve">Actif</w:t>
            </w:r>
          </w:p>
        </w:tc>
        <w:tc>
          <w:tcPr>
            <w:tcW w:type="dxa" w:w="3200"/>
            <w:tcBorders>
              <w:top w:val="none" w:sz="0"/>
              <w:left w:val="none" w:sz="0"/>
              <w:bottom w:val="none" w:sz="0"/>
              <w:right w:val="none" w:sz="0"/>
            </w:tcBorders>
            <w:tcMar>
              <w:top w:type="dxa" w:w="50"/>
              <w:left w:type="dxa" w:w="80"/>
              <w:bottom w:type="dxa" w:w="50"/>
              <w:right w:type="dxa" w:w="80"/>
            </w:tcMar>
          </w:tcPr>
          <w:p>
            <w:r>
              <w:rPr>
                <w:rFonts w:ascii="Arial" w:cs="Arial" w:eastAsia="Arial" w:hAnsi="Arial"/>
                <w:color w:val="333333"/>
                <w:sz w:val="18"/>
                <w:szCs w:val="18"/>
              </w:rPr>
              <w:t xml:space="preserve">10 092 m² — façade voie rapide</w:t>
            </w:r>
          </w:p>
        </w:tc>
      </w:tr>
      <w:tr>
        <w:tc>
          <w:tcPr>
            <w:tcW w:type="dxa" w:w="2800"/>
            <w:tcBorders>
              <w:top w:val="none" w:sz="0"/>
              <w:left w:val="none" w:sz="0"/>
              <w:bottom w:val="none" w:sz="0"/>
              <w:right w:val="none" w:sz="0"/>
            </w:tcBorders>
            <w:tcMar>
              <w:top w:type="dxa" w:w="50"/>
              <w:left w:type="dxa" w:w="80"/>
              <w:bottom w:type="dxa" w:w="50"/>
              <w:right w:type="dxa" w:w="80"/>
            </w:tcMar>
          </w:tcPr>
          <w:p>
            <w:pPr>
              <w:jc w:val="right"/>
            </w:pPr>
            <w:r>
              <w:rPr>
                <w:rFonts w:ascii="Arial" w:cs="Arial" w:eastAsia="Arial" w:hAnsi="Arial"/>
                <w:b/>
                <w:bCs/>
                <w:color w:val="1B2A4A"/>
                <w:sz w:val="18"/>
                <w:szCs w:val="18"/>
              </w:rPr>
              <w:t xml:space="preserve">Flux véhicules</w:t>
            </w:r>
          </w:p>
        </w:tc>
        <w:tc>
          <w:tcPr>
            <w:tcW w:type="dxa" w:w="3200"/>
            <w:tcBorders>
              <w:top w:val="none" w:sz="0"/>
              <w:left w:val="none" w:sz="0"/>
              <w:bottom w:val="none" w:sz="0"/>
              <w:right w:val="none" w:sz="0"/>
            </w:tcBorders>
            <w:tcMar>
              <w:top w:type="dxa" w:w="50"/>
              <w:left w:type="dxa" w:w="80"/>
              <w:bottom w:type="dxa" w:w="50"/>
              <w:right w:type="dxa" w:w="80"/>
            </w:tcMar>
          </w:tcPr>
          <w:p>
            <w:r>
              <w:rPr>
                <w:rFonts w:ascii="Arial" w:cs="Arial" w:eastAsia="Arial" w:hAnsi="Arial"/>
                <w:color w:val="333333"/>
                <w:sz w:val="18"/>
                <w:szCs w:val="18"/>
              </w:rPr>
              <w:t xml:space="preserve">80 000 véh./jour (voie express)</w:t>
            </w:r>
          </w:p>
        </w:tc>
      </w:tr>
      <w:tr>
        <w:tc>
          <w:tcPr>
            <w:tcW w:type="dxa" w:w="2800"/>
            <w:tcBorders>
              <w:top w:val="none" w:sz="0"/>
              <w:left w:val="none" w:sz="0"/>
              <w:bottom w:val="none" w:sz="0"/>
              <w:right w:val="none" w:sz="0"/>
            </w:tcBorders>
            <w:tcMar>
              <w:top w:type="dxa" w:w="50"/>
              <w:left w:type="dxa" w:w="80"/>
              <w:bottom w:type="dxa" w:w="50"/>
              <w:right w:type="dxa" w:w="80"/>
            </w:tcMar>
          </w:tcPr>
          <w:p>
            <w:pPr>
              <w:jc w:val="right"/>
            </w:pPr>
            <w:r>
              <w:rPr>
                <w:rFonts w:ascii="Arial" w:cs="Arial" w:eastAsia="Arial" w:hAnsi="Arial"/>
                <w:b/>
                <w:bCs/>
                <w:color w:val="1B2A4A"/>
                <w:sz w:val="18"/>
                <w:szCs w:val="18"/>
              </w:rPr>
              <w:t xml:space="preserve">Zone</w:t>
            </w:r>
          </w:p>
        </w:tc>
        <w:tc>
          <w:tcPr>
            <w:tcW w:type="dxa" w:w="3200"/>
            <w:tcBorders>
              <w:top w:val="none" w:sz="0"/>
              <w:left w:val="none" w:sz="0"/>
              <w:bottom w:val="none" w:sz="0"/>
              <w:right w:val="none" w:sz="0"/>
            </w:tcBorders>
            <w:tcMar>
              <w:top w:type="dxa" w:w="50"/>
              <w:left w:type="dxa" w:w="80"/>
              <w:bottom w:type="dxa" w:w="50"/>
              <w:right w:type="dxa" w:w="80"/>
            </w:tcMar>
          </w:tcPr>
          <w:p>
            <w:r>
              <w:rPr>
                <w:rFonts w:ascii="Arial" w:cs="Arial" w:eastAsia="Arial" w:hAnsi="Arial"/>
                <w:color w:val="333333"/>
                <w:sz w:val="18"/>
                <w:szCs w:val="18"/>
              </w:rPr>
              <w:t xml:space="preserve">350 ha — 280 enseignes — 500 M€ CA</w:t>
            </w:r>
          </w:p>
        </w:tc>
      </w:tr>
      <w:tr>
        <w:tc>
          <w:tcPr>
            <w:tcW w:type="dxa" w:w="2800"/>
            <w:tcBorders>
              <w:top w:val="none" w:sz="0"/>
              <w:left w:val="none" w:sz="0"/>
              <w:bottom w:val="none" w:sz="0"/>
              <w:right w:val="none" w:sz="0"/>
            </w:tcBorders>
            <w:tcMar>
              <w:top w:type="dxa" w:w="50"/>
              <w:left w:type="dxa" w:w="80"/>
              <w:bottom w:type="dxa" w:w="50"/>
              <w:right w:type="dxa" w:w="80"/>
            </w:tcMar>
          </w:tcPr>
          <w:p>
            <w:pPr>
              <w:jc w:val="right"/>
            </w:pPr>
            <w:r>
              <w:rPr>
                <w:rFonts w:ascii="Arial" w:cs="Arial" w:eastAsia="Arial" w:hAnsi="Arial"/>
                <w:b/>
                <w:bCs/>
                <w:color w:val="1B2A4A"/>
                <w:sz w:val="18"/>
                <w:szCs w:val="18"/>
              </w:rPr>
              <w:t xml:space="preserve">Statut</w:t>
            </w:r>
          </w:p>
        </w:tc>
        <w:tc>
          <w:tcPr>
            <w:tcW w:type="dxa" w:w="3200"/>
            <w:tcBorders>
              <w:top w:val="none" w:sz="0"/>
              <w:left w:val="none" w:sz="0"/>
              <w:bottom w:val="none" w:sz="0"/>
              <w:right w:val="none" w:sz="0"/>
            </w:tcBorders>
            <w:tcMar>
              <w:top w:type="dxa" w:w="50"/>
              <w:left w:type="dxa" w:w="80"/>
              <w:bottom w:type="dxa" w:w="50"/>
              <w:right w:type="dxa" w:w="80"/>
            </w:tcMar>
          </w:tcPr>
          <w:p>
            <w:r>
              <w:rPr>
                <w:rFonts w:ascii="Arial" w:cs="Arial" w:eastAsia="Arial" w:hAnsi="Arial"/>
                <w:color w:val="333333"/>
                <w:sz w:val="18"/>
                <w:szCs w:val="18"/>
              </w:rPr>
              <w:t xml:space="preserve">CONFIDENTIEL</w:t>
            </w:r>
          </w:p>
        </w:tc>
      </w:tr>
    </w:tbl>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C5A55A"/>
          <w:sz w:val="28"/>
          <w:szCs w:val="28"/>
        </w:rPr>
        <w:t xml:space="preserve">1. </w:t>
      </w:r>
      <w:r>
        <w:rPr>
          <w:rFonts w:ascii="Arial" w:cs="Arial" w:eastAsia="Arial" w:hAnsi="Arial"/>
          <w:b/>
          <w:bCs/>
          <w:color w:val="1B2A4A"/>
          <w:sz w:val="28"/>
          <w:szCs w:val="28"/>
        </w:rPr>
        <w:t xml:space="preserve">LOCALISATION STRATÉGIQUE — FAÇADE VOIE RAPIDE</w:t>
      </w:r>
    </w:p>
    <w:p>
      <w:pPr>
        <w:spacing w:after="80" w:before="80"/>
        <w:jc w:val="both"/>
      </w:pPr>
      <w:r>
        <w:rPr>
          <w:rFonts w:ascii="Arial" w:cs="Arial" w:eastAsia="Arial" w:hAnsi="Arial"/>
          <w:b w:val="false"/>
          <w:bCs w:val="false"/>
          <w:i w:val="false"/>
          <w:iCs w:val="false"/>
          <w:color w:val="333333"/>
          <w:sz w:val="18"/>
          <w:szCs w:val="18"/>
        </w:rPr>
        <w:t xml:space="preserve">L’immeuble District One bénéficie d’une localisation exceptionnelle : il est situé en façade directe de la voie express Avignon–Carpentras (RD 942), qui constitue le plus gros axe de trafic de l’agglomération avignonnaise. Cette visibilité sur la voie rapide principale est le premier facteur de commercialité du bâtiment.</w:t>
      </w:r>
    </w:p>
    <w:p>
      <w:pPr>
        <w:spacing w:after="40" w:before="40"/>
      </w:pPr>
    </w:p>
    <w:p>
      <w:pPr>
        <w:spacing w:after="100" w:before="180"/>
      </w:pPr>
      <w:r>
        <w:rPr>
          <w:rFonts w:ascii="Arial" w:cs="Arial" w:eastAsia="Arial" w:hAnsi="Arial"/>
          <w:b/>
          <w:bCs/>
          <w:color w:val="3D5A80"/>
          <w:sz w:val="20"/>
          <w:szCs w:val="20"/>
        </w:rPr>
        <w:t xml:space="preserve">Flux de véhicules — L’argument n°1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AXE ROUTIER</w:t>
            </w:r>
          </w:p>
        </w:tc>
        <w:tc>
          <w:tcPr>
            <w:tcW w:type="dxa" w:w="48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TRAFIC JOURNALIER</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Voie express Avignon–Carpentras (RD 942)</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C0392B"/>
                <w:sz w:val="17"/>
                <w:szCs w:val="17"/>
              </w:rPr>
              <w:t xml:space="preserve">80 000 véhicules/jour — FAÇADE DIRECTE D1</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Autoroute A7 (sortie Avignon Nord)</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64 000 véhicules/jour</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Avenue Charles de Gaulle (Le Pontet)</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~25 000 véhicules/jour</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Chemin du Périgord / ZI Fontvert</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~8 000–12 000 véhicules/jour (accès direct D1)</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Total flux zone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~150 000+ véhicules/jour toutes voies confondues</w:t>
            </w:r>
          </w:p>
        </w:tc>
      </w:tr>
    </w:tbl>
    <w:p>
      <w:pPr>
        <w:spacing w:after="40" w:before="40"/>
      </w:pPr>
    </w:p>
    <w:p>
      <w:pPr>
        <w:spacing w:after="80" w:before="80"/>
        <w:jc w:val="both"/>
      </w:pPr>
      <w:r>
        <w:rPr>
          <w:rFonts w:ascii="Arial" w:cs="Arial" w:eastAsia="Arial" w:hAnsi="Arial"/>
          <w:b/>
          <w:bCs/>
          <w:i w:val="false"/>
          <w:iCs w:val="false"/>
          <w:color w:val="333333"/>
          <w:sz w:val="18"/>
          <w:szCs w:val="18"/>
        </w:rPr>
        <w:t xml:space="preserve">District One est le seul immeuble de grande surface (10 092 m²) avec une façade complète sur la voie express à 80 000 véhicules/jour. Cette visibilité est comparable à celle des enseignes premium de la zone (Darty, Kiabi, Go Sport) mais à des valeurs locatives nettement inférieures.</w:t>
      </w:r>
    </w:p>
    <w:p>
      <w:pPr>
        <w:spacing w:after="40" w:before="40"/>
      </w:pPr>
    </w:p>
    <w:p>
      <w:pPr>
        <w:spacing w:after="100" w:before="180"/>
      </w:pPr>
      <w:r>
        <w:rPr>
          <w:rFonts w:ascii="Arial" w:cs="Arial" w:eastAsia="Arial" w:hAnsi="Arial"/>
          <w:b/>
          <w:bCs/>
          <w:color w:val="3D5A80"/>
          <w:sz w:val="20"/>
          <w:szCs w:val="20"/>
        </w:rPr>
        <w:t xml:space="preserve">Impact sur la commercialité</w:t>
      </w:r>
    </w:p>
    <w:p>
      <w:pPr>
        <w:pStyle w:val="ListParagraph"/>
        <w:numPr>
          <w:ilvl w:val="0"/>
          <w:numId w:val="2"/>
        </w:numPr>
        <w:spacing w:after="40" w:before="40"/>
      </w:pPr>
      <w:r>
        <w:rPr>
          <w:rFonts w:ascii="Arial" w:cs="Arial" w:eastAsia="Arial" w:hAnsi="Arial"/>
          <w:color w:val="333333"/>
          <w:sz w:val="17"/>
          <w:szCs w:val="17"/>
        </w:rPr>
        <w:t xml:space="preserve">Vitrine naturelle : chaque jour, 80 000 automobilistes passent devant le bâtiment → visibilité gratuite équivalente à un panneau publicitaire 4x3 permanent</w:t>
      </w:r>
    </w:p>
    <w:p>
      <w:pPr>
        <w:pStyle w:val="ListParagraph"/>
        <w:numPr>
          <w:ilvl w:val="0"/>
          <w:numId w:val="2"/>
        </w:numPr>
        <w:spacing w:after="40" w:before="40"/>
      </w:pPr>
      <w:r>
        <w:rPr>
          <w:rFonts w:ascii="Arial" w:cs="Arial" w:eastAsia="Arial" w:hAnsi="Arial"/>
          <w:color w:val="333333"/>
          <w:sz w:val="17"/>
          <w:szCs w:val="17"/>
        </w:rPr>
        <w:t xml:space="preserve">Accès direct depuis la voie rapide via le Chemin du Périgord — pas besoin de traverser la zone</w:t>
      </w:r>
    </w:p>
    <w:p>
      <w:pPr>
        <w:pStyle w:val="ListParagraph"/>
        <w:numPr>
          <w:ilvl w:val="0"/>
          <w:numId w:val="2"/>
        </w:numPr>
        <w:spacing w:after="40" w:before="40"/>
      </w:pPr>
      <w:r>
        <w:rPr>
          <w:rFonts w:ascii="Arial" w:cs="Arial" w:eastAsia="Arial" w:hAnsi="Arial"/>
          <w:color w:val="333333"/>
          <w:sz w:val="17"/>
          <w:szCs w:val="17"/>
        </w:rPr>
        <w:t xml:space="preserve">Positionnement « entrée de zone » : les véhicules arrivant de Carpentras / nord voient D1 avant le centre commercial Auchan</w:t>
      </w:r>
    </w:p>
    <w:p>
      <w:pPr>
        <w:pStyle w:val="ListParagraph"/>
        <w:numPr>
          <w:ilvl w:val="0"/>
          <w:numId w:val="2"/>
        </w:numPr>
        <w:spacing w:after="40" w:before="40"/>
      </w:pPr>
      <w:r>
        <w:rPr>
          <w:rFonts w:ascii="Arial" w:cs="Arial" w:eastAsia="Arial" w:hAnsi="Arial"/>
          <w:color w:val="333333"/>
          <w:sz w:val="17"/>
          <w:szCs w:val="17"/>
        </w:rPr>
        <w:t xml:space="preserve">Facteur de commercialisation des lots vacants : les enseignes de retail et loisirs recherchent cette visibilité</w:t>
      </w:r>
    </w:p>
    <w:p>
      <w:pPr>
        <w:pStyle w:val="ListParagraph"/>
        <w:numPr>
          <w:ilvl w:val="0"/>
          <w:numId w:val="2"/>
        </w:numPr>
        <w:spacing w:after="40" w:before="40"/>
      </w:pPr>
      <w:r>
        <w:rPr>
          <w:rFonts w:ascii="Arial" w:cs="Arial" w:eastAsia="Arial" w:hAnsi="Arial"/>
          <w:color w:val="333333"/>
          <w:sz w:val="17"/>
          <w:szCs w:val="17"/>
        </w:rPr>
        <w:t xml:space="preserve">Les locataires existants (Picard, Mobalpa, Kiloutou) bénéficient de ce flux sans surcoût publicitaire</w:t>
      </w:r>
    </w:p>
    <w:p>
      <w:r>
        <w:br w:type="page"/>
      </w:r>
    </w:p>
    <w:p>
      <w:pPr>
        <w:pStyle w:val="Heading1"/>
        <w:spacing w:after="200" w:before="400"/>
      </w:pPr>
      <w:r>
        <w:rPr>
          <w:rFonts w:ascii="Arial" w:cs="Arial" w:eastAsia="Arial" w:hAnsi="Arial"/>
          <w:b/>
          <w:bCs/>
          <w:color w:val="C5A55A"/>
          <w:sz w:val="28"/>
          <w:szCs w:val="28"/>
        </w:rPr>
        <w:t xml:space="preserve">2. </w:t>
      </w:r>
      <w:r>
        <w:rPr>
          <w:rFonts w:ascii="Arial" w:cs="Arial" w:eastAsia="Arial" w:hAnsi="Arial"/>
          <w:b/>
          <w:bCs/>
          <w:color w:val="1B2A4A"/>
          <w:sz w:val="28"/>
          <w:szCs w:val="28"/>
        </w:rPr>
        <w:t xml:space="preserve">ZONE COMMERCIALE AVIGNON NORD — 350 HECTARES</w:t>
      </w:r>
    </w:p>
    <w:p>
      <w:pPr>
        <w:spacing w:after="80" w:before="80"/>
        <w:jc w:val="both"/>
      </w:pPr>
      <w:r>
        <w:rPr>
          <w:rFonts w:ascii="Arial" w:cs="Arial" w:eastAsia="Arial" w:hAnsi="Arial"/>
          <w:b w:val="false"/>
          <w:bCs w:val="false"/>
          <w:i w:val="false"/>
          <w:iCs w:val="false"/>
          <w:color w:val="333333"/>
          <w:sz w:val="18"/>
          <w:szCs w:val="18"/>
        </w:rPr>
        <w:t xml:space="preserve">La zone commerciale Avignon Nord s’étend sur 350 hectares sur les communes du Pontet, Vedène et Sorgues. Avec 280 enseignes et ~500 M€ de chiffre d’affaires annuel, c’est la plus grande zone commerciale de France par superficie et l’un des pôles économiques majeurs du Vaucluse (8 900 salariés privés).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INDICATEUR</w:t>
            </w:r>
          </w:p>
        </w:tc>
        <w:tc>
          <w:tcPr>
            <w:tcW w:type="dxa" w:w="48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DONNÉE</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Superficie totale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350 hectares (3 communes)</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Nombre d’enseignes</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~280 (dont 113 boutiques galerie Aushopping)</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CA annuel zone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~500 M€/an</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Emplois privés</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8 900 salariés (1ère zone d’emploi Vaucluse)</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Fréquentation Aushopping</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7,5 millions de visiteurs/an</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Zone de chalandise</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~800 000 habitants sur 5 départements</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Création</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1974 (ouverture Auchan Le Pontet)</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Concurrent direct</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Plan de Campagne (Cabriès, 13) — 500 enseignes mais +1h30</w:t>
            </w:r>
          </w:p>
        </w:tc>
      </w:tr>
    </w:tbl>
    <w:p>
      <w:pPr>
        <w:spacing w:after="40" w:before="40"/>
      </w:pPr>
    </w:p>
    <w:p>
      <w:pPr>
        <w:spacing w:after="100" w:before="180"/>
      </w:pPr>
      <w:r>
        <w:rPr>
          <w:rFonts w:ascii="Arial" w:cs="Arial" w:eastAsia="Arial" w:hAnsi="Arial"/>
          <w:b/>
          <w:bCs/>
          <w:color w:val="3D5A80"/>
          <w:sz w:val="20"/>
          <w:szCs w:val="20"/>
        </w:rPr>
        <w:t xml:space="preserve">Benchmark enseignes par pôle</w:t>
      </w:r>
    </w:p>
    <w:p>
      <w:pPr>
        <w:spacing w:after="100" w:before="180"/>
      </w:pPr>
      <w:r>
        <w:rPr>
          <w:rFonts w:ascii="Arial" w:cs="Arial" w:eastAsia="Arial" w:hAnsi="Arial"/>
          <w:b/>
          <w:bCs/>
          <w:color w:val="3D5A80"/>
          <w:sz w:val="20"/>
          <w:szCs w:val="20"/>
        </w:rPr>
        <w:t xml:space="preserve">A. Aushopping (galerie marchande — 113 boutiques)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000"/>
        <w:gridCol w:w="1926"/>
      </w:tblGrid>
      <w:tr>
        <w:tc>
          <w:tcPr>
            <w:tcW w:type="dxa" w:w="2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ENSEIGNE</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SECTEUR</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SURFACE</w:t>
            </w:r>
          </w:p>
        </w:tc>
        <w:tc>
          <w:tcPr>
            <w:tcW w:type="dxa" w:w="19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STATUT</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Auchan Hypermarché</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Grande distribution</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17 900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Anchor</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Fnac</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Culture / électronique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~2 000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Anchor</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Zara</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Mode</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~1 200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Anchor</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Adidas Outlet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Sport / mode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~800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Nocibé</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Parfumerie</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~300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Archipel (food court)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Restauration hybride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1 700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Ouvert 2025</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~100 autres boutiques</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Mode, services, restauration</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Variable</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bl>
    <w:p>
      <w:pPr>
        <w:spacing w:after="40" w:before="40"/>
      </w:pPr>
    </w:p>
    <w:p>
      <w:pPr>
        <w:spacing w:after="100" w:before="180"/>
      </w:pPr>
      <w:r>
        <w:rPr>
          <w:rFonts w:ascii="Arial" w:cs="Arial" w:eastAsia="Arial" w:hAnsi="Arial"/>
          <w:b/>
          <w:bCs/>
          <w:color w:val="3D5A80"/>
          <w:sz w:val="20"/>
          <w:szCs w:val="20"/>
        </w:rPr>
        <w:t xml:space="preserve">B. Buld’Air (Vedène)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000"/>
        <w:gridCol w:w="1926"/>
      </w:tblGrid>
      <w:tr>
        <w:tc>
          <w:tcPr>
            <w:tcW w:type="dxa" w:w="2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ENSEIGNE</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SECTEUR</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SURFACE</w:t>
            </w:r>
          </w:p>
        </w:tc>
        <w:tc>
          <w:tcPr>
            <w:tcW w:type="dxa" w:w="19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STATUT</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IKEA</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Ameublement</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~25 000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Anchor</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Leroy Merlin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Bricolage / habitat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~12 000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Anchor</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Boulanger</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Électroménager</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~3 000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Cultura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Culture / loisirs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~2 500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Kiabi</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Mode économique</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Primark</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Mode low-cost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Grande surface</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Ouverture prévue</w:t>
            </w:r>
          </w:p>
        </w:tc>
      </w:tr>
    </w:tbl>
    <w:p>
      <w:pPr>
        <w:spacing w:after="40" w:before="40"/>
      </w:pPr>
    </w:p>
    <w:p>
      <w:pPr>
        <w:spacing w:after="100" w:before="180"/>
      </w:pPr>
      <w:r>
        <w:rPr>
          <w:rFonts w:ascii="Arial" w:cs="Arial" w:eastAsia="Arial" w:hAnsi="Arial"/>
          <w:b/>
          <w:bCs/>
          <w:color w:val="3D5A80"/>
          <w:sz w:val="20"/>
          <w:szCs w:val="20"/>
        </w:rPr>
        <w:t xml:space="preserve">C. La Tour Blanche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000"/>
        <w:gridCol w:w="1926"/>
      </w:tblGrid>
      <w:tr>
        <w:tc>
          <w:tcPr>
            <w:tcW w:type="dxa" w:w="2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ENSEIGNE</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SECTEUR</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SURFACE</w:t>
            </w:r>
          </w:p>
        </w:tc>
        <w:tc>
          <w:tcPr>
            <w:tcW w:type="dxa" w:w="19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STATUT</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Decathlon</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Sport</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~5 000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Brico Dépôt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Bricolage discount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~4 000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Gifi (ex-Tati)</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Discount</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Chaussea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Chaussures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~1 000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Actif</w:t>
            </w:r>
          </w:p>
        </w:tc>
      </w:tr>
    </w:tbl>
    <w:p>
      <w:pPr>
        <w:spacing w:after="40" w:before="40"/>
      </w:pPr>
    </w:p>
    <w:p>
      <w:pPr>
        <w:spacing w:after="100" w:before="180"/>
      </w:pPr>
      <w:r>
        <w:rPr>
          <w:rFonts w:ascii="Arial" w:cs="Arial" w:eastAsia="Arial" w:hAnsi="Arial"/>
          <w:b/>
          <w:bCs/>
          <w:color w:val="3D5A80"/>
          <w:sz w:val="20"/>
          <w:szCs w:val="20"/>
        </w:rPr>
        <w:t xml:space="preserve">D. Fontvert / Saint-Tronquet (zone D1 — façade voie rapide)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000"/>
        <w:gridCol w:w="1926"/>
      </w:tblGrid>
      <w:tr>
        <w:tc>
          <w:tcPr>
            <w:tcW w:type="dxa" w:w="2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ENSEIGNE</w:t>
            </w:r>
          </w:p>
        </w:tc>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SECTEUR</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SURFACE</w:t>
            </w:r>
          </w:p>
        </w:tc>
        <w:tc>
          <w:tcPr>
            <w:tcW w:type="dxa" w:w="19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STATUT</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2E7D32"/>
                <w:sz w:val="17"/>
                <w:szCs w:val="17"/>
              </w:rPr>
              <w:t xml:space="preserve">Picard Surgelés</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Alimentation</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480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7"/>
                <w:szCs w:val="17"/>
              </w:rPr>
              <w:t xml:space="preserve">LOCATAIRE D1</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2E7D32"/>
                <w:sz w:val="17"/>
                <w:szCs w:val="17"/>
              </w:rPr>
              <w:t xml:space="preserve">Kiloutou</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Location BTP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630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7"/>
                <w:szCs w:val="17"/>
              </w:rPr>
              <w:t xml:space="preserve">LOCATAIRE D1</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2E7D32"/>
                <w:sz w:val="17"/>
                <w:szCs w:val="17"/>
              </w:rPr>
              <w:t xml:space="preserve">Mobalpa</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Cuisines</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470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7"/>
                <w:szCs w:val="17"/>
              </w:rPr>
              <w:t xml:space="preserve">LOCATAIRE D1</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2E7D32"/>
                <w:sz w:val="17"/>
                <w:szCs w:val="17"/>
              </w:rPr>
              <w:t xml:space="preserve">You Jump 84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Loisirs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3 250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7"/>
                <w:szCs w:val="17"/>
              </w:rPr>
              <w:t xml:space="preserve">LOCATAIRE D1</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2E7D32"/>
                <w:sz w:val="17"/>
                <w:szCs w:val="17"/>
              </w:rPr>
              <w:t xml:space="preserve">Centerfêtes</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Articles fête</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330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7"/>
                <w:szCs w:val="17"/>
              </w:rPr>
              <w:t xml:space="preserve">LOCATAIRE D1</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2E7D32"/>
                <w:sz w:val="17"/>
                <w:szCs w:val="17"/>
              </w:rPr>
              <w:t xml:space="preserve">Givaudan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Labo / bureaux</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2 050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7"/>
                <w:szCs w:val="17"/>
              </w:rPr>
              <w:t xml:space="preserve">LOCATAIRE D1</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Ciné West</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Cinéma multiplex</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~6 000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Voisin direct</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Darty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Électroménager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~1 500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C0392B"/>
                <w:sz w:val="17"/>
                <w:szCs w:val="17"/>
              </w:rPr>
              <w:t xml:space="preserve">Façade voie rapide</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Go Sport / Intersport</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Sport</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~2 500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C0392B"/>
                <w:sz w:val="17"/>
                <w:szCs w:val="17"/>
              </w:rPr>
              <w:t xml:space="preserve">Façade voie rapide</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Kiabi</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Mode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~2 000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C0392B"/>
                <w:sz w:val="17"/>
                <w:szCs w:val="17"/>
              </w:rPr>
              <w:t xml:space="preserve">Façade voie rapide</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Top Office</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Fournitures</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~800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C0392B"/>
                <w:sz w:val="17"/>
                <w:szCs w:val="17"/>
              </w:rPr>
              <w:t xml:space="preserve">Façade voie rapide</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Smyths Toys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Jouets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Récent</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Nouvelle ouverture</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Prison Island</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Escape / loisirs</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Récent</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Nouvelle ouverture</w:t>
            </w:r>
          </w:p>
        </w:tc>
      </w:tr>
      <w:tr>
        <w:tc>
          <w:tcPr>
            <w:tcW w:type="dxa" w:w="23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Carl’s Jr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Fast-food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~300 m²</w:t>
            </w:r>
          </w:p>
        </w:tc>
        <w:tc>
          <w:tcPr>
            <w:tcW w:type="dxa" w:w="1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C0392B"/>
                <w:sz w:val="17"/>
                <w:szCs w:val="17"/>
              </w:rPr>
              <w:t xml:space="preserve">Façade voie rapide</w:t>
            </w:r>
          </w:p>
        </w:tc>
      </w:tr>
      <w:tr>
        <w:tc>
          <w:tcPr>
            <w:tcW w:type="dxa" w:w="23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Botanic</w:t>
            </w:r>
          </w:p>
        </w:tc>
        <w:tc>
          <w:tcPr>
            <w:tcW w:type="dxa" w:w="2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Jardinerie</w:t>
            </w:r>
          </w:p>
        </w:tc>
        <w:tc>
          <w:tcPr>
            <w:tcW w:type="dxa" w:w="2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7"/>
                <w:szCs w:val="17"/>
              </w:rPr>
              <w:t xml:space="preserve">~2 000 m²</w:t>
            </w:r>
          </w:p>
        </w:tc>
        <w:tc>
          <w:tcPr>
            <w:tcW w:type="dxa" w:w="19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Zone adjacente</w:t>
            </w:r>
          </w:p>
        </w:tc>
      </w:tr>
    </w:tbl>
    <w:p>
      <w:r>
        <w:br w:type="page"/>
      </w:r>
    </w:p>
    <w:p>
      <w:pPr>
        <w:pStyle w:val="Heading1"/>
        <w:spacing w:after="200" w:before="400"/>
      </w:pPr>
      <w:r>
        <w:rPr>
          <w:rFonts w:ascii="Arial" w:cs="Arial" w:eastAsia="Arial" w:hAnsi="Arial"/>
          <w:b/>
          <w:bCs/>
          <w:color w:val="C5A55A"/>
          <w:sz w:val="28"/>
          <w:szCs w:val="28"/>
        </w:rPr>
        <w:t xml:space="preserve">3. </w:t>
      </w:r>
      <w:r>
        <w:rPr>
          <w:rFonts w:ascii="Arial" w:cs="Arial" w:eastAsia="Arial" w:hAnsi="Arial"/>
          <w:b/>
          <w:bCs/>
          <w:color w:val="1B2A4A"/>
          <w:sz w:val="28"/>
          <w:szCs w:val="28"/>
        </w:rPr>
        <w:t xml:space="preserve">VALEURS LOCATIVES — D1 EN DESSOUS DU MARCHÉ</w:t>
      </w:r>
    </w:p>
    <w:p>
      <w:pPr>
        <w:spacing w:after="80" w:before="80"/>
        <w:jc w:val="both"/>
      </w:pPr>
      <w:r>
        <w:rPr>
          <w:rFonts w:ascii="Arial" w:cs="Arial" w:eastAsia="Arial" w:hAnsi="Arial"/>
          <w:b w:val="false"/>
          <w:bCs w:val="false"/>
          <w:i w:val="false"/>
          <w:iCs w:val="false"/>
          <w:color w:val="333333"/>
          <w:sz w:val="18"/>
          <w:szCs w:val="18"/>
        </w:rPr>
        <w:t xml:space="preserve">Les loyers pratiqués par les locataires de District One sont systématiquement inférieurs aux valeurs locatives observées chez les enseignes voisines de la zone. Ce décalage constitue un fort potentiel de revalorisation.</w:t>
      </w:r>
    </w:p>
    <w:p>
      <w:pPr>
        <w:spacing w:after="40" w:before="40"/>
      </w:pPr>
    </w:p>
    <w:p>
      <w:pPr>
        <w:spacing w:after="100" w:before="180"/>
      </w:pPr>
      <w:r>
        <w:rPr>
          <w:rFonts w:ascii="Arial" w:cs="Arial" w:eastAsia="Arial" w:hAnsi="Arial"/>
          <w:b/>
          <w:bCs/>
          <w:color w:val="3D5A80"/>
          <w:sz w:val="20"/>
          <w:szCs w:val="20"/>
        </w:rPr>
        <w:t xml:space="preserve">Comparatif loyers D1 vs valeurs marché des voisins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026"/>
      </w:tblGrid>
      <w:tr>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SEGMENT</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LOYER D1
€/M²/AN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MARCHÉ
ZONE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VOISINS
VOIE RAPIDE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DÉCOTE
D1</w:t>
            </w:r>
          </w:p>
        </w:tc>
        <w:tc>
          <w:tcPr>
            <w:tcW w:type="dxa" w:w="20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POTENTIEL</w:t>
            </w:r>
          </w:p>
        </w:tc>
      </w:tr>
      <w:tr>
        <w:tc>
          <w:tcPr>
            <w:tcW w:type="dxa" w:w="2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Commerces (Picard, Mobalpa, Centerfêtes)</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143–167</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180–250</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C0392B"/>
                <w:sz w:val="15"/>
                <w:szCs w:val="15"/>
              </w:rPr>
              <w:t xml:space="preserve">200–300</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-30 à -45 %</w:t>
            </w:r>
          </w:p>
        </w:tc>
        <w:tc>
          <w:tcPr>
            <w:tcW w:type="dxa" w:w="20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Forte revalorisation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Bureaux / tertiaire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92–115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120–160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C0392B"/>
                <w:sz w:val="15"/>
                <w:szCs w:val="15"/>
              </w:rPr>
              <w:t xml:space="preserve">140–180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-25 à -35 %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Revalorisation</w:t>
            </w:r>
          </w:p>
        </w:tc>
      </w:tr>
      <w:tr>
        <w:tc>
          <w:tcPr>
            <w:tcW w:type="dxa" w:w="2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Loisirs (You Jump)</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67</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80–120</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C0392B"/>
                <w:sz w:val="15"/>
                <w:szCs w:val="15"/>
              </w:rPr>
              <w:t xml:space="preserve">100–150</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-30 à -50 %</w:t>
            </w:r>
          </w:p>
        </w:tc>
        <w:tc>
          <w:tcPr>
            <w:tcW w:type="dxa" w:w="20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Très forte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Activité / entrepôt (Kiloutou, Givaudan)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65–162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100–200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C0392B"/>
                <w:sz w:val="15"/>
                <w:szCs w:val="15"/>
              </w:rPr>
              <w:t xml:space="preserve">120–220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Variable</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Selon activité</w:t>
            </w:r>
          </w:p>
        </w:tc>
      </w:tr>
      <w:tr>
        <w:tc>
          <w:tcPr>
            <w:tcW w:type="dxa" w:w="2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Restauration (vacant)</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Potentiel</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200–350</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C0392B"/>
                <w:sz w:val="15"/>
                <w:szCs w:val="15"/>
              </w:rPr>
              <w:t xml:space="preserve">250–400</w:t>
            </w:r>
          </w:p>
        </w:tc>
        <w:tc>
          <w:tcPr>
            <w:tcW w:type="dxa" w:w="1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bCs/>
                <w:i w:val="false"/>
                <w:iCs w:val="false"/>
                <w:color w:val="2E7D32"/>
                <w:sz w:val="15"/>
                <w:szCs w:val="15"/>
              </w:rPr>
              <w:t xml:space="preserve">N/A</w:t>
            </w:r>
          </w:p>
        </w:tc>
        <w:tc>
          <w:tcPr>
            <w:tcW w:type="dxa" w:w="20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Lot à commercialiser</w:t>
            </w:r>
          </w:p>
        </w:tc>
      </w:tr>
    </w:tbl>
    <w:p>
      <w:pPr>
        <w:spacing w:after="40" w:before="40"/>
      </w:pPr>
    </w:p>
    <w:p>
      <w:pPr>
        <w:spacing w:after="80" w:before="80"/>
        <w:jc w:val="both"/>
      </w:pPr>
      <w:r>
        <w:rPr>
          <w:rFonts w:ascii="Arial" w:cs="Arial" w:eastAsia="Arial" w:hAnsi="Arial"/>
          <w:b/>
          <w:bCs/>
          <w:i w:val="false"/>
          <w:iCs w:val="false"/>
          <w:color w:val="333333"/>
          <w:sz w:val="18"/>
          <w:szCs w:val="18"/>
        </w:rPr>
        <w:t xml:space="preserve">Pourquoi cette décote existe :</w:t>
      </w:r>
    </w:p>
    <w:p>
      <w:pPr>
        <w:pStyle w:val="ListParagraph"/>
        <w:numPr>
          <w:ilvl w:val="0"/>
          <w:numId w:val="2"/>
        </w:numPr>
        <w:spacing w:after="40" w:before="40"/>
      </w:pPr>
      <w:r>
        <w:rPr>
          <w:rFonts w:ascii="Arial" w:cs="Arial" w:eastAsia="Arial" w:hAnsi="Arial"/>
          <w:color w:val="333333"/>
          <w:sz w:val="17"/>
          <w:szCs w:val="17"/>
        </w:rPr>
        <w:t xml:space="preserve">Baux signés il y a plusieurs années, avec des loyers qui n’ont pas suivi la dynamique de la zone</w:t>
      </w:r>
    </w:p>
    <w:p>
      <w:pPr>
        <w:pStyle w:val="ListParagraph"/>
        <w:numPr>
          <w:ilvl w:val="0"/>
          <w:numId w:val="2"/>
        </w:numPr>
        <w:spacing w:after="40" w:before="40"/>
      </w:pPr>
      <w:r>
        <w:rPr>
          <w:rFonts w:ascii="Arial" w:cs="Arial" w:eastAsia="Arial" w:hAnsi="Arial"/>
          <w:color w:val="333333"/>
          <w:sz w:val="17"/>
          <w:szCs w:val="17"/>
        </w:rPr>
        <w:t xml:space="preserve">L’immeuble n’a pas été rénové récemment — les travaux prévus (200 K€) permettront une mise à niveau</w:t>
      </w:r>
    </w:p>
    <w:p>
      <w:pPr>
        <w:pStyle w:val="ListParagraph"/>
        <w:numPr>
          <w:ilvl w:val="0"/>
          <w:numId w:val="2"/>
        </w:numPr>
        <w:spacing w:after="40" w:before="40"/>
      </w:pPr>
      <w:r>
        <w:rPr>
          <w:rFonts w:ascii="Arial" w:cs="Arial" w:eastAsia="Arial" w:hAnsi="Arial"/>
          <w:color w:val="333333"/>
          <w:sz w:val="17"/>
          <w:szCs w:val="17"/>
        </w:rPr>
        <w:t xml:space="preserve">Le vendeur (SCI Jacimmo) n’a pas optimisé les loyers car son objectif était la cession, pas la revalorisation</w:t>
      </w:r>
    </w:p>
    <w:p>
      <w:pPr>
        <w:spacing w:after="40" w:before="40"/>
      </w:pPr>
    </w:p>
    <w:p>
      <w:pPr>
        <w:spacing w:after="80" w:before="80"/>
        <w:jc w:val="both"/>
      </w:pPr>
      <w:r>
        <w:rPr>
          <w:rFonts w:ascii="Arial" w:cs="Arial" w:eastAsia="Arial" w:hAnsi="Arial"/>
          <w:b/>
          <w:bCs/>
          <w:i w:val="false"/>
          <w:iCs w:val="false"/>
          <w:color w:val="333333"/>
          <w:sz w:val="18"/>
          <w:szCs w:val="18"/>
        </w:rPr>
        <w:t xml:space="preserve">Potentiel de revalorisation à terme :</w:t>
      </w:r>
    </w:p>
    <w:p>
      <w:pPr>
        <w:pStyle w:val="ListParagraph"/>
        <w:numPr>
          <w:ilvl w:val="0"/>
          <w:numId w:val="3"/>
        </w:numPr>
        <w:spacing w:after="40" w:before="40"/>
      </w:pPr>
      <w:r>
        <w:rPr>
          <w:rFonts w:ascii="Arial" w:cs="Arial" w:eastAsia="Arial" w:hAnsi="Arial"/>
          <w:color w:val="333333"/>
          <w:sz w:val="17"/>
          <w:szCs w:val="17"/>
        </w:rPr>
        <w:t xml:space="preserve">Renouvellement de bail Picard (153 €/m² → objectif 180–200 €) : +13 000 à +22 500 €/an</w:t>
      </w:r>
    </w:p>
    <w:p>
      <w:pPr>
        <w:pStyle w:val="ListParagraph"/>
        <w:numPr>
          <w:ilvl w:val="0"/>
          <w:numId w:val="3"/>
        </w:numPr>
        <w:spacing w:after="40" w:before="40"/>
      </w:pPr>
      <w:r>
        <w:rPr>
          <w:rFonts w:ascii="Arial" w:cs="Arial" w:eastAsia="Arial" w:hAnsi="Arial"/>
          <w:color w:val="333333"/>
          <w:sz w:val="17"/>
          <w:szCs w:val="17"/>
        </w:rPr>
        <w:t xml:space="preserve">Renouvellement Mobalpa (167 € → objectif 200 €) : +15 500 €/an</w:t>
      </w:r>
    </w:p>
    <w:p>
      <w:pPr>
        <w:pStyle w:val="ListParagraph"/>
        <w:numPr>
          <w:ilvl w:val="0"/>
          <w:numId w:val="3"/>
        </w:numPr>
        <w:spacing w:after="40" w:before="40"/>
      </w:pPr>
      <w:r>
        <w:rPr>
          <w:rFonts w:ascii="Arial" w:cs="Arial" w:eastAsia="Arial" w:hAnsi="Arial"/>
          <w:color w:val="333333"/>
          <w:sz w:val="17"/>
          <w:szCs w:val="17"/>
        </w:rPr>
        <w:t xml:space="preserve">Renouvellement Centerfêtes (143 € → objectif 180 €) : +12 200 €/an</w:t>
      </w:r>
    </w:p>
    <w:p>
      <w:pPr>
        <w:pStyle w:val="ListParagraph"/>
        <w:numPr>
          <w:ilvl w:val="0"/>
          <w:numId w:val="3"/>
        </w:numPr>
        <w:spacing w:after="40" w:before="40"/>
      </w:pPr>
      <w:r>
        <w:rPr>
          <w:rFonts w:ascii="Arial" w:cs="Arial" w:eastAsia="Arial" w:hAnsi="Arial"/>
          <w:color w:val="333333"/>
          <w:sz w:val="17"/>
          <w:szCs w:val="17"/>
        </w:rPr>
        <w:t xml:space="preserve">Commercialisation vacants à valeurs marché (115–167 €) : +131 000 €/an</w:t>
      </w:r>
    </w:p>
    <w:p>
      <w:pPr>
        <w:pStyle w:val="ListParagraph"/>
        <w:numPr>
          <w:ilvl w:val="0"/>
          <w:numId w:val="3"/>
        </w:numPr>
        <w:spacing w:after="40" w:before="40"/>
      </w:pPr>
      <w:r>
        <w:rPr>
          <w:rFonts w:ascii="Arial" w:cs="Arial" w:eastAsia="Arial" w:hAnsi="Arial"/>
          <w:color w:val="333333"/>
          <w:sz w:val="17"/>
          <w:szCs w:val="17"/>
        </w:rPr>
        <w:t xml:space="preserve">Total potentiel revalorisation : +170 000 à +180 000 €/an sur le portefeuille conservé (à horizon 5–10 ans)</w:t>
      </w:r>
    </w:p>
    <w:p>
      <w:pPr>
        <w:spacing w:after="40" w:before="40"/>
      </w:pPr>
    </w:p>
    <w:p>
      <w:pPr>
        <w:spacing w:after="80" w:before="80"/>
        <w:jc w:val="both"/>
      </w:pPr>
      <w:r>
        <w:rPr>
          <w:rFonts w:ascii="Arial" w:cs="Arial" w:eastAsia="Arial" w:hAnsi="Arial"/>
          <w:b/>
          <w:bCs/>
          <w:i w:val="false"/>
          <w:iCs w:val="false"/>
          <w:color w:val="2E7D32"/>
          <w:sz w:val="18"/>
          <w:szCs w:val="18"/>
        </w:rPr>
        <w:t xml:space="preserve">Ce potentiel de revalorisation est l’argument n°1 de la thèse d’investissement : acheter un actif dont les loyers sont 30 à 45 % en dessous du marché, en façade de la voie rapide la plus fréquentée de la zone.</w:t>
      </w:r>
    </w:p>
    <w:p>
      <w:r>
        <w:br w:type="page"/>
      </w:r>
    </w:p>
    <w:p>
      <w:pPr>
        <w:pStyle w:val="Heading1"/>
        <w:spacing w:after="200" w:before="400"/>
      </w:pPr>
      <w:r>
        <w:rPr>
          <w:rFonts w:ascii="Arial" w:cs="Arial" w:eastAsia="Arial" w:hAnsi="Arial"/>
          <w:b/>
          <w:bCs/>
          <w:color w:val="C5A55A"/>
          <w:sz w:val="28"/>
          <w:szCs w:val="28"/>
        </w:rPr>
        <w:t xml:space="preserve">4. </w:t>
      </w:r>
      <w:r>
        <w:rPr>
          <w:rFonts w:ascii="Arial" w:cs="Arial" w:eastAsia="Arial" w:hAnsi="Arial"/>
          <w:b/>
          <w:bCs/>
          <w:color w:val="1B2A4A"/>
          <w:sz w:val="28"/>
          <w:szCs w:val="28"/>
        </w:rPr>
        <w:t xml:space="preserve">PROJET NHOOD — 25 À 35 M€ DE RÉGÉNÉRATION</w:t>
      </w:r>
    </w:p>
    <w:p>
      <w:pPr>
        <w:spacing w:after="80" w:before="80"/>
        <w:jc w:val="both"/>
      </w:pPr>
      <w:r>
        <w:rPr>
          <w:rFonts w:ascii="Arial" w:cs="Arial" w:eastAsia="Arial" w:hAnsi="Arial"/>
          <w:b w:val="false"/>
          <w:bCs w:val="false"/>
          <w:i w:val="false"/>
          <w:iCs w:val="false"/>
          <w:color w:val="333333"/>
          <w:sz w:val="18"/>
          <w:szCs w:val="18"/>
        </w:rPr>
        <w:t xml:space="preserve">Le groupe Nhood (filiale immobilière Mulliez / Auchan / Ceetrus) investit massivement sur la zone Avignon Nord. Ce programme de régénération, lancé en 2023, est en cours de réalisation avec une livraison finale prévue en avril 2027.</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626"/>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COMPOSANTE</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MONTANT</w:t>
            </w:r>
          </w:p>
        </w:tc>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CALENDRIER</w:t>
            </w:r>
          </w:p>
        </w:tc>
        <w:tc>
          <w:tcPr>
            <w:tcW w:type="dxa" w:w="26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IMPACT D1</w:t>
            </w:r>
          </w:p>
        </w:tc>
      </w:tr>
      <w:tr>
        <w:tc>
          <w:tcPr>
            <w:tcW w:type="dxa" w:w="3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Food court Archipel (1 700 m², 3 niveaux, rooftop)</w:t>
            </w:r>
          </w:p>
        </w:tc>
        <w:tc>
          <w:tcPr>
            <w:tcW w:type="dxa" w:w="16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4 M€</w:t>
            </w:r>
          </w:p>
        </w:tc>
        <w:tc>
          <w:tcPr>
            <w:tcW w:type="dxa" w:w="1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Ouvert mai 2025</w:t>
            </w:r>
          </w:p>
        </w:tc>
        <w:tc>
          <w:tcPr>
            <w:tcW w:type="dxa" w:w="26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+flux restauration &amp; loisirs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Réduction surface Auchan (–4 500 m², 2 phases)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Intégré</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2024–2025</w:t>
            </w:r>
          </w:p>
        </w:tc>
        <w:tc>
          <w:tcPr>
            <w:tcW w:type="dxa" w:w="2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Recomposition offre commerciale</w:t>
            </w:r>
          </w:p>
        </w:tc>
      </w:tr>
      <w:tr>
        <w:tc>
          <w:tcPr>
            <w:tcW w:type="dxa" w:w="3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Rénovation intérieure galerie (sol, plafonds)</w:t>
            </w:r>
          </w:p>
        </w:tc>
        <w:tc>
          <w:tcPr>
            <w:tcW w:type="dxa" w:w="16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~8 M€</w:t>
            </w:r>
          </w:p>
        </w:tc>
        <w:tc>
          <w:tcPr>
            <w:tcW w:type="dxa" w:w="1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En cours → 2027</w:t>
            </w:r>
          </w:p>
        </w:tc>
        <w:tc>
          <w:tcPr>
            <w:tcW w:type="dxa" w:w="26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Image qualité zone +</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Façade sud (pierre blanche Gard, moucharabié)</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~4 M€</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4 phases → sept. 2027</w:t>
            </w:r>
          </w:p>
        </w:tc>
        <w:tc>
          <w:tcPr>
            <w:tcW w:type="dxa" w:w="2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Esthétique zone renforcée</w:t>
            </w:r>
          </w:p>
        </w:tc>
      </w:tr>
      <w:tr>
        <w:tc>
          <w:tcPr>
            <w:tcW w:type="dxa" w:w="3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Jardin méditerranéen 7 000 m² + ombrières</w:t>
            </w:r>
          </w:p>
        </w:tc>
        <w:tc>
          <w:tcPr>
            <w:tcW w:type="dxa" w:w="16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~3 M€</w:t>
            </w:r>
          </w:p>
        </w:tc>
        <w:tc>
          <w:tcPr>
            <w:tcW w:type="dxa" w:w="1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2026–2027</w:t>
            </w:r>
          </w:p>
        </w:tc>
        <w:tc>
          <w:tcPr>
            <w:tcW w:type="dxa" w:w="26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Qualité environnementale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Refonte parking sud + ombrières photovoltaïques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~3 M€</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En cours</w:t>
            </w:r>
          </w:p>
        </w:tc>
        <w:tc>
          <w:tcPr>
            <w:tcW w:type="dxa" w:w="2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Accessibilité + énergie</w:t>
            </w:r>
          </w:p>
        </w:tc>
      </w:tr>
      <w:tr>
        <w:tc>
          <w:tcPr>
            <w:tcW w:type="dxa" w:w="3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Modernisation fluides (incendie, clim, GTB)</w:t>
            </w:r>
          </w:p>
        </w:tc>
        <w:tc>
          <w:tcPr>
            <w:tcW w:type="dxa" w:w="16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5 M€</w:t>
            </w:r>
          </w:p>
        </w:tc>
        <w:tc>
          <w:tcPr>
            <w:tcW w:type="dxa" w:w="1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Réalisé 2021–2024</w:t>
            </w:r>
          </w:p>
        </w:tc>
        <w:tc>
          <w:tcPr>
            <w:tcW w:type="dxa" w:w="26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Technique OK</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3 immeubles tertiaires (350 emplois projetés)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Invest. Nhood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En réflexion</w:t>
            </w:r>
          </w:p>
        </w:tc>
        <w:tc>
          <w:tcPr>
            <w:tcW w:type="dxa" w:w="2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Demande bureaux +</w:t>
            </w:r>
          </w:p>
        </w:tc>
      </w:tr>
      <w:tr>
        <w:tc>
          <w:tcPr>
            <w:tcW w:type="dxa" w:w="30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Restauration Château de l’Olivier</w:t>
            </w:r>
          </w:p>
        </w:tc>
        <w:tc>
          <w:tcPr>
            <w:tcW w:type="dxa" w:w="16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Invest. Nhood</w:t>
            </w:r>
          </w:p>
        </w:tc>
        <w:tc>
          <w:tcPr>
            <w:tcW w:type="dxa" w:w="18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En cours</w:t>
            </w:r>
          </w:p>
        </w:tc>
        <w:tc>
          <w:tcPr>
            <w:tcW w:type="dxa" w:w="26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Patrimoine local</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5"/>
                <w:szCs w:val="15"/>
              </w:rPr>
              <w:t xml:space="preserve">Route Graham Bell (Grand Avignon)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333333"/>
                <w:sz w:val="15"/>
                <w:szCs w:val="15"/>
              </w:rPr>
              <w:t xml:space="preserve">430 K€</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5"/>
                <w:szCs w:val="15"/>
              </w:rPr>
              <w:t xml:space="preserve">Réalisé</w:t>
            </w:r>
          </w:p>
        </w:tc>
        <w:tc>
          <w:tcPr>
            <w:tcW w:type="dxa" w:w="2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2E7D32"/>
                <w:sz w:val="15"/>
                <w:szCs w:val="15"/>
              </w:rPr>
              <w:t xml:space="preserve">Voirie améliorée</w:t>
            </w:r>
          </w:p>
        </w:tc>
      </w:tr>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7"/>
                <w:szCs w:val="17"/>
              </w:rPr>
              <w:t xml:space="preserve">TOTAL INVEST. NHOOD</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right"/>
            </w:pPr>
            <w:r>
              <w:rPr>
                <w:rFonts w:ascii="Arial" w:cs="Arial" w:eastAsia="Arial" w:hAnsi="Arial"/>
                <w:b/>
                <w:bCs/>
                <w:i w:val="false"/>
                <w:iCs w:val="false"/>
                <w:color w:val="FFFFFF"/>
                <w:sz w:val="17"/>
                <w:szCs w:val="17"/>
              </w:rPr>
              <w:t xml:space="preserve">25–35 M€</w:t>
            </w:r>
          </w:p>
        </w:tc>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i w:val="false"/>
                <w:iCs w:val="false"/>
                <w:color w:val="FFFFFF"/>
                <w:sz w:val="17"/>
                <w:szCs w:val="17"/>
              </w:rPr>
              <w:t xml:space="preserve">2023–2027</w:t>
            </w:r>
          </w:p>
        </w:tc>
        <w:tc>
          <w:tcPr>
            <w:tcW w:type="dxa" w:w="26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i w:val="false"/>
                <w:iCs w:val="false"/>
                <w:color w:val="C5A55A"/>
                <w:sz w:val="17"/>
                <w:szCs w:val="17"/>
              </w:rPr>
              <w:t xml:space="preserve">TRÈS POSITIF POUR D1</w:t>
            </w:r>
          </w:p>
        </w:tc>
      </w:tr>
    </w:tbl>
    <w:p>
      <w:pPr>
        <w:spacing w:after="40" w:before="40"/>
      </w:pPr>
    </w:p>
    <w:p>
      <w:pPr>
        <w:spacing w:after="80" w:before="80"/>
        <w:jc w:val="both"/>
      </w:pPr>
      <w:r>
        <w:rPr>
          <w:rFonts w:ascii="Arial" w:cs="Arial" w:eastAsia="Arial" w:hAnsi="Arial"/>
          <w:b w:val="false"/>
          <w:bCs w:val="false"/>
          <w:i/>
          <w:iCs/>
          <w:color w:val="333333"/>
          <w:sz w:val="18"/>
          <w:szCs w:val="18"/>
        </w:rPr>
        <w:t xml:space="preserve">Source : TPBM juin 2023, Écho du Mardi nov. 2023, MesInfos mars 2025, Nhood / Vaucluse Entreprises. Label BREEAM Very Good visé. Travaux de nuit pour zéro fermeture de boutiques.</w:t>
      </w:r>
    </w:p>
    <w:p>
      <w:r>
        <w:br w:type="page"/>
      </w:r>
    </w:p>
    <w:p>
      <w:pPr>
        <w:pStyle w:val="Heading1"/>
        <w:spacing w:after="200" w:before="400"/>
      </w:pPr>
      <w:r>
        <w:rPr>
          <w:rFonts w:ascii="Arial" w:cs="Arial" w:eastAsia="Arial" w:hAnsi="Arial"/>
          <w:b/>
          <w:bCs/>
          <w:color w:val="C5A55A"/>
          <w:sz w:val="28"/>
          <w:szCs w:val="28"/>
        </w:rPr>
        <w:t xml:space="preserve">5. </w:t>
      </w:r>
      <w:r>
        <w:rPr>
          <w:rFonts w:ascii="Arial" w:cs="Arial" w:eastAsia="Arial" w:hAnsi="Arial"/>
          <w:b/>
          <w:bCs/>
          <w:color w:val="1B2A4A"/>
          <w:sz w:val="28"/>
          <w:szCs w:val="28"/>
        </w:rPr>
        <w:t xml:space="preserve">DÉMOGRAPHIE &amp; EMPLOI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INDICATEUR</w:t>
            </w:r>
          </w:p>
        </w:tc>
        <w:tc>
          <w:tcPr>
            <w:tcW w:type="dxa" w:w="48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DONNÉE</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Population Grand Avignon</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~195 000 habitants (CA, 16 communes)</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Population Le Pontet</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~17 500 habitants</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Zone de chalandise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~800 000 habitants (5 départements)</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Emplois zone Avignon Nord</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8 900 salariés privés (1ère zone d’emploi 84)</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Taux de chômage (Vaucluse)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~10,5 %</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Revenus médians Le Pontet</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~20 800 €/an</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Dynamique démographique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Stable +0,3 %/an</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Gare TGV Avignon</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10 minutes</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Aéroport Marseille-Provence</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45 minutes</w:t>
            </w:r>
          </w:p>
        </w:tc>
      </w:tr>
      <w:tr>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Cinéma Capitole Studios</w:t>
            </w:r>
          </w:p>
        </w:tc>
        <w:tc>
          <w:tcPr>
            <w:tcW w:type="dxa" w:w="4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3ème cinéma indépendant de France (800 000 entrées/an)</w:t>
            </w:r>
          </w:p>
        </w:tc>
      </w:tr>
      <w:tr>
        <w:tc>
          <w:tcPr>
            <w:tcW w:type="dxa" w:w="4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Taux de vacance observé</w:t>
            </w:r>
          </w:p>
        </w:tc>
        <w:tc>
          <w:tcPr>
            <w:tcW w:type="dxa" w:w="4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~8–12 % (en baisse avec nouvelles ouvertures)</w:t>
            </w:r>
          </w:p>
        </w:tc>
      </w:tr>
    </w:tbl>
    <w:p>
      <w:r>
        <w:br w:type="page"/>
      </w:r>
    </w:p>
    <w:p>
      <w:pPr>
        <w:pStyle w:val="Heading1"/>
        <w:spacing w:after="200" w:before="400"/>
      </w:pPr>
      <w:r>
        <w:rPr>
          <w:rFonts w:ascii="Arial" w:cs="Arial" w:eastAsia="Arial" w:hAnsi="Arial"/>
          <w:b/>
          <w:bCs/>
          <w:color w:val="C5A55A"/>
          <w:sz w:val="28"/>
          <w:szCs w:val="28"/>
        </w:rPr>
        <w:t xml:space="preserve">6. </w:t>
      </w:r>
      <w:r>
        <w:rPr>
          <w:rFonts w:ascii="Arial" w:cs="Arial" w:eastAsia="Arial" w:hAnsi="Arial"/>
          <w:b/>
          <w:bCs/>
          <w:color w:val="1B2A4A"/>
          <w:sz w:val="28"/>
          <w:szCs w:val="28"/>
        </w:rPr>
        <w:t xml:space="preserve">SYNTHÈSE — ARGUMENTS BANQUE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FACTEUR</w:t>
            </w:r>
          </w:p>
        </w:tc>
        <w:tc>
          <w:tcPr>
            <w:tcW w:type="dxa" w:w="58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ANALYSE</w:t>
            </w:r>
          </w:p>
        </w:tc>
      </w:tr>
      <w:tr>
        <w:tc>
          <w:tcPr>
            <w:tcW w:type="dxa" w:w="3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Visibilité voie rapide</w:t>
            </w:r>
          </w:p>
        </w:tc>
        <w:tc>
          <w:tcPr>
            <w:tcW w:type="dxa" w:w="5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FAÇADE DIRECTE sur la voie express à 80 000 véh./jour — 1er facteur de commercialité de toute la zone</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Décote locative -30 à -45 %</w:t>
            </w:r>
          </w:p>
        </w:tc>
        <w:tc>
          <w:tcPr>
            <w:tcW w:type="dxa" w:w="5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Loyers D1 systématiquement sous le marché des voisins → fort potentiel de revalorisation (+170 K€/an)</w:t>
            </w:r>
          </w:p>
        </w:tc>
      </w:tr>
      <w:tr>
        <w:tc>
          <w:tcPr>
            <w:tcW w:type="dxa" w:w="3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Investissement Nhood 25–35 M€</w:t>
            </w:r>
          </w:p>
        </w:tc>
        <w:tc>
          <w:tcPr>
            <w:tcW w:type="dxa" w:w="5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Signal fort Mulliez. Zéro risque de désertification. Régénération active 2023–2027.</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Taille de la zone</w:t>
            </w:r>
          </w:p>
        </w:tc>
        <w:tc>
          <w:tcPr>
            <w:tcW w:type="dxa" w:w="5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Plus grande zone commerciale de France (350 ha). Effet d’agglomération massif.</w:t>
            </w:r>
          </w:p>
        </w:tc>
      </w:tr>
      <w:tr>
        <w:tc>
          <w:tcPr>
            <w:tcW w:type="dxa" w:w="3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Fréquentation</w:t>
            </w:r>
          </w:p>
        </w:tc>
        <w:tc>
          <w:tcPr>
            <w:tcW w:type="dxa" w:w="5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7,5 M visiteurs/an Aushopping + 80 000 véh./jour voie rapide</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Diversité</w:t>
            </w:r>
          </w:p>
        </w:tc>
        <w:tc>
          <w:tcPr>
            <w:tcW w:type="dxa" w:w="5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280 enseignes tous secteurs. Aucune dépendance sectorielle.</w:t>
            </w:r>
          </w:p>
        </w:tc>
      </w:tr>
      <w:tr>
        <w:tc>
          <w:tcPr>
            <w:tcW w:type="dxa" w:w="3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Emploi</w:t>
            </w:r>
          </w:p>
        </w:tc>
        <w:tc>
          <w:tcPr>
            <w:tcW w:type="dxa" w:w="5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8 900 salariés + 350 emplois projetés Nhood. Bassin résilient.</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Vacance zone</w:t>
            </w:r>
          </w:p>
        </w:tc>
        <w:tc>
          <w:tcPr>
            <w:tcW w:type="dxa" w:w="58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8–12 % en baisse — nouvelles ouvertures (Primark, Smyths Toys, Prison Island)</w:t>
            </w:r>
          </w:p>
        </w:tc>
      </w:tr>
      <w:tr>
        <w:tc>
          <w:tcPr>
            <w:tcW w:type="dxa" w:w="3200"/>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Fondateur</w:t>
            </w:r>
          </w:p>
        </w:tc>
        <w:tc>
          <w:tcPr>
            <w:tcW w:type="dxa" w:w="5826"/>
            <w:tcBorders>
              <w:top w:val="single" w:color="CCCCCC" w:sz="1"/>
              <w:left w:val="single" w:color="CCCCCC" w:sz="1"/>
              <w:bottom w:val="single" w:color="CCCCCC" w:sz="1"/>
              <w:right w:val="single" w:color="CCCCCC" w:sz="1"/>
            </w:tcBorders>
            <w:shd w:fill="F5F5F0"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Apport personnel 150 000 €. Investisseurs complémentaires en cours de recherche (OC + CCA).</w:t>
            </w:r>
          </w:p>
        </w:tc>
      </w:tr>
    </w:tbl>
    <w:p>
      <w:pPr>
        <w:spacing w:after="40" w:before="40"/>
      </w:pPr>
    </w:p>
    <w:p>
      <w:pPr>
        <w:spacing w:after="40" w:before="40"/>
      </w:pPr>
    </w:p>
    <w:p>
      <w:pPr>
        <w:spacing w:after="80" w:before="80"/>
        <w:jc w:val="both"/>
      </w:pPr>
      <w:r>
        <w:rPr>
          <w:rFonts w:ascii="Arial" w:cs="Arial" w:eastAsia="Arial" w:hAnsi="Arial"/>
          <w:b/>
          <w:bCs/>
          <w:i w:val="false"/>
          <w:iCs w:val="false"/>
          <w:color w:val="2E7D32"/>
          <w:sz w:val="18"/>
          <w:szCs w:val="18"/>
        </w:rPr>
        <w:t xml:space="preserve">District One est un actif à décote locative, en façade de la voie rapide la plus fréquentée de la 1ère zone commerciale de France, bénéficiant d’un programme de régénération de 25–35 M€ mené par le groupe Mulliez. Les loyers actuels sont 30 à 45 % en dessous des valeurs de marché : le potentiel de revalorisation est considérable.</w:t>
      </w:r>
    </w:p>
    <w:p>
      <w:pPr>
        <w:spacing w:after="40" w:before="40"/>
      </w:pPr>
    </w:p>
    <w:p>
      <w:pPr>
        <w:spacing w:after="40" w:before="40"/>
      </w:pPr>
    </w:p>
    <w:p>
      <w:pPr>
        <w:pBdr>
          <w:top w:val="single" w:color="C5A55A" w:sz="4" w:space="1"/>
        </w:pBdr>
        <w:spacing w:after="80" w:before="300"/>
        <w:jc w:val="center"/>
      </w:pPr>
    </w:p>
    <w:p>
      <w:pPr>
        <w:jc w:val="center"/>
      </w:pPr>
      <w:r>
        <w:rPr>
          <w:rFonts w:ascii="Arial" w:cs="Arial" w:eastAsia="Arial" w:hAnsi="Arial"/>
          <w:i/>
          <w:iCs/>
          <w:color w:val="666666"/>
          <w:sz w:val="14"/>
          <w:szCs w:val="14"/>
        </w:rPr>
        <w:t xml:space="preserve">Document confidentiel — SCI District One — Avril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2"/>
        <w:szCs w:val="12"/>
      </w:rPr>
      <w:t xml:space="preserve">CONFIDENTIEL — SCI District One — Avril 2026 — Page </w:t>
    </w:r>
    <w:r>
      <w:rPr>
        <w:rFonts w:ascii="Arial" w:cs="Arial" w:eastAsia="Arial" w:hAnsi="Arial"/>
        <w:color w:val="666666"/>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1"/>
      </w:pBdr>
      <w:tabs>
        <w:tab w:val="right" w:pos="9026"/>
      </w:tabs>
    </w:pPr>
    <w:r>
      <w:rPr>
        <w:rFonts w:ascii="Arial" w:cs="Arial" w:eastAsia="Arial" w:hAnsi="Arial"/>
        <w:b/>
        <w:bCs/>
        <w:color w:val="1B2A4A"/>
        <w:sz w:val="12"/>
        <w:szCs w:val="12"/>
      </w:rPr>
      <w:t xml:space="preserve">DISTRICT ONE · D1</w:t>
    </w:r>
    <w:r>
      <w:rPr>
        <w:rFonts w:ascii="Arial" w:cs="Arial" w:eastAsia="Arial" w:hAnsi="Arial"/>
        <w:color w:val="666666"/>
        <w:sz w:val="12"/>
        <w:szCs w:val="12"/>
      </w:rPr>
      <w:t xml:space="preserve">	Étude de marché — Zone Avignon Nord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2026-04-13T14:02:42.891Z</dcterms:created>
  <dcterms:modified xsi:type="dcterms:W3CDTF">2026-04-13T14:02:42.892Z</dcterms:modified>
</cp:coreProperties>
</file>

<file path=docProps/custom.xml><?xml version="1.0" encoding="utf-8"?>
<Properties xmlns="http://schemas.openxmlformats.org/officeDocument/2006/custom-properties" xmlns:vt="http://schemas.openxmlformats.org/officeDocument/2006/docPropsVTypes"/>
</file>