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100"/>
        <w:jc w:val="center"/>
      </w:pPr>
      <w:r>
        <w:rPr>
          <w:rFonts w:ascii="Arial" w:cs="Arial" w:eastAsia="Arial" w:hAnsi="Arial"/>
          <w:b/>
          <w:bCs/>
          <w:color w:val="1B2A4A"/>
          <w:sz w:val="44"/>
          <w:szCs w:val="44"/>
        </w:rPr>
        <w:t xml:space="preserve">DISTRICT ONE  ·  D1</w:t>
      </w:r>
    </w:p>
    <w:p>
      <w:pPr>
        <w:spacing w:after="60"/>
        <w:jc w:val="center"/>
      </w:pPr>
      <w:r>
        <w:rPr>
          <w:rFonts w:ascii="Arial" w:cs="Arial" w:eastAsia="Arial" w:hAnsi="Arial"/>
          <w:color w:val="666666"/>
          <w:sz w:val="22"/>
          <w:szCs w:val="22"/>
        </w:rPr>
        <w:t xml:space="preserve">Acquisition SCI Jacimmo — Vaucluse (84)</w:t>
      </w:r>
    </w:p>
    <w:p>
      <w:pPr>
        <w:pBdr>
          <w:bottom w:val="single" w:color="C5A55A" w:sz="6" w:space="1"/>
        </w:pBdr>
        <w:spacing w:after="300"/>
        <w:jc w:val="center"/>
      </w:pPr>
    </w:p>
    <w:p>
      <w:pPr>
        <w:spacing w:after="40" w:before="40"/>
      </w:pPr>
    </w:p>
    <w:p>
      <w:pPr>
        <w:spacing w:after="80"/>
        <w:jc w:val="center"/>
      </w:pPr>
      <w:r>
        <w:rPr>
          <w:rFonts w:ascii="Arial" w:cs="Arial" w:eastAsia="Arial" w:hAnsi="Arial"/>
          <w:b/>
          <w:bCs/>
          <w:color w:val="1B2A4A"/>
          <w:sz w:val="30"/>
          <w:szCs w:val="30"/>
        </w:rPr>
        <w:t xml:space="preserve">POINT 4 — STRUCTURE JURIDIQUE</w:t>
      </w:r>
    </w:p>
    <w:p>
      <w:pPr>
        <w:spacing w:after="60"/>
        <w:jc w:val="center"/>
      </w:pPr>
      <w:r>
        <w:rPr>
          <w:rFonts w:ascii="Arial" w:cs="Arial" w:eastAsia="Arial" w:hAnsi="Arial"/>
          <w:color w:val="C5A55A"/>
          <w:sz w:val="20"/>
          <w:szCs w:val="20"/>
        </w:rPr>
        <w:t xml:space="preserve">Schéma de structure · Statuts · Pacte d’associés · OC · CCA · Subordination</w:t>
      </w:r>
    </w:p>
    <w:p>
      <w:pPr>
        <w:spacing w:after="20"/>
        <w:jc w:val="center"/>
      </w:pPr>
      <w:r>
        <w:rPr>
          <w:rFonts w:ascii="Arial" w:cs="Arial" w:eastAsia="Arial" w:hAnsi="Arial"/>
          <w:b/>
          <w:bCs/>
          <w:color w:val="2E7D32"/>
          <w:sz w:val="18"/>
          <w:szCs w:val="18"/>
        </w:rPr>
        <w:t xml:space="preserve">VERSION V2 — AVRIL 2026</w:t>
      </w:r>
    </w:p>
    <w:p>
      <w:pPr>
        <w:spacing w:after="40" w:before="40"/>
      </w:pPr>
    </w:p>
    <w:p>
      <w:pPr>
        <w:spacing w:after="40" w:before="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1B2A4A"/>
                <w:sz w:val="18"/>
                <w:szCs w:val="18"/>
              </w:rPr>
              <w:t xml:space="preserve">Opérateur</w:t>
            </w:r>
          </w:p>
        </w:tc>
        <w:tc>
          <w:tcPr>
            <w:tcW w:type="dxa" w:w="3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333333"/>
                <w:sz w:val="18"/>
                <w:szCs w:val="18"/>
              </w:rPr>
              <w:t xml:space="preserve">SCI District One (en formation, à l’IS)</w:t>
            </w:r>
          </w:p>
        </w:tc>
      </w:tr>
      <w:tr>
        <w:tc>
          <w:tcPr>
            <w:tcW w:type="dxa" w:w="2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1B2A4A"/>
                <w:sz w:val="18"/>
                <w:szCs w:val="18"/>
              </w:rPr>
              <w:t xml:space="preserve">Vendeur</w:t>
            </w:r>
          </w:p>
        </w:tc>
        <w:tc>
          <w:tcPr>
            <w:tcW w:type="dxa" w:w="3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333333"/>
                <w:sz w:val="18"/>
                <w:szCs w:val="18"/>
              </w:rPr>
              <w:t xml:space="preserve">SCI Jacimmo (SIRET 353 021 801 00017)</w:t>
            </w:r>
          </w:p>
        </w:tc>
      </w:tr>
      <w:tr>
        <w:tc>
          <w:tcPr>
            <w:tcW w:type="dxa" w:w="2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1B2A4A"/>
                <w:sz w:val="18"/>
                <w:szCs w:val="18"/>
              </w:rPr>
              <w:t xml:space="preserve">Prêt demandé</w:t>
            </w:r>
          </w:p>
        </w:tc>
        <w:tc>
          <w:tcPr>
            <w:tcW w:type="dxa" w:w="3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333333"/>
                <w:sz w:val="18"/>
                <w:szCs w:val="18"/>
              </w:rPr>
              <w:t xml:space="preserve">7 000 000 € (LTV 70 %)</w:t>
            </w:r>
          </w:p>
        </w:tc>
      </w:tr>
      <w:tr>
        <w:tc>
          <w:tcPr>
            <w:tcW w:type="dxa" w:w="2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1B2A4A"/>
                <w:sz w:val="18"/>
                <w:szCs w:val="18"/>
              </w:rPr>
              <w:t xml:space="preserve">FP &amp; quasi-FP</w:t>
            </w:r>
          </w:p>
        </w:tc>
        <w:tc>
          <w:tcPr>
            <w:tcW w:type="dxa" w:w="3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333333"/>
                <w:sz w:val="18"/>
                <w:szCs w:val="18"/>
              </w:rPr>
              <w:t xml:space="preserve">4 374 000 € (38,5 % du total)</w:t>
            </w:r>
          </w:p>
        </w:tc>
      </w:tr>
      <w:tr>
        <w:tc>
          <w:tcPr>
            <w:tcW w:type="dxa" w:w="2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1B2A4A"/>
                <w:sz w:val="18"/>
                <w:szCs w:val="18"/>
              </w:rPr>
              <w:t xml:space="preserve">Date</w:t>
            </w:r>
          </w:p>
        </w:tc>
        <w:tc>
          <w:tcPr>
            <w:tcW w:type="dxa" w:w="3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333333"/>
                <w:sz w:val="18"/>
                <w:szCs w:val="18"/>
              </w:rPr>
              <w:t xml:space="preserve">Avril 2026</w:t>
            </w:r>
          </w:p>
        </w:tc>
      </w:tr>
      <w:tr>
        <w:tc>
          <w:tcPr>
            <w:tcW w:type="dxa" w:w="2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1B2A4A"/>
                <w:sz w:val="18"/>
                <w:szCs w:val="18"/>
              </w:rPr>
              <w:t xml:space="preserve">Statut</w:t>
            </w:r>
          </w:p>
        </w:tc>
        <w:tc>
          <w:tcPr>
            <w:tcW w:type="dxa" w:w="32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333333"/>
                <w:sz w:val="18"/>
                <w:szCs w:val="18"/>
              </w:rPr>
              <w:t xml:space="preserve">CONFIDENTIEL</w:t>
            </w:r>
          </w:p>
        </w:tc>
      </w:tr>
    </w:tbl>
    <w:p>
      <w:pPr>
        <w:spacing w:after="40" w:before="40"/>
      </w:pPr>
    </w:p>
    <w:p>
      <w:pPr>
        <w:spacing w:after="40" w:before="40"/>
      </w:pPr>
    </w:p>
    <w:p>
      <w:pPr>
        <w:spacing w:after="40" w:before="40"/>
      </w:pPr>
    </w:p>
    <w:p>
      <w:pPr>
        <w:jc w:val="center"/>
      </w:pPr>
      <w:r>
        <w:rPr>
          <w:rFonts w:ascii="Arial" w:cs="Arial" w:eastAsia="Arial" w:hAnsi="Arial"/>
          <w:i/>
          <w:iCs/>
          <w:color w:val="666666"/>
          <w:sz w:val="16"/>
          <w:szCs w:val="16"/>
        </w:rPr>
        <w:t xml:space="preserve">Ce document est confidentiel et strictement réservé à son destinataire.</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C5A55A"/>
          <w:sz w:val="28"/>
          <w:szCs w:val="28"/>
        </w:rPr>
        <w:t xml:space="preserve">4. </w:t>
      </w:r>
      <w:r>
        <w:rPr>
          <w:rFonts w:ascii="Arial" w:cs="Arial" w:eastAsia="Arial" w:hAnsi="Arial"/>
          <w:b/>
          <w:bCs/>
          <w:color w:val="1B2A4A"/>
          <w:sz w:val="28"/>
          <w:szCs w:val="28"/>
        </w:rPr>
        <w:t xml:space="preserve">STRUCTURE JURIDIQUE</w:t>
      </w:r>
    </w:p>
    <w:p>
      <w:pPr>
        <w:pStyle w:val="Heading2"/>
        <w:spacing w:after="120" w:before="240"/>
      </w:pPr>
      <w:r>
        <w:rPr>
          <w:rFonts w:ascii="Arial" w:cs="Arial" w:eastAsia="Arial" w:hAnsi="Arial"/>
          <w:b/>
          <w:bCs/>
          <w:color w:val="1B2A4A"/>
          <w:sz w:val="22"/>
          <w:szCs w:val="22"/>
        </w:rPr>
        <w:t xml:space="preserve">4.1 </w:t>
      </w:r>
      <w:r>
        <w:rPr>
          <w:rFonts w:ascii="Arial" w:cs="Arial" w:eastAsia="Arial" w:hAnsi="Arial"/>
          <w:b/>
          <w:bCs/>
          <w:color w:val="1B2A4A"/>
          <w:sz w:val="22"/>
          <w:szCs w:val="22"/>
        </w:rPr>
        <w:t xml:space="preserve">Schéma de structure (Holding / SPV)</w:t>
      </w:r>
    </w:p>
    <w:p>
      <w:pPr>
        <w:spacing w:after="80" w:before="80"/>
        <w:jc w:val="both"/>
      </w:pPr>
      <w:r>
        <w:rPr>
          <w:rFonts w:ascii="Arial" w:cs="Arial" w:eastAsia="Arial" w:hAnsi="Arial"/>
          <w:b w:val="false"/>
          <w:bCs w:val="false"/>
          <w:i w:val="false"/>
          <w:iCs w:val="false"/>
          <w:color w:val="333333"/>
          <w:sz w:val="19"/>
          <w:szCs w:val="19"/>
        </w:rPr>
        <w:t xml:space="preserve">L’opération est portée par un véhicule dédié — la SCI District One — constituée spécifiquement pour l’acquisition de l’immeuble mixte de 10 092 m² situé à Le Pontet (84130). La SCI est soumise à l’Impôt sur les Sociétés (IS), ce qui permet l’amortissement comptable de l’actif (347 083 €/an par décomposition) et la déductibilité intégrale des intérêts d’emprunt.</w:t>
      </w:r>
    </w:p>
    <w:p>
      <w:pPr>
        <w:spacing w:after="40" w:before="40"/>
      </w:pPr>
    </w:p>
    <w:p>
      <w:pPr>
        <w:spacing w:after="80" w:before="80"/>
        <w:jc w:val="both"/>
      </w:pPr>
      <w:r>
        <w:rPr>
          <w:rFonts w:ascii="Arial" w:cs="Arial" w:eastAsia="Arial" w:hAnsi="Arial"/>
          <w:b/>
          <w:bCs/>
          <w:i w:val="false"/>
          <w:iCs w:val="false"/>
          <w:color w:val="333333"/>
          <w:sz w:val="19"/>
          <w:szCs w:val="19"/>
        </w:rPr>
        <w:t xml:space="preserve">Architecture retenue :</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13"/>
        <w:gridCol w:w="2313"/>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NIVEAU</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ENTITÉ</w:t>
            </w:r>
          </w:p>
        </w:tc>
        <w:tc>
          <w:tcPr>
            <w:tcW w:type="dxa" w:w="231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RÔLE</w:t>
            </w:r>
          </w:p>
        </w:tc>
        <w:tc>
          <w:tcPr>
            <w:tcW w:type="dxa" w:w="231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CONTRÔLE</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Niveau 1 — Fondateur</w:t>
            </w:r>
          </w:p>
        </w:tc>
        <w:tc>
          <w:tcPr>
            <w:tcW w:type="dxa" w:w="2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Personne physique</w:t>
            </w:r>
          </w:p>
        </w:tc>
        <w:tc>
          <w:tcPr>
            <w:tcW w:type="dxa" w:w="2313"/>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Gérant unique, associé majoritaire</w:t>
            </w:r>
          </w:p>
        </w:tc>
        <w:tc>
          <w:tcPr>
            <w:tcW w:type="dxa" w:w="2313"/>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100 % des droits de vote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Niveau 2 — SPV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SCI District One (à l’IS)</w:t>
            </w:r>
          </w:p>
        </w:tc>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Acquisition, détention, gestion</w:t>
            </w:r>
          </w:p>
        </w:tc>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Véhicule dédié</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Niveau 3 — Investisseurs</w:t>
            </w:r>
          </w:p>
        </w:tc>
        <w:tc>
          <w:tcPr>
            <w:tcW w:type="dxa" w:w="2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Personnes physiques / morales</w:t>
            </w:r>
          </w:p>
        </w:tc>
        <w:tc>
          <w:tcPr>
            <w:tcW w:type="dxa" w:w="2313"/>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Apporteurs quasi-FP (OC + CCA)</w:t>
            </w:r>
          </w:p>
        </w:tc>
        <w:tc>
          <w:tcPr>
            <w:tcW w:type="dxa" w:w="2313"/>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Minoritaires — aucun droit de gestion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Niveau 4 — Banque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Établissement prêteur</w:t>
            </w:r>
          </w:p>
        </w:tc>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Prêt senior garanti</w:t>
            </w:r>
          </w:p>
        </w:tc>
        <w:tc>
          <w:tcPr>
            <w:tcW w:type="dxa" w:w="23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Rang 1 — hypothèque + nantissement</w:t>
            </w:r>
          </w:p>
        </w:tc>
      </w:tr>
    </w:tbl>
    <w:p>
      <w:pPr>
        <w:spacing w:after="40" w:before="40"/>
      </w:pPr>
    </w:p>
    <w:p>
      <w:pPr>
        <w:spacing w:after="80" w:before="80"/>
        <w:jc w:val="both"/>
      </w:pPr>
      <w:r>
        <w:rPr>
          <w:rFonts w:ascii="Arial" w:cs="Arial" w:eastAsia="Arial" w:hAnsi="Arial"/>
          <w:b w:val="false"/>
          <w:bCs w:val="false"/>
          <w:i w:val="false"/>
          <w:iCs w:val="false"/>
          <w:color w:val="333333"/>
          <w:sz w:val="19"/>
          <w:szCs w:val="19"/>
        </w:rPr>
        <w:t xml:space="preserve">Le fondateur conserve l’intégralité du contrôle opérationnel. La structure mono-SPV présente l’avantage de la simplicité pour la banque : un seul emprunteur, une seule hypothèque, un seul flux de remboursement.</w:t>
      </w:r>
    </w:p>
    <w:p>
      <w:pPr>
        <w:spacing w:after="40" w:before="40"/>
      </w:pPr>
    </w:p>
    <w:p>
      <w:pPr>
        <w:spacing w:after="80" w:before="80"/>
        <w:jc w:val="both"/>
      </w:pPr>
      <w:r>
        <w:rPr>
          <w:rFonts w:ascii="Arial" w:cs="Arial" w:eastAsia="Arial" w:hAnsi="Arial"/>
          <w:b w:val="false"/>
          <w:bCs w:val="false"/>
          <w:i/>
          <w:iCs/>
          <w:color w:val="333333"/>
          <w:sz w:val="19"/>
          <w:szCs w:val="19"/>
        </w:rPr>
        <w:t xml:space="preserve">En cas de développement futur du portefeuille, une holding pourra être constituée en amont pour regrouper plusieurs SPV. Ce schéma évolutif ne modifie en rien la subordination ni les garanties offertes à la banque.</w:t>
      </w:r>
    </w:p>
    <w:p>
      <w:r>
        <w:br w:type="page"/>
      </w:r>
    </w:p>
    <w:p>
      <w:pPr>
        <w:pStyle w:val="Heading2"/>
        <w:spacing w:after="120" w:before="240"/>
      </w:pPr>
      <w:r>
        <w:rPr>
          <w:rFonts w:ascii="Arial" w:cs="Arial" w:eastAsia="Arial" w:hAnsi="Arial"/>
          <w:b/>
          <w:bCs/>
          <w:color w:val="1B2A4A"/>
          <w:sz w:val="22"/>
          <w:szCs w:val="22"/>
        </w:rPr>
        <w:t xml:space="preserve">4.2 </w:t>
      </w:r>
      <w:r>
        <w:rPr>
          <w:rFonts w:ascii="Arial" w:cs="Arial" w:eastAsia="Arial" w:hAnsi="Arial"/>
          <w:b/>
          <w:bCs/>
          <w:color w:val="1B2A4A"/>
          <w:sz w:val="22"/>
          <w:szCs w:val="22"/>
        </w:rPr>
        <w:t xml:space="preserve">Projet de statuts de la SCI District One</w:t>
      </w:r>
    </w:p>
    <w:p>
      <w:pPr>
        <w:spacing w:after="80" w:before="80"/>
        <w:jc w:val="both"/>
      </w:pPr>
      <w:r>
        <w:rPr>
          <w:rFonts w:ascii="Arial" w:cs="Arial" w:eastAsia="Arial" w:hAnsi="Arial"/>
          <w:b w:val="false"/>
          <w:bCs w:val="false"/>
          <w:i w:val="false"/>
          <w:iCs w:val="false"/>
          <w:color w:val="333333"/>
          <w:sz w:val="19"/>
          <w:szCs w:val="19"/>
        </w:rPr>
        <w:t xml:space="preserve">Les statuts seront rédigés conformément aux articles 1832 et suivants du Code civil. Principales clauses :</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CLAUSE STATUTAIRE</w:t>
            </w:r>
          </w:p>
        </w:tc>
        <w:tc>
          <w:tcPr>
            <w:tcW w:type="dxa" w:w="602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DISPOSITIONS RETENUES</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Dénomination sociale</w:t>
            </w:r>
          </w:p>
        </w:tc>
        <w:tc>
          <w:tcPr>
            <w:tcW w:type="dxa" w:w="6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SCI DISTRICT ONE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Siège social</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Le Pontet (84130) — Vaucluse</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Objet social</w:t>
            </w:r>
          </w:p>
        </w:tc>
        <w:tc>
          <w:tcPr>
            <w:tcW w:type="dxa" w:w="6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Acquisition, détention, gestion, mise en valeur et cession de tout immeuble à usage mixte (commercial et tertiaire)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Durée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99 ans à compter de l’immatriculation au RCS</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Capital social</w:t>
            </w:r>
          </w:p>
        </w:tc>
        <w:tc>
          <w:tcPr>
            <w:tcW w:type="dxa" w:w="6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310 000 € divisé en 31 000 parts de 10 €</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Répartition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Fondateur : 15 000 parts (48,4 % capital, 100 % droits de vote) — Investisseurs : 16 000 parts (51,6 % capital, 0 % droits de vote)</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Régime fiscal</w:t>
            </w:r>
          </w:p>
        </w:tc>
        <w:tc>
          <w:tcPr>
            <w:tcW w:type="dxa" w:w="6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SCI soumise à l’IS sur option irrévocable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Gérance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Gérant unique : le Fondateur. Durée illimitée. Révocation à l’unanimité uniquement.</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Pouvoirs du gérant</w:t>
            </w:r>
          </w:p>
        </w:tc>
        <w:tc>
          <w:tcPr>
            <w:tcW w:type="dxa" w:w="6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Pouvoirs les plus étendus : acquisition, cession, location, travaux, emprunts, garanties. Cessions &gt; 20 % surface : accord AG 2/3.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AG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AG annuelle obligatoire. AG extraordinaire sur convocation gérant ou associés &gt; 25 % du capital.</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Cession de parts</w:t>
            </w:r>
          </w:p>
        </w:tc>
        <w:tc>
          <w:tcPr>
            <w:tcW w:type="dxa" w:w="6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Agrément du gérant requis. Droit de préemption du fondateur. Cessions intra-familiales libres.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CCA</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Autorisés. Conditions fixées par convention séparée (cf. 4.5).</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Distributions</w:t>
            </w:r>
          </w:p>
        </w:tc>
        <w:tc>
          <w:tcPr>
            <w:tcW w:type="dxa" w:w="6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Soumises à décision du gérant, après réserves légales et respect covenants bancaires. Interdites tant que CCA non soldés.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Non-concurrence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Interdiction d’investir dans un rayon de 5 km pendant la durée du pacte.</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Dissolution</w:t>
            </w:r>
          </w:p>
        </w:tc>
        <w:tc>
          <w:tcPr>
            <w:tcW w:type="dxa" w:w="6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Uniquement à l’unanimité ou perte &gt; 50 % du capital non reconstituée.</w:t>
            </w:r>
          </w:p>
        </w:tc>
      </w:tr>
    </w:tbl>
    <w:p>
      <w:pPr>
        <w:spacing w:after="40" w:before="40"/>
      </w:pPr>
    </w:p>
    <w:p>
      <w:pPr>
        <w:spacing w:after="80" w:before="80"/>
        <w:jc w:val="both"/>
      </w:pPr>
      <w:r>
        <w:rPr>
          <w:rFonts w:ascii="Arial" w:cs="Arial" w:eastAsia="Arial" w:hAnsi="Arial"/>
          <w:b w:val="false"/>
          <w:bCs w:val="false"/>
          <w:i w:val="false"/>
          <w:iCs w:val="false"/>
          <w:color w:val="333333"/>
          <w:sz w:val="19"/>
          <w:szCs w:val="19"/>
        </w:rPr>
        <w:t xml:space="preserve">Les statuts définitifs seront rédigés par le cabinet Sextant Avocats (1C Rue Charloun Rieu, 84000 Avignon) et soumis à la banque avant signature de l’offre de prêt.</w:t>
      </w:r>
    </w:p>
    <w:p>
      <w:r>
        <w:br w:type="page"/>
      </w:r>
    </w:p>
    <w:p>
      <w:pPr>
        <w:pStyle w:val="Heading2"/>
        <w:spacing w:after="120" w:before="240"/>
      </w:pPr>
      <w:r>
        <w:rPr>
          <w:rFonts w:ascii="Arial" w:cs="Arial" w:eastAsia="Arial" w:hAnsi="Arial"/>
          <w:b/>
          <w:bCs/>
          <w:color w:val="1B2A4A"/>
          <w:sz w:val="22"/>
          <w:szCs w:val="22"/>
        </w:rPr>
        <w:t xml:space="preserve">4.3 </w:t>
      </w:r>
      <w:r>
        <w:rPr>
          <w:rFonts w:ascii="Arial" w:cs="Arial" w:eastAsia="Arial" w:hAnsi="Arial"/>
          <w:b/>
          <w:bCs/>
          <w:color w:val="1B2A4A"/>
          <w:sz w:val="22"/>
          <w:szCs w:val="22"/>
        </w:rPr>
        <w:t xml:space="preserve">Projet de pacte d’associés</w:t>
      </w:r>
    </w:p>
    <w:p>
      <w:pPr>
        <w:spacing w:after="80" w:before="80"/>
        <w:jc w:val="both"/>
      </w:pPr>
      <w:r>
        <w:rPr>
          <w:rFonts w:ascii="Arial" w:cs="Arial" w:eastAsia="Arial" w:hAnsi="Arial"/>
          <w:b w:val="false"/>
          <w:bCs w:val="false"/>
          <w:i w:val="false"/>
          <w:iCs w:val="false"/>
          <w:color w:val="333333"/>
          <w:sz w:val="19"/>
          <w:szCs w:val="19"/>
        </w:rPr>
        <w:t xml:space="preserve">Le pacte régit les relations fondateur/investisseurs. Il formalise la gouvernance, les mécanismes de sortie et la protection de la banque.</w:t>
      </w:r>
    </w:p>
    <w:p>
      <w:pPr>
        <w:spacing w:after="40" w:before="40"/>
      </w:pPr>
    </w:p>
    <w:p>
      <w:pPr>
        <w:spacing w:after="100" w:before="180"/>
      </w:pPr>
      <w:r>
        <w:rPr>
          <w:rFonts w:ascii="Arial" w:cs="Arial" w:eastAsia="Arial" w:hAnsi="Arial"/>
          <w:b/>
          <w:bCs/>
          <w:color w:val="3D5A80"/>
          <w:sz w:val="20"/>
          <w:szCs w:val="20"/>
        </w:rPr>
        <w:t xml:space="preserve">A. Gouvernance et droits de vote</w:t>
      </w:r>
    </w:p>
    <w:p>
      <w:pPr>
        <w:pStyle w:val="ListParagraph"/>
        <w:numPr>
          <w:ilvl w:val="0"/>
          <w:numId w:val="2"/>
        </w:numPr>
        <w:spacing w:after="40" w:before="40"/>
      </w:pPr>
      <w:r>
        <w:rPr>
          <w:rFonts w:ascii="Arial" w:cs="Arial" w:eastAsia="Arial" w:hAnsi="Arial"/>
          <w:color w:val="333333"/>
          <w:sz w:val="19"/>
          <w:szCs w:val="19"/>
        </w:rPr>
        <w:t xml:space="preserve">Le fondateur détient 100 % des droits de vote et la gérance exclusive.</w:t>
      </w:r>
    </w:p>
    <w:p>
      <w:pPr>
        <w:pStyle w:val="ListParagraph"/>
        <w:numPr>
          <w:ilvl w:val="0"/>
          <w:numId w:val="2"/>
        </w:numPr>
        <w:spacing w:after="40" w:before="40"/>
      </w:pPr>
      <w:r>
        <w:rPr>
          <w:rFonts w:ascii="Arial" w:cs="Arial" w:eastAsia="Arial" w:hAnsi="Arial"/>
          <w:color w:val="333333"/>
          <w:sz w:val="19"/>
          <w:szCs w:val="19"/>
        </w:rPr>
        <w:t xml:space="preserve">Les investisseurs disposent d’un droit d’information renforcé (reporting annuel certifié, accès aux comptes, tableau de bord DSCR/LTV).</w:t>
      </w:r>
    </w:p>
    <w:p>
      <w:pPr>
        <w:pStyle w:val="ListParagraph"/>
        <w:numPr>
          <w:ilvl w:val="0"/>
          <w:numId w:val="2"/>
        </w:numPr>
        <w:spacing w:after="40" w:before="40"/>
      </w:pPr>
      <w:r>
        <w:rPr>
          <w:rFonts w:ascii="Arial" w:cs="Arial" w:eastAsia="Arial" w:hAnsi="Arial"/>
          <w:color w:val="333333"/>
          <w:sz w:val="19"/>
          <w:szCs w:val="19"/>
        </w:rPr>
        <w:t xml:space="preserve">Droit de veto investisseurs limité à : (i) modification statuts, (ii) augmentation capital, (iii) dissolution anticipée.</w:t>
      </w:r>
    </w:p>
    <w:p>
      <w:pPr>
        <w:spacing w:after="40" w:before="40"/>
      </w:pPr>
    </w:p>
    <w:p>
      <w:pPr>
        <w:spacing w:after="100" w:before="180"/>
      </w:pPr>
      <w:r>
        <w:rPr>
          <w:rFonts w:ascii="Arial" w:cs="Arial" w:eastAsia="Arial" w:hAnsi="Arial"/>
          <w:b/>
          <w:bCs/>
          <w:color w:val="3D5A80"/>
          <w:sz w:val="20"/>
          <w:szCs w:val="20"/>
        </w:rPr>
        <w:t xml:space="preserve">B. Clause de prix de rachat des titres (Sextant Avocats)</w:t>
      </w:r>
    </w:p>
    <w:p>
      <w:pPr>
        <w:spacing w:after="80" w:before="80"/>
        <w:jc w:val="both"/>
      </w:pPr>
      <w:r>
        <w:rPr>
          <w:rFonts w:ascii="Arial" w:cs="Arial" w:eastAsia="Arial" w:hAnsi="Arial"/>
          <w:b w:val="false"/>
          <w:bCs w:val="false"/>
          <w:i w:val="false"/>
          <w:iCs w:val="false"/>
          <w:color w:val="333333"/>
          <w:sz w:val="19"/>
          <w:szCs w:val="19"/>
        </w:rPr>
        <w:t xml:space="preserve">Mécanisme central de sortie en 5 articles :</w:t>
      </w:r>
    </w:p>
    <w:p>
      <w:pPr>
        <w:spacing w:after="40" w:before="40"/>
      </w:pPr>
    </w:p>
    <w:p>
      <w:pPr>
        <w:spacing w:after="80" w:before="80"/>
        <w:jc w:val="both"/>
      </w:pPr>
      <w:r>
        <w:rPr>
          <w:rFonts w:ascii="Arial" w:cs="Arial" w:eastAsia="Arial" w:hAnsi="Arial"/>
          <w:b/>
          <w:bCs/>
          <w:i w:val="false"/>
          <w:iCs w:val="false"/>
          <w:color w:val="333333"/>
          <w:sz w:val="19"/>
          <w:szCs w:val="19"/>
        </w:rPr>
        <w:t xml:space="preserve">Article 1 — Distinction des catégories de titres</w:t>
      </w:r>
    </w:p>
    <w:p>
      <w:pPr>
        <w:spacing w:after="80" w:before="80"/>
        <w:jc w:val="both"/>
      </w:pPr>
      <w:r>
        <w:rPr>
          <w:rFonts w:ascii="Arial" w:cs="Arial" w:eastAsia="Arial" w:hAnsi="Arial"/>
          <w:b w:val="false"/>
          <w:bCs w:val="false"/>
          <w:i w:val="false"/>
          <w:iCs w:val="false"/>
          <w:color w:val="333333"/>
          <w:sz w:val="19"/>
          <w:szCs w:val="19"/>
        </w:rPr>
        <w:t xml:space="preserve">Les titres se répartissent en deux catégories : (a) Actions Initiales (souscrites à l’entrée au capital) et (b) Actions de Conversion (résultant de la conversion des OC).</w:t>
      </w:r>
    </w:p>
    <w:p>
      <w:pPr>
        <w:spacing w:after="40" w:before="40"/>
      </w:pPr>
    </w:p>
    <w:p>
      <w:pPr>
        <w:spacing w:after="80" w:before="80"/>
        <w:jc w:val="both"/>
      </w:pPr>
      <w:r>
        <w:rPr>
          <w:rFonts w:ascii="Arial" w:cs="Arial" w:eastAsia="Arial" w:hAnsi="Arial"/>
          <w:b/>
          <w:bCs/>
          <w:i w:val="false"/>
          <w:iCs w:val="false"/>
          <w:color w:val="333333"/>
          <w:sz w:val="19"/>
          <w:szCs w:val="19"/>
        </w:rPr>
        <w:t xml:space="preserve">Article 2 — Prix des Actions Initiales (plafonnement du rendement)</w:t>
      </w:r>
    </w:p>
    <w:p>
      <w:pPr>
        <w:spacing w:after="80" w:before="80"/>
        <w:jc w:val="both"/>
      </w:pPr>
      <w:r>
        <w:rPr>
          <w:rFonts w:ascii="Arial" w:cs="Arial" w:eastAsia="Arial" w:hAnsi="Arial"/>
          <w:b w:val="false"/>
          <w:bCs w:val="false"/>
          <w:i w:val="false"/>
          <w:iCs w:val="false"/>
          <w:color w:val="333333"/>
          <w:sz w:val="19"/>
          <w:szCs w:val="19"/>
        </w:rPr>
        <w:t xml:space="preserve">Le prix ne peut excéder le plus faible de : (i) Investissement initial × (1 + TRI cible) ^ durée de détention, ou (ii) Investissement initial × MOIC cap. Toute distribution déjà perçue est déduite. Ce double plafond protège le fondateur.</w:t>
      </w:r>
    </w:p>
    <w:p>
      <w:pPr>
        <w:spacing w:after="40" w:before="40"/>
      </w:pPr>
    </w:p>
    <w:p>
      <w:pPr>
        <w:spacing w:after="80" w:before="80"/>
        <w:jc w:val="both"/>
      </w:pPr>
      <w:r>
        <w:rPr>
          <w:rFonts w:ascii="Arial" w:cs="Arial" w:eastAsia="Arial" w:hAnsi="Arial"/>
          <w:b/>
          <w:bCs/>
          <w:i w:val="false"/>
          <w:iCs w:val="false"/>
          <w:color w:val="333333"/>
          <w:sz w:val="19"/>
          <w:szCs w:val="19"/>
        </w:rPr>
        <w:t xml:space="preserve">Article 3 — Prix des Actions de Conversion (hors plafonnement)</w:t>
      </w:r>
    </w:p>
    <w:p>
      <w:pPr>
        <w:spacing w:after="80" w:before="80"/>
        <w:jc w:val="both"/>
      </w:pPr>
      <w:r>
        <w:rPr>
          <w:rFonts w:ascii="Arial" w:cs="Arial" w:eastAsia="Arial" w:hAnsi="Arial"/>
          <w:b w:val="false"/>
          <w:bCs w:val="false"/>
          <w:i w:val="false"/>
          <w:iCs w:val="false"/>
          <w:color w:val="333333"/>
          <w:sz w:val="19"/>
          <w:szCs w:val="19"/>
        </w:rPr>
        <w:t xml:space="preserve">Les Actions de Conversion ne sont pas soumises au plafond de l’Article 2. Elles sont valorisées à la quote-part de l’actif net, récompensant l’investisseur qui choisit la conversion plutôt que le remboursement.</w:t>
      </w:r>
    </w:p>
    <w:p>
      <w:pPr>
        <w:spacing w:after="40" w:before="40"/>
      </w:pPr>
    </w:p>
    <w:p>
      <w:pPr>
        <w:spacing w:after="80" w:before="80"/>
        <w:jc w:val="both"/>
      </w:pPr>
      <w:r>
        <w:rPr>
          <w:rFonts w:ascii="Arial" w:cs="Arial" w:eastAsia="Arial" w:hAnsi="Arial"/>
          <w:b/>
          <w:bCs/>
          <w:i w:val="false"/>
          <w:iCs w:val="false"/>
          <w:color w:val="333333"/>
          <w:sz w:val="19"/>
          <w:szCs w:val="19"/>
        </w:rPr>
        <w:t xml:space="preserve">Article 4 — Ordre d’imputation des paiements</w:t>
      </w:r>
    </w:p>
    <w:p>
      <w:pPr>
        <w:spacing w:after="80" w:before="80"/>
        <w:jc w:val="both"/>
      </w:pPr>
      <w:r>
        <w:rPr>
          <w:rFonts w:ascii="Arial" w:cs="Arial" w:eastAsia="Arial" w:hAnsi="Arial"/>
          <w:b w:val="false"/>
          <w:bCs w:val="false"/>
          <w:i w:val="false"/>
          <w:iCs w:val="false"/>
          <w:color w:val="333333"/>
          <w:sz w:val="19"/>
          <w:szCs w:val="19"/>
        </w:rPr>
        <w:t xml:space="preserve">Toute somme versée est imputée en priorité sur le remboursement des Actions Initiales (plafonné). Le surplus est affecté aux Actions de Conversion.</w:t>
      </w:r>
    </w:p>
    <w:p>
      <w:pPr>
        <w:spacing w:after="40" w:before="40"/>
      </w:pPr>
    </w:p>
    <w:p>
      <w:pPr>
        <w:spacing w:after="80" w:before="80"/>
        <w:jc w:val="both"/>
      </w:pPr>
      <w:r>
        <w:rPr>
          <w:rFonts w:ascii="Arial" w:cs="Arial" w:eastAsia="Arial" w:hAnsi="Arial"/>
          <w:b/>
          <w:bCs/>
          <w:i w:val="false"/>
          <w:iCs w:val="false"/>
          <w:color w:val="333333"/>
          <w:sz w:val="19"/>
          <w:szCs w:val="19"/>
        </w:rPr>
        <w:t xml:space="preserve">Article 5 — Promesse de cession forcée (call option fondateur)</w:t>
      </w:r>
    </w:p>
    <w:p>
      <w:pPr>
        <w:spacing w:after="80" w:before="80"/>
        <w:jc w:val="both"/>
      </w:pPr>
      <w:r>
        <w:rPr>
          <w:rFonts w:ascii="Arial" w:cs="Arial" w:eastAsia="Arial" w:hAnsi="Arial"/>
          <w:b w:val="false"/>
          <w:bCs w:val="false"/>
          <w:i w:val="false"/>
          <w:iCs w:val="false"/>
          <w:color w:val="333333"/>
          <w:sz w:val="19"/>
          <w:szCs w:val="19"/>
        </w:rPr>
        <w:t xml:space="preserve">Les investisseurs consentent irrévocablement au fondateur une promesse unilatérale de vente sur l’ensemble de leurs titres, exerçable lors d’un événement de liquidité ou à la date de sortie contractuelle. Cette clause garantit au fondateur la capacité de devenir associé unique à terme.</w:t>
      </w:r>
    </w:p>
    <w:p>
      <w:pPr>
        <w:spacing w:after="40" w:before="40"/>
      </w:pPr>
    </w:p>
    <w:p>
      <w:pPr>
        <w:spacing w:after="80" w:before="80"/>
        <w:jc w:val="both"/>
      </w:pPr>
      <w:r>
        <w:rPr>
          <w:rFonts w:ascii="Arial" w:cs="Arial" w:eastAsia="Arial" w:hAnsi="Arial"/>
          <w:b/>
          <w:bCs/>
          <w:i w:val="false"/>
          <w:iCs w:val="false"/>
          <w:color w:val="333333"/>
          <w:sz w:val="19"/>
          <w:szCs w:val="19"/>
        </w:rPr>
        <w:t xml:space="preserve">Synthèse de l’impact pour la banque :</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MÉCANISME</w:t>
            </w:r>
          </w:p>
        </w:tc>
        <w:tc>
          <w:tcPr>
            <w:tcW w:type="dxa" w:w="602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 POUR LA BANQUE</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Double plafond (Art. 2)</w:t>
            </w:r>
          </w:p>
        </w:tc>
        <w:tc>
          <w:tcPr>
            <w:tcW w:type="dxa" w:w="6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Limite le coût de sortie — pas de surenchère compromettant le remboursement bancaire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Ordre d’imputation (Art. 4)</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Capital investisseur remboursé en priorité — réduit le risque de litige bloquant les cessions</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Call option (Art. 5)</w:t>
            </w:r>
          </w:p>
        </w:tc>
        <w:tc>
          <w:tcPr>
            <w:tcW w:type="dxa" w:w="6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Le fondateur peut forcer la sortie — garantit la stabilité de la gérance et la continuité de l’exploitation</w:t>
            </w:r>
          </w:p>
        </w:tc>
      </w:tr>
    </w:tbl>
    <w:p>
      <w:pPr>
        <w:spacing w:after="40" w:before="40"/>
      </w:pPr>
    </w:p>
    <w:p>
      <w:pPr>
        <w:spacing w:after="100" w:before="180"/>
      </w:pPr>
      <w:r>
        <w:rPr>
          <w:rFonts w:ascii="Arial" w:cs="Arial" w:eastAsia="Arial" w:hAnsi="Arial"/>
          <w:b/>
          <w:bCs/>
          <w:color w:val="3D5A80"/>
          <w:sz w:val="20"/>
          <w:szCs w:val="20"/>
        </w:rPr>
        <w:t xml:space="preserve">C. Clauses complémentaires</w:t>
      </w:r>
    </w:p>
    <w:p>
      <w:pPr>
        <w:pStyle w:val="ListParagraph"/>
        <w:numPr>
          <w:ilvl w:val="0"/>
          <w:numId w:val="3"/>
        </w:numPr>
        <w:spacing w:after="40" w:before="40"/>
      </w:pPr>
      <w:r>
        <w:rPr>
          <w:rFonts w:ascii="Arial" w:cs="Arial" w:eastAsia="Arial" w:hAnsi="Arial"/>
          <w:color w:val="333333"/>
          <w:sz w:val="19"/>
          <w:szCs w:val="19"/>
        </w:rPr>
        <w:t xml:space="preserve">Clause de stand-still : aucun remboursement OC/CCA si DSCR &lt; 1,25x ou CRD &gt; 4 M€.</w:t>
      </w:r>
    </w:p>
    <w:p>
      <w:pPr>
        <w:pStyle w:val="ListParagraph"/>
        <w:numPr>
          <w:ilvl w:val="0"/>
          <w:numId w:val="3"/>
        </w:numPr>
        <w:spacing w:after="40" w:before="40"/>
      </w:pPr>
      <w:r>
        <w:rPr>
          <w:rFonts w:ascii="Arial" w:cs="Arial" w:eastAsia="Arial" w:hAnsi="Arial"/>
          <w:color w:val="333333"/>
          <w:sz w:val="19"/>
          <w:szCs w:val="19"/>
        </w:rPr>
        <w:t xml:space="preserve">Clause de non-distribution : aucun dividende tant que CCA non soldés.</w:t>
      </w:r>
    </w:p>
    <w:p>
      <w:pPr>
        <w:pStyle w:val="ListParagraph"/>
        <w:numPr>
          <w:ilvl w:val="0"/>
          <w:numId w:val="3"/>
        </w:numPr>
        <w:spacing w:after="40" w:before="40"/>
      </w:pPr>
      <w:r>
        <w:rPr>
          <w:rFonts w:ascii="Arial" w:cs="Arial" w:eastAsia="Arial" w:hAnsi="Arial"/>
          <w:color w:val="333333"/>
          <w:sz w:val="19"/>
          <w:szCs w:val="19"/>
        </w:rPr>
        <w:t xml:space="preserve">Maintien des loyers : loyers bruts ≥ 900 000 €/an (covenant financier).</w:t>
      </w:r>
    </w:p>
    <w:p>
      <w:pPr>
        <w:pStyle w:val="ListParagraph"/>
        <w:numPr>
          <w:ilvl w:val="0"/>
          <w:numId w:val="3"/>
        </w:numPr>
        <w:spacing w:after="40" w:before="40"/>
      </w:pPr>
      <w:r>
        <w:rPr>
          <w:rFonts w:ascii="Arial" w:cs="Arial" w:eastAsia="Arial" w:hAnsi="Arial"/>
          <w:color w:val="333333"/>
          <w:sz w:val="19"/>
          <w:szCs w:val="19"/>
        </w:rPr>
        <w:t xml:space="preserve">Veto banque : cessions &gt; 20 % de la surface nécessitent accord préalable.</w:t>
      </w:r>
    </w:p>
    <w:p>
      <w:pPr>
        <w:pStyle w:val="ListParagraph"/>
        <w:numPr>
          <w:ilvl w:val="0"/>
          <w:numId w:val="3"/>
        </w:numPr>
        <w:spacing w:after="40" w:before="40"/>
      </w:pPr>
      <w:r>
        <w:rPr>
          <w:rFonts w:ascii="Arial" w:cs="Arial" w:eastAsia="Arial" w:hAnsi="Arial"/>
          <w:color w:val="333333"/>
          <w:sz w:val="19"/>
          <w:szCs w:val="19"/>
        </w:rPr>
        <w:t xml:space="preserve">Tag-along : si le fondateur cède &gt; 50 % de ses parts, les investisseurs peuvent exiger la cession simultanée aux mêmes conditions.</w:t>
      </w:r>
    </w:p>
    <w:p>
      <w:pPr>
        <w:pStyle w:val="ListParagraph"/>
        <w:numPr>
          <w:ilvl w:val="0"/>
          <w:numId w:val="3"/>
        </w:numPr>
        <w:spacing w:after="40" w:before="40"/>
      </w:pPr>
      <w:r>
        <w:rPr>
          <w:rFonts w:ascii="Arial" w:cs="Arial" w:eastAsia="Arial" w:hAnsi="Arial"/>
          <w:color w:val="333333"/>
          <w:sz w:val="19"/>
          <w:szCs w:val="19"/>
        </w:rPr>
        <w:t xml:space="preserve">Drag-along : si le fondateur souhaite céder 100 % de l’actif ou des parts, il peut forcer les investisseurs à céder les leurs.</w:t>
      </w:r>
    </w:p>
    <w:p>
      <w:r>
        <w:br w:type="page"/>
      </w:r>
    </w:p>
    <w:p>
      <w:pPr>
        <w:pStyle w:val="Heading2"/>
        <w:spacing w:after="120" w:before="240"/>
      </w:pPr>
      <w:r>
        <w:rPr>
          <w:rFonts w:ascii="Arial" w:cs="Arial" w:eastAsia="Arial" w:hAnsi="Arial"/>
          <w:b/>
          <w:bCs/>
          <w:color w:val="1B2A4A"/>
          <w:sz w:val="22"/>
          <w:szCs w:val="22"/>
        </w:rPr>
        <w:t xml:space="preserve">4.4 </w:t>
      </w:r>
      <w:r>
        <w:rPr>
          <w:rFonts w:ascii="Arial" w:cs="Arial" w:eastAsia="Arial" w:hAnsi="Arial"/>
          <w:b/>
          <w:bCs/>
          <w:color w:val="1B2A4A"/>
          <w:sz w:val="22"/>
          <w:szCs w:val="22"/>
        </w:rPr>
        <w:t xml:space="preserve">Mécanisme des Obligations Convertibles (OC)</w:t>
      </w:r>
    </w:p>
    <w:p>
      <w:pPr>
        <w:spacing w:after="80" w:before="80"/>
        <w:jc w:val="both"/>
      </w:pPr>
      <w:r>
        <w:rPr>
          <w:rFonts w:ascii="Arial" w:cs="Arial" w:eastAsia="Arial" w:hAnsi="Arial"/>
          <w:b w:val="false"/>
          <w:bCs w:val="false"/>
          <w:i w:val="false"/>
          <w:iCs w:val="false"/>
          <w:color w:val="333333"/>
          <w:sz w:val="19"/>
          <w:szCs w:val="19"/>
        </w:rPr>
        <w:t xml:space="preserve">Les OC constituent le principal instrument de quasi-fonds propres. Elles sont émises par la SCI au bénéfice des investisseurs qualifiés :</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PARAMÈTRE</w:t>
            </w:r>
          </w:p>
        </w:tc>
        <w:tc>
          <w:tcPr>
            <w:tcW w:type="dxa" w:w="582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CONDITIONS</w:t>
            </w:r>
          </w:p>
        </w:tc>
      </w:tr>
      <w:tr>
        <w:tc>
          <w:tcPr>
            <w:tcW w:type="dxa" w:w="3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Montant total émis</w:t>
            </w:r>
          </w:p>
        </w:tc>
        <w:tc>
          <w:tcPr>
            <w:tcW w:type="dxa" w:w="58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2 400 000 €</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Nominal unitaire</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10 000 € (240 obligations)</w:t>
            </w:r>
          </w:p>
        </w:tc>
      </w:tr>
      <w:tr>
        <w:tc>
          <w:tcPr>
            <w:tcW w:type="dxa" w:w="3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Taux d’intérêt nominal</w:t>
            </w:r>
          </w:p>
        </w:tc>
        <w:tc>
          <w:tcPr>
            <w:tcW w:type="dxa" w:w="58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7,00 % par an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Paiement An 1</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PIK (capitalisé — aucun décaissement cash An 1)</w:t>
            </w:r>
          </w:p>
        </w:tc>
      </w:tr>
      <w:tr>
        <w:tc>
          <w:tcPr>
            <w:tcW w:type="dxa" w:w="3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Paiement An 2+</w:t>
            </w:r>
          </w:p>
        </w:tc>
        <w:tc>
          <w:tcPr>
            <w:tcW w:type="dxa" w:w="58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Cash — trimestriel ou semestriel (42 K€/trimestre)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Durée</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 ans — remboursable par anticipation à partir de l’An 3</w:t>
            </w:r>
          </w:p>
        </w:tc>
      </w:tr>
      <w:tr>
        <w:tc>
          <w:tcPr>
            <w:tcW w:type="dxa" w:w="3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Option de conversion</w:t>
            </w:r>
          </w:p>
        </w:tc>
        <w:tc>
          <w:tcPr>
            <w:tcW w:type="dxa" w:w="58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Convertible en parts SCI à parité fixe. Exerçable An 3 à An 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Subordination</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Rang 2 — contractuellement subordonné au prêt bancaire senior</w:t>
            </w:r>
          </w:p>
        </w:tc>
      </w:tr>
      <w:tr>
        <w:tc>
          <w:tcPr>
            <w:tcW w:type="dxa" w:w="3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Condition de remboursement</w:t>
            </w:r>
          </w:p>
        </w:tc>
        <w:tc>
          <w:tcPr>
            <w:tcW w:type="dxa" w:w="58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DSCR &gt; 1,25x ET CRD bancaire &lt; 4 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Garanties</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Aucune sûreté réelle — rang structurellement junior</w:t>
            </w:r>
          </w:p>
        </w:tc>
      </w:tr>
      <w:tr>
        <w:tc>
          <w:tcPr>
            <w:tcW w:type="dxa" w:w="3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Plafond de rendement</w:t>
            </w:r>
          </w:p>
        </w:tc>
        <w:tc>
          <w:tcPr>
            <w:tcW w:type="dxa" w:w="58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Soumis au double cap (TRI + MOIC) du pacte d’associés (Art. 2)</w:t>
            </w:r>
          </w:p>
        </w:tc>
      </w:tr>
    </w:tbl>
    <w:p>
      <w:pPr>
        <w:spacing w:after="40" w:before="40"/>
      </w:pPr>
    </w:p>
    <w:p>
      <w:pPr>
        <w:spacing w:after="80" w:before="80"/>
        <w:jc w:val="both"/>
      </w:pPr>
      <w:r>
        <w:rPr>
          <w:rFonts w:ascii="Arial" w:cs="Arial" w:eastAsia="Arial" w:hAnsi="Arial"/>
          <w:b w:val="false"/>
          <w:bCs w:val="false"/>
          <w:i w:val="false"/>
          <w:iCs w:val="false"/>
          <w:color w:val="333333"/>
          <w:sz w:val="19"/>
          <w:szCs w:val="19"/>
        </w:rPr>
        <w:t xml:space="preserve">En cas de non-conversion, les OC sont remboursées au pair majoré des intérêts PIK capitalisés. En cas de conversion, les nouvelles parts sont soumises aux mêmes clauses de sortie que les parts existantes (pacte d’associés).</w:t>
      </w:r>
    </w:p>
    <w:p>
      <w:pPr>
        <w:spacing w:after="40" w:before="40"/>
      </w:pPr>
    </w:p>
    <w:p>
      <w:pPr>
        <w:spacing w:after="100" w:before="180"/>
      </w:pPr>
      <w:r>
        <w:rPr>
          <w:rFonts w:ascii="Arial" w:cs="Arial" w:eastAsia="Arial" w:hAnsi="Arial"/>
          <w:b/>
          <w:bCs/>
          <w:color w:val="3D5A80"/>
          <w:sz w:val="20"/>
          <w:szCs w:val="20"/>
        </w:rPr>
        <w:t xml:space="preserve">Chronologie des OC</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13"/>
        <w:gridCol w:w="1513"/>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 0</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 1</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 2</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 3</w:t>
            </w:r>
          </w:p>
        </w:tc>
        <w:tc>
          <w:tcPr>
            <w:tcW w:type="dxa" w:w="151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 4</w:t>
            </w:r>
          </w:p>
        </w:tc>
        <w:tc>
          <w:tcPr>
            <w:tcW w:type="dxa" w:w="151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 5</w:t>
            </w:r>
          </w:p>
        </w:tc>
      </w:tr>
      <w:tr>
        <w:tc>
          <w:tcPr>
            <w:tcW w:type="dxa" w:w="15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Émission OC
2 400 K€</w:t>
            </w:r>
          </w:p>
        </w:tc>
        <w:tc>
          <w:tcPr>
            <w:tcW w:type="dxa" w:w="1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Intérêts PIK
capitalisés
(168 K€)</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Coupons cash
168 K€/an</w:t>
            </w:r>
          </w:p>
        </w:tc>
        <w:tc>
          <w:tcPr>
            <w:tcW w:type="dxa" w:w="15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Fenêtre de
conversion
ouverte</w:t>
            </w:r>
          </w:p>
        </w:tc>
        <w:tc>
          <w:tcPr>
            <w:tcW w:type="dxa" w:w="1513"/>
            <w:tcBorders>
              <w:top w:val="single" w:color="CCCCCC" w:sz="1"/>
              <w:left w:val="single" w:color="CCCCCC" w:sz="1"/>
              <w:bottom w:val="single" w:color="CCCCCC" w:sz="1"/>
              <w:right w:val="single" w:color="CCCCCC" w:sz="1"/>
            </w:tcBorders>
            <w:shd w:fill="FCE8E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Conversion
ou
remboursement</w:t>
            </w:r>
          </w:p>
        </w:tc>
        <w:tc>
          <w:tcPr>
            <w:tcW w:type="dxa" w:w="1513"/>
            <w:tcBorders>
              <w:top w:val="single" w:color="CCCCCC" w:sz="1"/>
              <w:left w:val="single" w:color="CCCCCC" w:sz="1"/>
              <w:bottom w:val="single" w:color="CCCCCC" w:sz="1"/>
              <w:right w:val="single" w:color="CCCCCC" w:sz="1"/>
            </w:tcBorders>
            <w:shd w:fill="FCE8E6"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Sortie finale
obligatoire</w:t>
            </w:r>
          </w:p>
        </w:tc>
      </w:tr>
    </w:tbl>
    <w:p>
      <w:r>
        <w:br w:type="page"/>
      </w:r>
    </w:p>
    <w:p>
      <w:pPr>
        <w:pStyle w:val="Heading2"/>
        <w:spacing w:after="120" w:before="240"/>
      </w:pPr>
      <w:r>
        <w:rPr>
          <w:rFonts w:ascii="Arial" w:cs="Arial" w:eastAsia="Arial" w:hAnsi="Arial"/>
          <w:b/>
          <w:bCs/>
          <w:color w:val="1B2A4A"/>
          <w:sz w:val="22"/>
          <w:szCs w:val="22"/>
        </w:rPr>
        <w:t xml:space="preserve">4.5 </w:t>
      </w:r>
      <w:r>
        <w:rPr>
          <w:rFonts w:ascii="Arial" w:cs="Arial" w:eastAsia="Arial" w:hAnsi="Arial"/>
          <w:b/>
          <w:bCs/>
          <w:color w:val="1B2A4A"/>
          <w:sz w:val="22"/>
          <w:szCs w:val="22"/>
        </w:rPr>
        <w:t xml:space="preserve">Mécanisme des Comptes Courants d’Associés (CCA)</w:t>
      </w:r>
    </w:p>
    <w:p>
      <w:pPr>
        <w:spacing w:after="80" w:before="80"/>
        <w:jc w:val="both"/>
      </w:pPr>
      <w:r>
        <w:rPr>
          <w:rFonts w:ascii="Arial" w:cs="Arial" w:eastAsia="Arial" w:hAnsi="Arial"/>
          <w:b w:val="false"/>
          <w:bCs w:val="false"/>
          <w:i w:val="false"/>
          <w:iCs w:val="false"/>
          <w:color w:val="333333"/>
          <w:sz w:val="19"/>
          <w:szCs w:val="19"/>
        </w:rPr>
        <w:t xml:space="preserve">Les CCA constituent la couche la plus subordonnée de quasi-fonds propres après le capital social :</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PARAMÈTRE</w:t>
            </w:r>
          </w:p>
        </w:tc>
        <w:tc>
          <w:tcPr>
            <w:tcW w:type="dxa" w:w="582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CONDITIONS</w:t>
            </w:r>
          </w:p>
        </w:tc>
      </w:tr>
      <w:tr>
        <w:tc>
          <w:tcPr>
            <w:tcW w:type="dxa" w:w="3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Montant total</w:t>
            </w:r>
          </w:p>
        </w:tc>
        <w:tc>
          <w:tcPr>
            <w:tcW w:type="dxa" w:w="58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1 664 000 €</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Rémunération</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7,00 % par an (intérêts versés annuellement sous conditions)</w:t>
            </w:r>
          </w:p>
        </w:tc>
      </w:tr>
      <w:tr>
        <w:tc>
          <w:tcPr>
            <w:tcW w:type="dxa" w:w="3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Durée de blocage</w:t>
            </w:r>
          </w:p>
        </w:tc>
        <w:tc>
          <w:tcPr>
            <w:tcW w:type="dxa" w:w="58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 ans minimum — 5 ans maximum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Subordination</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Rang 3 — subordonné au prêt bancaire ET aux OC</w:t>
            </w:r>
          </w:p>
        </w:tc>
      </w:tr>
      <w:tr>
        <w:tc>
          <w:tcPr>
            <w:tcW w:type="dxa" w:w="3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Condition de remboursement</w:t>
            </w:r>
          </w:p>
        </w:tc>
        <w:tc>
          <w:tcPr>
            <w:tcW w:type="dxa" w:w="58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DSCR &gt; 1,25x ET CRD &lt; 4 M€ ET OC remboursées ou converties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Versement des intérêts</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Autorisé uniquement si DSCR &gt; 1,20x après paiement</w:t>
            </w:r>
          </w:p>
        </w:tc>
      </w:tr>
      <w:tr>
        <w:tc>
          <w:tcPr>
            <w:tcW w:type="dxa" w:w="3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Distribution de dividendes</w:t>
            </w:r>
          </w:p>
        </w:tc>
        <w:tc>
          <w:tcPr>
            <w:tcW w:type="dxa" w:w="58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Interdite tant que CCA non intégralement remboursés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Inscription comptable</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Passif du bilan SCI — traités en quasi-fonds propres</w:t>
            </w:r>
          </w:p>
        </w:tc>
      </w:tr>
    </w:tbl>
    <w:p>
      <w:pPr>
        <w:spacing w:after="40" w:before="40"/>
      </w:pPr>
    </w:p>
    <w:p>
      <w:pPr>
        <w:spacing w:after="80" w:before="80"/>
        <w:jc w:val="both"/>
      </w:pPr>
      <w:r>
        <w:rPr>
          <w:rFonts w:ascii="Arial" w:cs="Arial" w:eastAsia="Arial" w:hAnsi="Arial"/>
          <w:b w:val="false"/>
          <w:bCs w:val="false"/>
          <w:i w:val="false"/>
          <w:iCs w:val="false"/>
          <w:color w:val="333333"/>
          <w:sz w:val="19"/>
          <w:szCs w:val="19"/>
        </w:rPr>
        <w:t xml:space="preserve">Les CCA font l’objet d’une convention de compte courant signée entre chaque investisseur et la SCI, annexée au pacte d’associés.</w:t>
      </w:r>
    </w:p>
    <w:p>
      <w:pPr>
        <w:spacing w:after="40" w:before="40"/>
      </w:pPr>
    </w:p>
    <w:p>
      <w:pPr>
        <w:spacing w:after="100" w:before="180"/>
      </w:pPr>
      <w:r>
        <w:rPr>
          <w:rFonts w:ascii="Arial" w:cs="Arial" w:eastAsia="Arial" w:hAnsi="Arial"/>
          <w:b/>
          <w:bCs/>
          <w:color w:val="3D5A80"/>
          <w:sz w:val="20"/>
          <w:szCs w:val="20"/>
        </w:rPr>
        <w:t xml:space="preserve">Cash-out investisseurs — Ordre de remboursement</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13"/>
        <w:gridCol w:w="3013"/>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POSTE</w:t>
            </w:r>
          </w:p>
        </w:tc>
        <w:tc>
          <w:tcPr>
            <w:tcW w:type="dxa" w:w="301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MONTANT</w:t>
            </w:r>
          </w:p>
        </w:tc>
        <w:tc>
          <w:tcPr>
            <w:tcW w:type="dxa" w:w="301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 / TIMING</w:t>
            </w:r>
          </w:p>
        </w:tc>
      </w:tr>
      <w:tr>
        <w:tc>
          <w:tcPr>
            <w:tcW w:type="dxa" w:w="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w:t>
            </w:r>
          </w:p>
        </w:tc>
        <w:tc>
          <w:tcPr>
            <w:tcW w:type="dxa" w:w="2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Remboursement OC (nominal)</w:t>
            </w:r>
          </w:p>
        </w:tc>
        <w:tc>
          <w:tcPr>
            <w:tcW w:type="dxa" w:w="3013"/>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2 400 000 €</w:t>
            </w:r>
          </w:p>
        </w:tc>
        <w:tc>
          <w:tcPr>
            <w:tcW w:type="dxa" w:w="3013"/>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Produits de cession (An 2–3) ou refi</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Coupons OC PIK (An 1)</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168 000 €</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Capitalisé An 1, remboursé avec nominal</w:t>
            </w:r>
          </w:p>
        </w:tc>
      </w:tr>
      <w:tr>
        <w:tc>
          <w:tcPr>
            <w:tcW w:type="dxa" w:w="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3</w:t>
            </w:r>
          </w:p>
        </w:tc>
        <w:tc>
          <w:tcPr>
            <w:tcW w:type="dxa" w:w="2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Remboursement CCA</w:t>
            </w:r>
          </w:p>
        </w:tc>
        <w:tc>
          <w:tcPr>
            <w:tcW w:type="dxa" w:w="3013"/>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1 664 000 €</w:t>
            </w:r>
          </w:p>
        </w:tc>
        <w:tc>
          <w:tcPr>
            <w:tcW w:type="dxa" w:w="3013"/>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Après OC soldées + conditions DSCR/CRD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Intérêts CCA cumulés</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~350 000 € (5 ans à 7%)</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Cash-flows d’exploitation post-cessions</w:t>
            </w:r>
          </w:p>
        </w:tc>
      </w:tr>
      <w:tr>
        <w:tc>
          <w:tcPr>
            <w:tcW w:type="dxa" w:w="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5</w:t>
            </w:r>
          </w:p>
        </w:tc>
        <w:tc>
          <w:tcPr>
            <w:tcW w:type="dxa" w:w="2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Rachat equity investisseurs</w:t>
            </w:r>
          </w:p>
        </w:tc>
        <w:tc>
          <w:tcPr>
            <w:tcW w:type="dxa" w:w="3013"/>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160 000 € + prime</w:t>
            </w:r>
          </w:p>
        </w:tc>
        <w:tc>
          <w:tcPr>
            <w:tcW w:type="dxa" w:w="3013"/>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Exercice call option (Art. 5 pacte)</w:t>
            </w:r>
          </w:p>
        </w:tc>
      </w:tr>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TOTAL CASH-OUT INVESTISSEURS</w:t>
            </w:r>
          </w:p>
        </w:tc>
        <w:tc>
          <w:tcPr>
            <w:tcW w:type="dxa" w:w="301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Arial" w:cs="Arial" w:eastAsia="Arial" w:hAnsi="Arial"/>
                <w:b/>
                <w:bCs/>
                <w:i w:val="false"/>
                <w:iCs w:val="false"/>
                <w:color w:val="FFFFFF"/>
                <w:sz w:val="18"/>
                <w:szCs w:val="18"/>
              </w:rPr>
              <w:t xml:space="preserve">~4 742 000 €</w:t>
            </w:r>
          </w:p>
        </w:tc>
        <w:tc>
          <w:tcPr>
            <w:tcW w:type="dxa" w:w="301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MOIC ~1,4x sur 4 064 K€ investis</w:t>
            </w:r>
          </w:p>
        </w:tc>
      </w:tr>
    </w:tbl>
    <w:p>
      <w:r>
        <w:br w:type="page"/>
      </w:r>
    </w:p>
    <w:p>
      <w:pPr>
        <w:pStyle w:val="Heading2"/>
        <w:spacing w:after="120" w:before="240"/>
      </w:pPr>
      <w:r>
        <w:rPr>
          <w:rFonts w:ascii="Arial" w:cs="Arial" w:eastAsia="Arial" w:hAnsi="Arial"/>
          <w:b/>
          <w:bCs/>
          <w:color w:val="1B2A4A"/>
          <w:sz w:val="22"/>
          <w:szCs w:val="22"/>
        </w:rPr>
        <w:t xml:space="preserve">4.6 </w:t>
      </w:r>
      <w:r>
        <w:rPr>
          <w:rFonts w:ascii="Arial" w:cs="Arial" w:eastAsia="Arial" w:hAnsi="Arial"/>
          <w:b/>
          <w:bCs/>
          <w:color w:val="1B2A4A"/>
          <w:sz w:val="22"/>
          <w:szCs w:val="22"/>
        </w:rPr>
        <w:t xml:space="preserve">Principe de subordination des quasi-fonds propres</w:t>
      </w:r>
    </w:p>
    <w:p>
      <w:pPr>
        <w:spacing w:after="80" w:before="80"/>
        <w:jc w:val="both"/>
      </w:pPr>
      <w:r>
        <w:rPr>
          <w:rFonts w:ascii="Arial" w:cs="Arial" w:eastAsia="Arial" w:hAnsi="Arial"/>
          <w:b w:val="false"/>
          <w:bCs w:val="false"/>
          <w:i w:val="false"/>
          <w:iCs w:val="false"/>
          <w:color w:val="333333"/>
          <w:sz w:val="19"/>
          <w:szCs w:val="19"/>
        </w:rPr>
        <w:t xml:space="preserve">L’ensemble des apports en quasi-fonds propres (OC + CCA) est contractuellement subordonné à la dette bancaire senior. Ce principe est formalisé par une convention de subordination inter-créanciers, signée par l’ensemble des parties et annexée à l’offre de prêt.</w:t>
      </w:r>
    </w:p>
    <w:p>
      <w:pPr>
        <w:spacing w:after="40" w:before="40"/>
      </w:pPr>
    </w:p>
    <w:p>
      <w:pPr>
        <w:spacing w:after="80" w:before="80"/>
        <w:jc w:val="both"/>
      </w:pPr>
      <w:r>
        <w:rPr>
          <w:rFonts w:ascii="Arial" w:cs="Arial" w:eastAsia="Arial" w:hAnsi="Arial"/>
          <w:b/>
          <w:bCs/>
          <w:i w:val="false"/>
          <w:iCs w:val="false"/>
          <w:color w:val="333333"/>
          <w:sz w:val="19"/>
          <w:szCs w:val="19"/>
        </w:rPr>
        <w:t xml:space="preserve">Cascade de remboursement (waterfall) :</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763"/>
        <w:gridCol w:w="2763"/>
      </w:tblGrid>
      <w:tr>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RANG</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INSTRUMENT</w:t>
            </w:r>
          </w:p>
        </w:tc>
        <w:tc>
          <w:tcPr>
            <w:tcW w:type="dxa" w:w="276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MONTANT</w:t>
            </w:r>
          </w:p>
        </w:tc>
        <w:tc>
          <w:tcPr>
            <w:tcW w:type="dxa" w:w="276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RÈGLE DE PRIORITÉ</w:t>
            </w:r>
          </w:p>
        </w:tc>
      </w:tr>
      <w:tr>
        <w:tc>
          <w:tcPr>
            <w:tcW w:type="dxa" w:w="1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1B2A4A"/>
                <w:sz w:val="18"/>
                <w:szCs w:val="18"/>
              </w:rPr>
              <w:t xml:space="preserve">1</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1B2A4A"/>
                <w:sz w:val="18"/>
                <w:szCs w:val="18"/>
              </w:rPr>
              <w:t xml:space="preserve">Prêt bancaire senior</w:t>
            </w:r>
          </w:p>
        </w:tc>
        <w:tc>
          <w:tcPr>
            <w:tcW w:type="dxa" w:w="2763"/>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1B2A4A"/>
                <w:sz w:val="18"/>
                <w:szCs w:val="18"/>
              </w:rPr>
              <w:t xml:space="preserve">7 000 000 €</w:t>
            </w:r>
          </w:p>
        </w:tc>
        <w:tc>
          <w:tcPr>
            <w:tcW w:type="dxa" w:w="2763"/>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Priorité absolue — remboursé intégralement avant tout autre créancier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Obligations Convertibles (OC)</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2 400 000 €</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Remboursées si DSCR &gt; 1,25x ET CRD &lt; 4 M€</w:t>
            </w:r>
          </w:p>
        </w:tc>
      </w:tr>
      <w:tr>
        <w:tc>
          <w:tcPr>
            <w:tcW w:type="dxa" w:w="1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3</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Comptes Courants (CCA)</w:t>
            </w:r>
          </w:p>
        </w:tc>
        <w:tc>
          <w:tcPr>
            <w:tcW w:type="dxa" w:w="2763"/>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1 664 000 €</w:t>
            </w:r>
          </w:p>
        </w:tc>
        <w:tc>
          <w:tcPr>
            <w:tcW w:type="dxa" w:w="2763"/>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Après OC soldées, sous conditions DSCR/CRD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Capital social (Equity)</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310 000 €</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Dernier rang — dividendes interdits tant que CCA non soldés</w:t>
            </w:r>
          </w:p>
        </w:tc>
      </w:tr>
    </w:tbl>
    <w:p>
      <w:pPr>
        <w:spacing w:after="40" w:before="40"/>
      </w:pPr>
    </w:p>
    <w:p>
      <w:pPr>
        <w:spacing w:after="80" w:before="80"/>
        <w:jc w:val="both"/>
      </w:pPr>
      <w:r>
        <w:rPr>
          <w:rFonts w:ascii="Arial" w:cs="Arial" w:eastAsia="Arial" w:hAnsi="Arial"/>
          <w:b/>
          <w:bCs/>
          <w:i w:val="false"/>
          <w:iCs w:val="false"/>
          <w:color w:val="333333"/>
          <w:sz w:val="19"/>
          <w:szCs w:val="19"/>
        </w:rPr>
        <w:t xml:space="preserve">Engagements formels inclus dans la convention de subordination :</w:t>
      </w:r>
    </w:p>
    <w:p>
      <w:pPr>
        <w:pStyle w:val="ListParagraph"/>
        <w:numPr>
          <w:ilvl w:val="0"/>
          <w:numId w:val="4"/>
        </w:numPr>
        <w:spacing w:after="40" w:before="40"/>
      </w:pPr>
      <w:r>
        <w:rPr>
          <w:rFonts w:ascii="Arial" w:cs="Arial" w:eastAsia="Arial" w:hAnsi="Arial"/>
          <w:color w:val="333333"/>
          <w:sz w:val="19"/>
          <w:szCs w:val="19"/>
        </w:rPr>
        <w:t xml:space="preserve">Stand-still intégral : aucun remboursement d’OC ou de CCA tant que le DSCR est inférieur à 1,25x ou que le CRD bancaire est supérieur à 4 000 000 €.</w:t>
      </w:r>
    </w:p>
    <w:p>
      <w:pPr>
        <w:pStyle w:val="ListParagraph"/>
        <w:numPr>
          <w:ilvl w:val="0"/>
          <w:numId w:val="4"/>
        </w:numPr>
        <w:spacing w:after="40" w:before="40"/>
      </w:pPr>
      <w:r>
        <w:rPr>
          <w:rFonts w:ascii="Arial" w:cs="Arial" w:eastAsia="Arial" w:hAnsi="Arial"/>
          <w:color w:val="333333"/>
          <w:sz w:val="19"/>
          <w:szCs w:val="19"/>
        </w:rPr>
        <w:t xml:space="preserve">Non-distribution : aucun dividende versé tant que les CCA ne sont pas intégralement remboursés.</w:t>
      </w:r>
    </w:p>
    <w:p>
      <w:pPr>
        <w:pStyle w:val="ListParagraph"/>
        <w:numPr>
          <w:ilvl w:val="0"/>
          <w:numId w:val="4"/>
        </w:numPr>
        <w:spacing w:after="40" w:before="40"/>
      </w:pPr>
      <w:r>
        <w:rPr>
          <w:rFonts w:ascii="Arial" w:cs="Arial" w:eastAsia="Arial" w:hAnsi="Arial"/>
          <w:color w:val="333333"/>
          <w:sz w:val="19"/>
          <w:szCs w:val="19"/>
        </w:rPr>
        <w:t xml:space="preserve">Maintien des loyers : covenant de loyers bruts annuels ≥ 900 000 €/an.</w:t>
      </w:r>
    </w:p>
    <w:p>
      <w:pPr>
        <w:pStyle w:val="ListParagraph"/>
        <w:numPr>
          <w:ilvl w:val="0"/>
          <w:numId w:val="4"/>
        </w:numPr>
        <w:spacing w:after="40" w:before="40"/>
      </w:pPr>
      <w:r>
        <w:rPr>
          <w:rFonts w:ascii="Arial" w:cs="Arial" w:eastAsia="Arial" w:hAnsi="Arial"/>
          <w:color w:val="333333"/>
          <w:sz w:val="19"/>
          <w:szCs w:val="19"/>
        </w:rPr>
        <w:t xml:space="preserve">Veto banque : accord préalable de la banque pour toute cession &gt; 20 % de la surface totale.</w:t>
      </w:r>
    </w:p>
    <w:p>
      <w:pPr>
        <w:pStyle w:val="ListParagraph"/>
        <w:numPr>
          <w:ilvl w:val="0"/>
          <w:numId w:val="4"/>
        </w:numPr>
        <w:spacing w:after="40" w:before="40"/>
      </w:pPr>
      <w:r>
        <w:rPr>
          <w:rFonts w:ascii="Arial" w:cs="Arial" w:eastAsia="Arial" w:hAnsi="Arial"/>
          <w:color w:val="333333"/>
          <w:sz w:val="19"/>
          <w:szCs w:val="19"/>
        </w:rPr>
        <w:t xml:space="preserve">Accélération croisée : en cas de défaut sur le prêt bancaire, les OC et CCA deviennent exigibles mais restent subordonnés.</w:t>
      </w:r>
    </w:p>
    <w:p>
      <w:pPr>
        <w:pStyle w:val="ListParagraph"/>
        <w:numPr>
          <w:ilvl w:val="0"/>
          <w:numId w:val="4"/>
        </w:numPr>
        <w:spacing w:after="40" w:before="40"/>
      </w:pPr>
      <w:r>
        <w:rPr>
          <w:rFonts w:ascii="Arial" w:cs="Arial" w:eastAsia="Arial" w:hAnsi="Arial"/>
          <w:color w:val="333333"/>
          <w:sz w:val="19"/>
          <w:szCs w:val="19"/>
        </w:rPr>
        <w:t xml:space="preserve">Reporting : comptes certifiés + tableau de bord KPIs (DSCR, LTV, taux d’occupation) transmis annuellement à la banque.</w:t>
      </w:r>
    </w:p>
    <w:p>
      <w:pPr>
        <w:spacing w:after="40" w:before="40"/>
      </w:pPr>
    </w:p>
    <w:p>
      <w:pPr>
        <w:spacing w:after="80" w:before="80"/>
        <w:jc w:val="both"/>
      </w:pPr>
      <w:r>
        <w:rPr>
          <w:rFonts w:ascii="Arial" w:cs="Arial" w:eastAsia="Arial" w:hAnsi="Arial"/>
          <w:b w:val="false"/>
          <w:bCs w:val="false"/>
          <w:i/>
          <w:iCs/>
          <w:color w:val="333333"/>
          <w:sz w:val="19"/>
          <w:szCs w:val="19"/>
        </w:rPr>
        <w:t xml:space="preserve">La convention de subordination sera rédigée par Sextant Avocats et soumise au service juridique de la banque pour validation avant déblocage des fonds.</w:t>
      </w:r>
    </w:p>
    <w:p>
      <w:pPr>
        <w:spacing w:after="40" w:before="40"/>
      </w:pPr>
    </w:p>
    <w:p>
      <w:pPr>
        <w:spacing w:after="40" w:before="40"/>
      </w:pPr>
    </w:p>
    <w:p>
      <w:pPr>
        <w:pBdr>
          <w:top w:val="single" w:color="C5A55A" w:sz="4" w:space="1"/>
        </w:pBdr>
        <w:spacing w:after="100" w:before="400"/>
        <w:jc w:val="center"/>
      </w:pPr>
    </w:p>
    <w:p>
      <w:pPr>
        <w:spacing w:after="60"/>
        <w:jc w:val="center"/>
      </w:pPr>
      <w:r>
        <w:rPr>
          <w:rFonts w:ascii="Arial" w:cs="Arial" w:eastAsia="Arial" w:hAnsi="Arial"/>
          <w:i/>
          <w:iCs/>
          <w:color w:val="666666"/>
          <w:sz w:val="16"/>
          <w:szCs w:val="16"/>
        </w:rPr>
        <w:t xml:space="preserve">Document confidentiel — SCI District One — Avril 2026</w:t>
      </w:r>
    </w:p>
    <w:p>
      <w:pPr>
        <w:jc w:val="center"/>
      </w:pPr>
      <w:r>
        <w:rPr>
          <w:rFonts w:ascii="Arial" w:cs="Arial" w:eastAsia="Arial" w:hAnsi="Arial"/>
          <w:i/>
          <w:iCs/>
          <w:color w:val="666666"/>
          <w:sz w:val="16"/>
          <w:szCs w:val="16"/>
        </w:rPr>
        <w:t xml:space="preserve">Toute reproduction ou diffusion est strictement interdite sans autorisation écrite du porteur de projet.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CONFIDENTIEL — SCI District One — Avril 2026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2" w:space="1"/>
      </w:pBdr>
      <w:tabs>
        <w:tab w:val="right" w:pos="9026"/>
      </w:tabs>
    </w:pPr>
    <w:r>
      <w:rPr>
        <w:rFonts w:ascii="Arial" w:cs="Arial" w:eastAsia="Arial" w:hAnsi="Arial"/>
        <w:b/>
        <w:bCs/>
        <w:color w:val="1B2A4A"/>
        <w:sz w:val="14"/>
        <w:szCs w:val="14"/>
      </w:rPr>
      <w:t xml:space="preserve">DISTRICT ONE · D1</w:t>
    </w:r>
    <w:r>
      <w:rPr>
        <w:rFonts w:ascii="Arial" w:cs="Arial" w:eastAsia="Arial" w:hAnsi="Arial"/>
        <w:color w:val="666666"/>
        <w:sz w:val="14"/>
        <w:szCs w:val="14"/>
      </w:rPr>
      <w:t xml:space="preserve">	Point 4 — Structure Juridique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2026-04-13T11:36:17.216Z</dcterms:created>
  <dcterms:modified xsi:type="dcterms:W3CDTF">2026-04-13T11:36:17.217Z</dcterms:modified>
</cp:coreProperties>
</file>

<file path=docProps/custom.xml><?xml version="1.0" encoding="utf-8"?>
<Properties xmlns="http://schemas.openxmlformats.org/officeDocument/2006/custom-properties" xmlns:vt="http://schemas.openxmlformats.org/officeDocument/2006/docPropsVTypes"/>
</file>