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DISTRICT ONE  ·  D1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Acquisition SCI Jacimmo — Vaucluse (84)</w:t>
      </w:r>
    </w:p>
    <w:p>
      <w:pPr>
        <w:pBdr>
          <w:bottom w:val="single" w:color="C5A55A" w:sz="6" w:space="1"/>
        </w:pBdr>
        <w:spacing w:after="300"/>
        <w:jc w:val="center"/>
      </w:pPr>
    </w:p>
    <w:p>
      <w:pPr>
        <w:spacing w:after="40" w:before="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POINT 2 — ACTIFS IMMOBILIERS</w:t>
      </w:r>
    </w:p>
    <w:p>
      <w:pPr>
        <w:spacing w:after="60"/>
        <w:jc w:val="center"/>
      </w:pPr>
      <w:r>
        <w:rPr>
          <w:rFonts w:ascii="Arial" w:cs="Arial" w:eastAsia="Arial" w:hAnsi="Arial"/>
          <w:color w:val="C5A55A"/>
          <w:sz w:val="20"/>
          <w:szCs w:val="20"/>
        </w:rPr>
        <w:t xml:space="preserve">Promesse · Budget · Surfaces · Baux · Échéancier · État locatif · Occupation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VERSION V2 — AVRIL 2026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Opérateur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SCI District One (en formation)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Vendeur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SCI Jacimmo (SIRET 353 021 801 00017)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Actif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Immeuble mixte 10 092 m² — Le Pontet (84130)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Prix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10 000 000 €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Avril 2026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Statut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CONFIDENTIEL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Ce document est confidentiel et strictement réservé à son destinataire.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5A55A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ACTIFS IMMOBILIERS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2.1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Promesse notariée d’acquisition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La SCI District One (en cours de constitution) a signé une promesse synallagmatique de vente portant sur l’ensemble immobilier détenu par la SCI Jacimmo (SIRET 353 021 801 00017), situé ZI de Fontvert, Chemin du Périgord, 84130 Le Pontet.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Vendeur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SCI Jacimmo — SIRET 353 021 801 00017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Acquéreur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SCI District One (en cours de constitution à l’IS)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Nature de l’actif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Immeuble mixte commerces &amp; bureaux — 5 bâtiments, 15 lots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Adresse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ZI de Fontvert, Chemin du Périgord, 84130 Le Pontet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Surface totale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10 092 m² (8 870 m² occupés + 1 222 m² vacants)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Prix de vente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10 000 000 € net vendeur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Référence cadastrale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À confirmer par le notaire (parcelle unique ZI Fontvert)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Conditions suspensives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Obtention du prêt bancaire (7 M€), constitution de la SCI, libération des fonds propres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Délai de réalisation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 mois à compter de la signature de la promesse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Notaire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Cabinet à désigner — Avignon / Le Pontet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Régime fiscal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Droits d’enregistrement (pas de TVA sur immeuble &gt; 5 ans)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2.2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Prix d’acquisition et budget global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 budget global de l’opération s’élève à 11 374 000 €, incluant le prix d’acquisition, les frais de notaire, les travaux de remise en état et le fonds de roulement.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 (€)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TOTAL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Prix d’acquisition net vendeur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10 000 000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87,9 %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Frais de notaire &amp; droits d’enregistrement (~7,5 %)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6,6 %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Travaux de remise en état (lots vacants)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1,8 %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Frais de montage (avocats, due diligence, audits)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0,9 %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Frais de garantie (hypothèque, nantissement)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0,7 %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Fonds de roulement (3 mois de charges)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2,2 %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EMPLOIS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11 374 000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Plan de financement 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 (€)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TOTAL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Prêt bancaire senior (4,50 % / 15 ans)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7 000 000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61,5 %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Obligations Convertibles (OC — 7 %)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2 400 000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21,1 %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Comptes Courants d’Associés (CCA — 7 %)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1 664 000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14,6 %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Capital social (fondateur + investisseurs)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310 000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2,7 %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RESSOURCES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11 374 000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100 %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2.3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Tableau des surfaces par bâtiment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L’immeuble se compose de 5 bâtiments distincts implantés sur une parcelle unique en zone d’activité de Fontvert 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1413"/>
        <w:gridCol w:w="14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BÂTIMENT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LOCATAIRES /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LOYERS/AN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STRATÉGIE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Bât.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Picard, Mobalpa, You Jump 84, Tremplin 84, Centerfêtes, Grain + 2 lots vacants 1er ét.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5 660 m²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568 443 €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Mixte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Bât.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Givaudan (ex-Naturex) — laboratoires &amp; bureaux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2 050 m²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133 684 €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Cession An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Bât.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3ID Rénovation + 2 lots vacants 1er étage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842 m²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93 619 €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Bât.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Kiloutou — location matériel BTP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630 m²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101 861 €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Bât.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SCI Vital — bail à construction + sous-locataires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680 m²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120 000 €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Cession An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 baux actifs + 4 lots vacants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10 092 m²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887 307 €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Note : le bâtiment 1 concentre 56 % de la surface totale et 64 % des loyers. Les bâtiments 2 et 5, destinés à la cession en An 3, représentent 27 % de la surface et 29 % des loyers.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2.4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Baux commerciaux en cours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L’immeuble est occupé par 11 locataires sous baux commerciaux (3/6/9 ou dérogatoires). Tous les loyers ci-dessous sont vérifiés par les factures T2 2026 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1200"/>
        <w:gridCol w:w="1100"/>
        <w:gridCol w:w="1063"/>
        <w:gridCol w:w="106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BÂT.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LOYER/AN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€/M²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YOU JUMP 84 (CPL Avignon)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3 250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218 075 €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67 €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GIVAUDAN (ex-Naturex)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2 050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133 684 €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65 €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SCI VITAL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680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120 000 €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constr.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KILOUTOU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630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101 861 €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162 €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MOBALPA (Le Sarment)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470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78 299 €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167 €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PICARD Surgelés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480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73 224 €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153 €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TREMPLIN 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415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58 531 €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141 €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CENTERFÊTES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330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47 317 €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143 €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Association GRAIN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265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28 697 €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108 €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3ID RÉNOVATION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300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27 619 €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92 €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11 BAUX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8 870 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887 307 €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100 €</w:t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9"/>
          <w:szCs w:val="19"/>
        </w:rPr>
        <w:t xml:space="preserve">Note SCI VITAL : le loyer de 120 000 €/an se décompose en 14 886 € de prime d’occupation (bail à construction) + 105 114 € de sous-locations. Le bail à construction arrive à échéance en 2031.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2.5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Échéancier des loyers — Projection 5 ans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Hypothèses : indexation ILC/ILAT +2 %/an, commercialisation des vacants 100 % dès An 1, cessions partielles An 2 (You Jump) et An 3 (Givaudan + SCI Vital).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313"/>
        <w:gridCol w:w="131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 3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 4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Loyers réels (11 baux)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887 307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905 053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923 154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941 617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960 450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 Vacants commercialisés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131 000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133 620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136 292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139 018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141 799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= Total brut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1 018 307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1 038 673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1 059 446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1 080 635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1 102 249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- Cession You Jump (An 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- 222 437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- 226 885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- 231 423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- 236 051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- Cession Givaudan+Vital (An 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- 258 758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- 263 933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- 269 212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= LOYERS CONSERVÉS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1 018 307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816 236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573 803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585 279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596 986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Après cessions, le portefeuille conservé génère ~585 000 €/an dès l’An 4 avec une indexation régulière de +2 %/an.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2.6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État locatif consolidé — 15 lots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L’état locatif ci-dessous consolide les 11 baux actifs et les 4 lots vacants avec indication de la stratégie retenue (conservation ou cession) 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100"/>
        <w:gridCol w:w="1100"/>
        <w:gridCol w:w="900"/>
        <w:gridCol w:w="1100"/>
        <w:gridCol w:w="1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LOCATAIRE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BÂT.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LOYER/AN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€/M²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STRATÉGIE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YOU JUMP 84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3 250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218 075 €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67 €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CESSION AN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GIVAUDAN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2 050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133 684 €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65 €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CESSION AN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SCI VITAL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120 000 €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constr.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CESSION AN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KILOUTOU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101 861 €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162 €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MOBALPA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78 299 €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167 €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PICARD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480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73 224 €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153 €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TREMPLIN 84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415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58 531 €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141 €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CENTERFÊTES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330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47 317 €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143 €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GRAIN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265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28 697 €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108 €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3ID RÉNOVATION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300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27 619 €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92 €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Bail comm.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S/TOTAL RÉELS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8 870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887 307 €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 baux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1er ét. libre Naturex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416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48 000 € 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115 €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1er ét. libre 3ID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126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18 000 € 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143 €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Bureaux libres 1er 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10 000 € 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167 €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Bureaux libres 1er 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330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55 000 € 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167 €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8"/>
                <w:szCs w:val="18"/>
              </w:rPr>
              <w:t xml:space="preserve">VACANT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GÉNÉRAL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10 092 m²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1 018 307 €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101 €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15 lots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9"/>
          <w:szCs w:val="19"/>
        </w:rPr>
        <w:t xml:space="preserve">* Loyers cibles à la commercialisation. Les 4 lots vacants totalisent 1 222 m² et un potentiel locatif de 131 000 €/an.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2.7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Taux d’occupation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ACTUEL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Surface occupée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8 870 m²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9 802 m²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Surface vacante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1 222 m²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290 m² (friction)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Taux d’occupation (surface)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71 %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90 %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Loyers réels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887 307 €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1 018 307 €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Revenus vacants à capter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+131 000 €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Nombre de locataires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13-14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Plan de commercialisation des vacants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1er étage Naturex (416 m²) : bureaux rénovés, loyer cible 115 €/m² = 48 000 €/an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1er étage 3ID (126 m²) : bureaux attenants, loyer cible 143 €/m² = 18 000 €/an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Bureaux 1er A (60 m²) : petit lot indépendant, loyer cible 167 €/m² = 10 000 €/an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Bureaux 1er B (330 m²) : plateau divisible, loyer cible 167 €/m² = 55 000 €/an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Budget travaux de remise en état : 200 000 € (provisionné dans le budget global). Délai de commercialisation estimé : 6-12 mois.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top w:val="single" w:color="C5A55A" w:sz="4" w:space="1"/>
        </w:pBdr>
        <w:spacing w:after="100" w:before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Document confidentiel — SCI District One — District One (D1) — Avril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Toute reproduction ou diffusion est strictement interdite sans autorisation écrite du porteur de projet.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CONFIDENTIEL — SCI District One — Avril 2026 —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55A" w:sz="2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4"/>
        <w:szCs w:val="14"/>
      </w:rPr>
      <w:t xml:space="preserve">DISTRICT ONE · D1</w:t>
    </w:r>
    <w:r>
      <w:rPr>
        <w:rFonts w:ascii="Arial" w:cs="Arial" w:eastAsia="Arial" w:hAnsi="Arial"/>
        <w:color w:val="666666"/>
        <w:sz w:val="14"/>
        <w:szCs w:val="14"/>
      </w:rPr>
      <w:t xml:space="preserve">	Point 2 — Actifs Immobiliers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2026-04-13T11:24:32.474Z</dcterms:created>
  <dcterms:modified xsi:type="dcterms:W3CDTF">2026-04-13T11:24:32.476Z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