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DISTRICT ONE  ·  D1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Acquisition SCI Jacimmo — Vaucluse (84)</w:t>
      </w:r>
    </w:p>
    <w:p>
      <w:pPr>
        <w:pBdr>
          <w:bottom w:val="single" w:color="C5A55A" w:sz="6" w:space="1"/>
        </w:pBdr>
        <w:spacing w:after="300"/>
        <w:jc w:val="center"/>
      </w:pPr>
    </w:p>
    <w:p>
      <w:pPr>
        <w:spacing w:after="40" w:before="4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POINT 1 — NOTE DE SYNTHÈSE PROJET</w:t>
      </w:r>
    </w:p>
    <w:p>
      <w:pPr>
        <w:spacing w:after="60"/>
        <w:jc w:val="center"/>
      </w:pPr>
      <w:r>
        <w:rPr>
          <w:rFonts w:ascii="Arial" w:cs="Arial" w:eastAsia="Arial" w:hAnsi="Arial"/>
          <w:color w:val="C5A55A"/>
          <w:sz w:val="20"/>
          <w:szCs w:val="20"/>
        </w:rPr>
        <w:t xml:space="preserve">Présentation synthétique de l’opération</w:t>
      </w:r>
    </w:p>
    <w:p>
      <w:pPr>
        <w:spacing w:after="40" w:before="40"/>
      </w:pP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VERSION V2 — AVRIL 2026</w:t>
      </w:r>
    </w:p>
    <w:p>
      <w:pPr>
        <w:spacing w:after="40" w:before="40"/>
      </w:pPr>
    </w:p>
    <w:p>
      <w:pPr>
        <w:spacing w:after="40" w:before="4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</w:tblGrid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Opérateur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SCI District One (en formation)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Vendeur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SCI Jacimmo (SIRET 353 021 801 00017)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Régime fiscal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SCI soumise à l’IS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Prêt demandé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7 000 000 € (LTV 70 %)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FP &amp; quasi-FP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4 374 000 € (38,5 % du total)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Date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Avril 2026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Statut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CONFIDENTIEL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Ce document est confidentiel et strictement réservé à son destinataire.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5A55A"/>
          <w:sz w:val="28"/>
          <w:szCs w:val="28"/>
        </w:rPr>
        <w:t xml:space="preserve">1. </w:t>
      </w: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PRÉSENTATION SYNTHÉTIQUE DE L’OPÉRATION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1.1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L’opération en bref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La SCI District One projette l’acquisition d’un immeuble mixte (commerces et bureaux) de 10 092 m², situé ZI de Fontvert, Chemin du Périgord, 84130 Le Pontet (Grand Avignon). L’actif est détenu par la SCI Jacimmo (SIRET 353 021 801 00017).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L’immeuble est composé de 5 bâtiments distincts totalisant 15 lots, dont 11 baux actifs générant 887 307 €/an de loyers réels vérifiés (factures T2 2026) et 4 lots vacants représentant un potentiel locatif additionnel de 131 000 €/an.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PARAMÈTRE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Prix d’acquisition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10 000 000 €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Total emplois (incl. frais, travaux, FDR)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11 374 000 €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Surface totale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10 092 m² (5 bâtiments, 15 lots)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Taux d’occupation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71 % (8 870 m² occupés / 10 092 m²)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Loyers réels An 1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887 307 €/an (factures vérifiées T2 2026)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Loyers potentiels (incl. vacants)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1 018 307 €/an (taux d’occupation cible 90 %)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Rendement brut réel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8,9 % (887K / 10M)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Rendement brut potentiel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10,2 % (1 018K / 10M)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Localisation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ZI de Fontvert, Chemin du Périgord, Le Pontet 84130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Vendeur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SCI Jacimmo (SIRET 353 021 801 00017)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1.2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Description des actifs immobiliers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L’immeuble se compose de 5 bâtiments implantés sur une parcelle unique en zone d’activité de Fontvert, l’une des principales ZI du Grand Avignon. L’accès se fait par le Chemin du Périgord, à proximité directe de l’autoroute A7 (sortie Avignon Nord) et de la zone commerciale d’Auchan Le Pontet.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2163"/>
        <w:gridCol w:w="1600"/>
        <w:gridCol w:w="1563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BÂT.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LOCATAIRES PRINCIPAUX</w:t>
            </w:r>
          </w:p>
        </w:tc>
        <w:tc>
          <w:tcPr>
            <w:tcW w:type="dxa" w:w="21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SURFACE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LOYERS/AN</w:t>
            </w:r>
          </w:p>
        </w:tc>
        <w:tc>
          <w:tcPr>
            <w:tcW w:type="dxa" w:w="15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STRATÉGIE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Bât.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Picard, Mobalpa, You Jump 84, Tremplin, Centerfêtes, Grain</w:t>
            </w:r>
          </w:p>
        </w:tc>
        <w:tc>
          <w:tcPr>
            <w:tcW w:type="dxa" w:w="21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5 270 m²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503 443 €</w:t>
            </w:r>
          </w:p>
        </w:tc>
        <w:tc>
          <w:tcPr>
            <w:tcW w:type="dxa" w:w="15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Mixte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Bât.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Givaudan (ex-Naturex)</w:t>
            </w:r>
          </w:p>
        </w:tc>
        <w:tc>
          <w:tcPr>
            <w:tcW w:type="dxa" w:w="21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2 050 m²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133 684 €</w:t>
            </w:r>
          </w:p>
        </w:tc>
        <w:tc>
          <w:tcPr>
            <w:tcW w:type="dxa" w:w="15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Cession An 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Bât.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3ID Rénovation + vacants étage</w:t>
            </w:r>
          </w:p>
        </w:tc>
        <w:tc>
          <w:tcPr>
            <w:tcW w:type="dxa" w:w="21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842 m²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93 619 €</w:t>
            </w:r>
          </w:p>
        </w:tc>
        <w:tc>
          <w:tcPr>
            <w:tcW w:type="dxa" w:w="15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Conservé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Bât. 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Kiloutou</w:t>
            </w:r>
          </w:p>
        </w:tc>
        <w:tc>
          <w:tcPr>
            <w:tcW w:type="dxa" w:w="21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630 m²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101 861 €</w:t>
            </w:r>
          </w:p>
        </w:tc>
        <w:tc>
          <w:tcPr>
            <w:tcW w:type="dxa" w:w="15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Conservé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Bât.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SCI Vital</w:t>
            </w:r>
          </w:p>
        </w:tc>
        <w:tc>
          <w:tcPr>
            <w:tcW w:type="dxa" w:w="21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680 m²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120 000 €</w:t>
            </w:r>
          </w:p>
        </w:tc>
        <w:tc>
          <w:tcPr>
            <w:tcW w:type="dxa" w:w="15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Cession An 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11 baux actifs + 4 vacants</w:t>
            </w:r>
          </w:p>
        </w:tc>
        <w:tc>
          <w:tcPr>
            <w:tcW w:type="dxa" w:w="21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10 092 m²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887 307 €</w:t>
            </w:r>
          </w:p>
        </w:tc>
        <w:tc>
          <w:tcPr>
            <w:tcW w:type="dxa" w:w="15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Les locataires comprennent des enseignes nationales (Picard Surgelés, Kiloutou, Mobalpa/Le Sarment) et un locataire international (Givaudan, ex-Naturex, groupe suisse CA &gt;7 Mds €). Le mix locatif est diversifié : commerce alimentaire, bricolage, loisirs (You Jump), événementiel (Centerfêtes), associatif, bureaux.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1.3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Stratégie de détention : patrimoniale long terme avec cessions sélectives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La stratégie repose sur trois phases distinctes :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9"/>
          <w:szCs w:val="19"/>
        </w:rPr>
        <w:t xml:space="preserve">Phase 1 — Stabilisation (An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Exploitation du portefeuille complet (11 baux, 887 307 €/an)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Commercialisation des 4 lots vacants (131 000 €/an potentiel) — cible 100 % An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Service de la dette bancaire normal (mensualités 54 316 €/mois)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9"/>
          <w:szCs w:val="19"/>
        </w:rPr>
        <w:t xml:space="preserve">Phase 2 — Cessions partielles (An 2-3)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An 2 : cession lot You Jump 84 (3 250 m², 218 075 €/an) — prix estimé 2 800 000 €, net 2 535 000 €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An 3 : cession lot Givaudan (2 050 m², 133 684 €/an) + lot SCI Vital (680 m², 120 000 €/an) — prix estimé 3 833 000 €, net 3 239 000 €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Produits de cession affectés au remboursement anticipé du prêt bancaire → PRÊT SOLDÉ AN 4 (11 ans d’avance)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9"/>
          <w:szCs w:val="19"/>
        </w:rPr>
        <w:t xml:space="preserve">Phase 3 — Rente patrimoniale (An 4-15)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Portefeuille résiduel : 7 locataires conservés, 546 548 €/an de loyers (incl. vacants commercialisés)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Zéro dette bancaire résiduelle → cash-flow net ~456 548 €/an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An 5 : refinancement OC (2 568 K€ sur 10 ans) pour sortir les investisseurs OC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An 5-14 : remboursement progressif CCA + equity investisseurs sur cash-flows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An 15 : FONDATEUR SEUL — cash-flow rente ~634 000 €/an (avec indexation 2 %/an)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1.4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Rendement résiduel après cessions — L’effet multiplicateur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Les cessions partielles transforment radicalement le profil de rendement du portefeuille conservé. En cédant les lots à faible rendement au m² (You Jump à 67 €/m², Givaudan à 65 €/m²), la SCI conserve les lots premium (Kiloutou à 162 €/m², Mobalpa à 167 €/m², Picard à 153 €/m²).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63"/>
        <w:gridCol w:w="2763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INDICATEUR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AVANT CESSIONS (AN 1)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APRÈS CESSIONS (AN 4+)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Loyers bruts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887 307 €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546 548 € (7 locataires + vacants)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Valeur des lots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10 000 000 €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3 167 000 €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Dette bancaire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7 000 000 €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0 € 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Cash-flow net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145 510 €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456 548 €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Rendement brut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8,9 %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17,3 %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Rendement net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n/a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14,4 %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Multiplicateur rendement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x1,9</w:t>
            </w:r>
          </w:p>
        </w:tc>
      </w:tr>
    </w:tbl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9"/>
          <w:szCs w:val="19"/>
        </w:rPr>
        <w:t xml:space="preserve">Le rendement brut passe de 8,9 % à 17,3 % — soit un multiplicateur de x1,9. Le rendement net atteint 14,4 % avec zéro dette résiduelle. Cette performance est rendue possible par la sélectivité des cessions : on cède les lots les moins rentables au m² pour rembourser intégralement le prêt, et on conserve les lots premium qui génèrent un cash-flow net de 456 548 €/an.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1.5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Montant de dette bancaire sollicitée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PARAMÈTRE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CONDITIONS PROPOSÉES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Montant sollicité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7 000 000 €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LTV initiale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70 % (7M / 10M)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Taux d’intérêt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4,50 % fixe (simulation)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Durée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15 ans (180 mensualités)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Mensualité constante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54 316 €/mois (651 797 €/an)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DSCR An 1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1,28x (seuil standard : 1,20x)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DSCR post-cessions (An 4+)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35x (prêt quasi-soldé)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LTV post-cessions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&lt; 5 % (CRD résiduel ~121 K€)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Remboursement anticipé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Oui — sur produits de cession (An 2-3)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Différé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Non demandé (amortissement immédiat)</w:t>
            </w:r>
          </w:p>
        </w:tc>
      </w:tr>
    </w:tbl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Le prêt est remboursé quasi-intégralement dès l’An 4 grâce aux produits de cession. Le CRD résiduel après cessions n’est que de ~121 000 €. La banque bénéficie donc d’une durée réelle d’exposition au risque de 3-4 ans (vs 15 ans contractuels).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1.6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Schéma investisseurs — Equity / CCA / OC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1600"/>
        <w:gridCol w:w="16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RÉMUN.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Capital social — Fondateur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150 000 €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1,3 %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Dividendes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Rang 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Capital social — Investisseurs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160 000 €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1,4 %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Dividendes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Rang 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Obligations Convertibles (OC)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2 400 000 €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21,1 %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7 % PIK/cash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Rang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Comptes Courants (CCA)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1 664 000 €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14,6 %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7 % annuel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Rang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 FP &amp; QUASI-FP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4 374 000 €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38,5 %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Prêt bancaire senior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7 000 000 €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61,5 %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4,50 % fixe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Rang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 EMPLOIS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11 374 000 €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100 %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Les quasi-fonds propres (OC + CCA) sont contractuellement subordonnés au prêt bancaire senior. La convention de subordination inter-créanciers sera annexée à l’offre de prêt. Aucun remboursement d’OC ou de CCA ne peut intervenir tant que le DSCR est inférieur à 1,25x ou que le CRD bancaire est supérieur à 4 000 000 €.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1.7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Optimisation fiscale — Amortissement par décomposition (SCI à l’IS)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La SCI District One étant soumise à l’IS, elle amortit l’immeuble comptablement selon la méthode de décomposition par composants (article 311-2 du PCG, règlement ANC). Le terrain (15 % du prix, soit 1 500 000 €) n’est pas amortissable. La base amortissable est de 8 500 000 €.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1800"/>
        <w:gridCol w:w="1100"/>
        <w:gridCol w:w="2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COMPOSANT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DOTATION/AN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Structure / gros œuvre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55 %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4 675 000 €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 ans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93 500 €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Toiture / étanchéité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10 %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850 000 €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25 ans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34 000 €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Installations techniques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20 %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1 700 000 €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15 ans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113 333 €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Agencements intérieurs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10 %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850 000 €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 ans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85 000 €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Façades / ravalement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5 %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425 000 €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 ans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21 250 €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100 %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8 500 000 €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347 083 €</w:t>
            </w:r>
          </w:p>
        </w:tc>
      </w:tr>
    </w:tbl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9"/>
          <w:szCs w:val="19"/>
        </w:rPr>
        <w:t xml:space="preserve">Impact fiscal An 1 :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26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MONTANT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Loyers encaissés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887 307 €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- Charges d’exploitation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- 90 000 €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- Intérêts bancaires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- 315 000 €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- Intérêts OC (PIK — non décaissé mais déductible)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- 168 000 €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- Intérêts CCA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- 116 480 €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- Dotation amortissement par composants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- 347 083 €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= RÉSULTAT FISCAL AN 1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- 149 256 € (DÉFICIT)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IS dû An 1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0 €</w:t>
            </w:r>
          </w:p>
        </w:tc>
      </w:tr>
    </w:tbl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Le déficit fiscal de 149 256 € est reportable sur les exercices suivants. Combiné à la déductibilité des intérêts d’emprunt et à la dotation aux amortissements (347 083 €/an), la SCI ne paiera aucun IS pendant au moins 5 ans. L’économie fiscale cumulée est estimée à ~350 000 €.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19"/>
          <w:szCs w:val="19"/>
        </w:rPr>
        <w:t xml:space="preserve">Cet avantage est spécifique au régime IS : en SCI à l’IR, l’amortissement comptable n’est pas possible et les loyers seraient imposés au barème progressif des associés.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1.8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Points forts du projet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Rendement brut réel de 8,9 % (loyers vérifiés, factures T2 2026) — potentiel 10,2 % avec commercialisation des vacants</w:t>
      </w:r>
    </w:p>
    <w:p>
      <w:pPr>
        <w:pStyle w:val="ListParagraph"/>
        <w:numPr>
          <w:ilvl w:val="0"/>
          <w:numId w:val="5"/>
        </w:numPr>
        <w:spacing w:after="6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Rendement résiduel de 17,3 % après cessions et remboursement intégral du prêt — multiplicateur x1,9</w:t>
      </w:r>
    </w:p>
    <w:p>
      <w:pPr>
        <w:pStyle w:val="ListParagraph"/>
        <w:numPr>
          <w:ilvl w:val="0"/>
          <w:numId w:val="5"/>
        </w:numPr>
        <w:spacing w:after="6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Locataires de qualité : enseignes nationales (Picard, Kiloutou, Mobalpa) et internationale (Givaudan — CA &gt;7 Mds €)</w:t>
      </w:r>
    </w:p>
    <w:p>
      <w:pPr>
        <w:pStyle w:val="ListParagraph"/>
        <w:numPr>
          <w:ilvl w:val="0"/>
          <w:numId w:val="5"/>
        </w:numPr>
        <w:spacing w:after="6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Diversification : 11 locataires, 5 bâtiments, mix commerce/loisirs/bureaux — aucun locataire ne représente &gt;25 % des loyers</w:t>
      </w:r>
    </w:p>
    <w:p>
      <w:pPr>
        <w:pStyle w:val="ListParagraph"/>
        <w:numPr>
          <w:ilvl w:val="0"/>
          <w:numId w:val="5"/>
        </w:numPr>
        <w:spacing w:after="6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Prêt soldé An 4 (11 ans d’avance) grâce aux cessions partielles — durée réelle d’exposition au risque de 3-4 ans pour la banque</w:t>
      </w:r>
    </w:p>
    <w:p>
      <w:pPr>
        <w:pStyle w:val="ListParagraph"/>
        <w:numPr>
          <w:ilvl w:val="0"/>
          <w:numId w:val="5"/>
        </w:numPr>
        <w:spacing w:after="6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Fiscalité optimisée : amortissement par composants (347 K€/an) + intérêts déductibles → IS = 0 € pendant au moins 5 ans</w:t>
      </w:r>
    </w:p>
    <w:p>
      <w:pPr>
        <w:pStyle w:val="ListParagraph"/>
        <w:numPr>
          <w:ilvl w:val="0"/>
          <w:numId w:val="5"/>
        </w:numPr>
        <w:spacing w:after="6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Subordination totale des quasi-FP (OC + CCA) à la dette bancaire — convention inter-créanciers formalisée</w:t>
      </w:r>
    </w:p>
    <w:p>
      <w:pPr>
        <w:pStyle w:val="ListParagraph"/>
        <w:numPr>
          <w:ilvl w:val="0"/>
          <w:numId w:val="5"/>
        </w:numPr>
        <w:spacing w:after="6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DSCR An 1 de 1,28x (&gt;1,20x standard) — DSCR post-cessions de 35x</w:t>
      </w:r>
    </w:p>
    <w:p>
      <w:pPr>
        <w:pStyle w:val="ListParagraph"/>
        <w:numPr>
          <w:ilvl w:val="0"/>
          <w:numId w:val="5"/>
        </w:numPr>
        <w:spacing w:after="6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Localisation stratégique : ZI Fontvert, proximité A7 / Auchan Le Pontet, bassin d’emploi Grand Avignon (&gt;300 000 hab.)</w:t>
      </w:r>
    </w:p>
    <w:p>
      <w:pPr>
        <w:pStyle w:val="ListParagraph"/>
        <w:numPr>
          <w:ilvl w:val="0"/>
          <w:numId w:val="5"/>
        </w:numPr>
        <w:spacing w:after="6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Potentiel de valorisation : 29 % de vacance commercialisable (131 K€/an) + indexation ILC/ILAT (+2 %/an)</w:t>
      </w:r>
    </w:p>
    <w:p>
      <w:pPr>
        <w:spacing w:after="40" w:before="40"/>
      </w:pPr>
    </w:p>
    <w:p>
      <w:pPr>
        <w:spacing w:after="40" w:before="40"/>
      </w:pPr>
    </w:p>
    <w:p>
      <w:pPr>
        <w:pBdr>
          <w:top w:val="single" w:color="C5A55A" w:sz="4" w:space="1"/>
        </w:pBdr>
        <w:spacing w:after="100" w:before="400"/>
        <w:jc w:val="center"/>
      </w:pP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Document confidentiel — SCI District One — District One (D1) — Avril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Toute reproduction ou diffusion est strictement interdite sans autorisation écrite du porteur de projet.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CONFIDENTIEL — SCI District One — Avril 2026 — 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55A" w:sz="2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B2A4A"/>
        <w:sz w:val="14"/>
        <w:szCs w:val="14"/>
      </w:rPr>
      <w:t xml:space="preserve">DISTRICT ONE · D1</w:t>
    </w:r>
    <w:r>
      <w:rPr>
        <w:rFonts w:ascii="Arial" w:cs="Arial" w:eastAsia="Arial" w:hAnsi="Arial"/>
        <w:color w:val="666666"/>
        <w:sz w:val="14"/>
        <w:szCs w:val="14"/>
      </w:rPr>
      <w:t xml:space="preserve">	Point 1 — Note de Synthèse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2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2026-04-13T11:15:54.919Z</dcterms:created>
  <dcterms:modified xsi:type="dcterms:W3CDTF">2026-04-13T11:15:54.920Z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