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D2B55"/>
          <w:sz w:val="44"/>
        </w:rPr>
        <w:t>MERIDIAN TECHNOLOGIES</w:t>
      </w:r>
    </w:p>
    <w:p>
      <w:pPr>
        <w:spacing w:before="0" w:after="40"/>
      </w:pPr>
      <w:r>
        <w:rPr>
          <w:rFonts w:ascii="Calibri" w:hAnsi="Calibri"/>
          <w:color w:val="44546E"/>
          <w:sz w:val="26"/>
        </w:rPr>
        <w:t>Annual Board Strategic Review</w:t>
      </w:r>
    </w:p>
    <w:p>
      <w:pPr>
        <w:spacing w:before="0" w:after="320"/>
      </w:pPr>
      <w:r>
        <w:rPr>
          <w:rFonts w:ascii="Calibri" w:hAnsi="Calibri"/>
          <w:color w:val="44546E"/>
          <w:sz w:val="20"/>
        </w:rPr>
        <w:t>CEO Opening Statement  ·  May 2026  ·  ~5 minutes</w:t>
      </w:r>
    </w:p>
    <w:p>
      <w:pPr>
        <w:spacing w:before="0" w:after="0"/>
        <w:pBdr>
          <w:bottom w:val="single" w:sz="12" w:space="1" w:color="0D2B55"/>
        </w:pBdr>
      </w:pPr>
    </w:p>
    <w:p>
      <w:pPr>
        <w:spacing w:before="280" w:after="40"/>
      </w:pPr>
      <w:r>
        <w:rPr>
          <w:rFonts w:ascii="Calibri" w:hAnsi="Calibri"/>
          <w:b/>
          <w:color w:val="0D2B55"/>
          <w:sz w:val="17"/>
        </w:rPr>
        <w:t>OPENING</w:t>
      </w:r>
    </w:p>
    <w:p>
      <w:pPr>
        <w:spacing w:before="0" w:after="120"/>
      </w:pPr>
      <w:r>
        <w:rPr>
          <w:rFonts w:ascii="Calibri" w:hAnsi="Calibri"/>
          <w:color w:val="1A1A2E"/>
          <w:sz w:val="22"/>
        </w:rPr>
        <w:t>Thank you. Before we move into the prepared agenda, I want to take five minutes to give you my honest read on where this company stands — not the investor-relations version, but the CEO version.</w:t>
      </w:r>
    </w:p>
    <w:p>
      <w:pPr>
        <w:spacing w:before="0" w:after="120"/>
      </w:pPr>
      <w:r>
        <w:rPr>
          <w:rFonts w:ascii="Calibri" w:hAnsi="Calibri"/>
          <w:color w:val="1A1A2E"/>
          <w:sz w:val="22"/>
        </w:rPr>
        <w:t>I have been in this role for fifteen months. I have spent time with our largest customers, our board, and every layer of this organization. What I want to share today is what I have concluded, what concerns me, and what I am asking from you.</w:t>
      </w:r>
    </w:p>
    <w:p>
      <w:pPr>
        <w:spacing w:before="280" w:after="40"/>
      </w:pPr>
      <w:r>
        <w:rPr>
          <w:rFonts w:ascii="Calibri" w:hAnsi="Calibri"/>
          <w:b/>
          <w:color w:val="0D2B55"/>
          <w:sz w:val="17"/>
        </w:rPr>
        <w:t>WHERE WE STAND</w:t>
      </w:r>
    </w:p>
    <w:p>
      <w:pPr>
        <w:spacing w:before="0" w:after="120"/>
      </w:pPr>
      <w:r>
        <w:rPr>
          <w:rFonts w:ascii="Calibri" w:hAnsi="Calibri"/>
          <w:color w:val="1A1A2E"/>
          <w:sz w:val="22"/>
        </w:rPr>
        <w:t>The headline numbers are solid. Full-year 2025 revenue of four hundred million dollars, up eleven percent. Operating margin of twelve percent, up from five percent three years ago. Four hundred sixty-three million in cash and no debt. Free cash flow margin approaching eighteen percent.</w:t>
      </w:r>
    </w:p>
    <w:p>
      <w:pPr>
        <w:spacing w:before="0" w:after="120"/>
      </w:pPr>
      <w:r>
        <w:rPr>
          <w:rFonts w:ascii="Calibri" w:hAnsi="Calibri"/>
          <w:color w:val="1A1A2E"/>
          <w:sz w:val="22"/>
        </w:rPr>
        <w:t>Those numbers deserve acknowledgment. Lenore built a financially disciplined business, and this team has continued that discipline through a transition year. I am proud of it.</w:t>
      </w:r>
    </w:p>
    <w:p>
      <w:pPr>
        <w:spacing w:before="0" w:after="160"/>
      </w:pPr>
      <w:r>
        <w:rPr>
          <w:rFonts w:ascii="Calibri" w:hAnsi="Calibri"/>
          <w:color w:val="1A1A2E"/>
          <w:sz w:val="22"/>
        </w:rPr>
        <w:t>And I want to be equally honest about what those numbers conceal. Revenue growth has decelerated every single year — twenty-eight percent in 2022, sixteen in 2024, eleven in 2025, and we are guiding ten to fourteen for 2026. That is not a coincidence. That is a structural pattern, and it is the central issue this board needs to help me address.</w:t>
      </w:r>
    </w:p>
    <w:p>
      <w:pPr>
        <w:spacing w:before="280" w:after="40"/>
      </w:pPr>
      <w:r>
        <w:rPr>
          <w:rFonts w:ascii="Calibri" w:hAnsi="Calibri"/>
          <w:b/>
          <w:color w:val="0D2B55"/>
          <w:sz w:val="17"/>
        </w:rPr>
        <w:t>EXHIBIT 1 — COMPANY FINANCIALS: FULL-YEAR SNAPSHOT</w:t>
      </w:r>
    </w:p>
    <w:tbl>
      <w:tblPr>
        <w:tblStyle w:val="TableGrid"/>
        <w:tblW w:type="auto" w:w="0"/>
        <w:tblLook w:firstColumn="1" w:firstRow="1" w:lastColumn="0" w:lastRow="0" w:noHBand="0" w:noVBand="1" w:val="04A0"/>
      </w:tblPr>
      <w:tblGrid>
        <w:gridCol w:w="1488"/>
        <w:gridCol w:w="1488"/>
        <w:gridCol w:w="1488"/>
        <w:gridCol w:w="1488"/>
        <w:gridCol w:w="1488"/>
        <w:gridCol w:w="1488"/>
      </w:tblGrid>
      <w:tr>
        <w:tc>
          <w:tcPr>
            <w:tcW w:type="dxa" w:w="3024"/>
            <w:shd w:val="clear" w:color="auto" w:fill="0D2B55"/>
            <w:vAlign w:val="center"/>
          </w:tcPr>
          <w:p>
            <w:pPr>
              <w:jc w:val="center"/>
              <w:spacing w:before="0" w:after="0"/>
            </w:pPr>
            <w:r>
              <w:rPr>
                <w:rFonts w:ascii="Calibri" w:hAnsi="Calibri"/>
                <w:b/>
                <w:color w:val="FFFFFF"/>
                <w:sz w:val="16"/>
              </w:rPr>
              <w:t>Metric</w:t>
            </w:r>
          </w:p>
        </w:tc>
        <w:tc>
          <w:tcPr>
            <w:tcW w:type="dxa" w:w="1181"/>
            <w:shd w:val="clear" w:color="auto" w:fill="0D2B55"/>
            <w:vAlign w:val="center"/>
          </w:tcPr>
          <w:p>
            <w:pPr>
              <w:jc w:val="center"/>
              <w:spacing w:before="0" w:after="0"/>
            </w:pPr>
            <w:r>
              <w:rPr>
                <w:rFonts w:ascii="Calibri" w:hAnsi="Calibri"/>
                <w:b/>
                <w:color w:val="FFFFFF"/>
                <w:sz w:val="16"/>
              </w:rPr>
              <w:t>FY 2022</w:t>
            </w:r>
          </w:p>
        </w:tc>
        <w:tc>
          <w:tcPr>
            <w:tcW w:type="dxa" w:w="1181"/>
            <w:shd w:val="clear" w:color="auto" w:fill="0D2B55"/>
            <w:vAlign w:val="center"/>
          </w:tcPr>
          <w:p>
            <w:pPr>
              <w:jc w:val="center"/>
              <w:spacing w:before="0" w:after="0"/>
            </w:pPr>
            <w:r>
              <w:rPr>
                <w:rFonts w:ascii="Calibri" w:hAnsi="Calibri"/>
                <w:b/>
                <w:color w:val="FFFFFF"/>
                <w:sz w:val="16"/>
              </w:rPr>
              <w:t>FY 2023</w:t>
            </w:r>
          </w:p>
        </w:tc>
        <w:tc>
          <w:tcPr>
            <w:tcW w:type="dxa" w:w="1181"/>
            <w:shd w:val="clear" w:color="auto" w:fill="0D2B55"/>
            <w:vAlign w:val="center"/>
          </w:tcPr>
          <w:p>
            <w:pPr>
              <w:jc w:val="center"/>
              <w:spacing w:before="0" w:after="0"/>
            </w:pPr>
            <w:r>
              <w:rPr>
                <w:rFonts w:ascii="Calibri" w:hAnsi="Calibri"/>
                <w:b/>
                <w:color w:val="FFFFFF"/>
                <w:sz w:val="16"/>
              </w:rPr>
              <w:t>FY 2024</w:t>
            </w:r>
          </w:p>
        </w:tc>
        <w:tc>
          <w:tcPr>
            <w:tcW w:type="dxa" w:w="1181"/>
            <w:shd w:val="clear" w:color="auto" w:fill="0D2B55"/>
            <w:vAlign w:val="center"/>
          </w:tcPr>
          <w:p>
            <w:pPr>
              <w:jc w:val="center"/>
              <w:spacing w:before="0" w:after="0"/>
            </w:pPr>
            <w:r>
              <w:rPr>
                <w:rFonts w:ascii="Calibri" w:hAnsi="Calibri"/>
                <w:b/>
                <w:color w:val="FFFFFF"/>
                <w:sz w:val="16"/>
              </w:rPr>
              <w:t>FY 2025</w:t>
            </w:r>
          </w:p>
        </w:tc>
        <w:tc>
          <w:tcPr>
            <w:tcW w:type="dxa" w:w="1296"/>
            <w:shd w:val="clear" w:color="auto" w:fill="0D2B55"/>
            <w:vAlign w:val="center"/>
          </w:tcPr>
          <w:p>
            <w:pPr>
              <w:jc w:val="center"/>
              <w:spacing w:before="0" w:after="0"/>
            </w:pPr>
            <w:r>
              <w:rPr>
                <w:rFonts w:ascii="Calibri" w:hAnsi="Calibri"/>
                <w:b/>
                <w:color w:val="FFFFFF"/>
                <w:sz w:val="16"/>
              </w:rPr>
              <w:t>2026 Guide</w:t>
            </w:r>
          </w:p>
        </w:tc>
      </w:tr>
      <w:tr>
        <w:tc>
          <w:tcPr>
            <w:tcW w:type="dxa" w:w="1296"/>
            <w:shd w:val="clear" w:color="auto" w:fill="F0F4F8"/>
            <w:vAlign w:val="center"/>
          </w:tcPr>
          <w:p>
            <w:pPr>
              <w:jc w:val="left"/>
              <w:spacing w:before="0" w:after="0"/>
            </w:pPr>
            <w:r>
              <w:rPr>
                <w:rFonts w:ascii="Calibri" w:hAnsi="Calibri"/>
                <w:color w:val="1A1A2E"/>
                <w:sz w:val="16"/>
              </w:rPr>
              <w:t>Revenue ($M)</w:t>
            </w:r>
          </w:p>
        </w:tc>
        <w:tc>
          <w:tcPr>
            <w:tcW w:type="dxa" w:w="1296"/>
            <w:shd w:val="clear" w:color="auto" w:fill="F0F4F8"/>
            <w:vAlign w:val="center"/>
          </w:tcPr>
          <w:p>
            <w:pPr>
              <w:jc w:val="center"/>
              <w:spacing w:before="0" w:after="0"/>
            </w:pPr>
            <w:r>
              <w:rPr>
                <w:rFonts w:ascii="Calibri" w:hAnsi="Calibri"/>
                <w:color w:val="1A1A2E"/>
                <w:sz w:val="16"/>
              </w:rPr>
              <w:t>$260</w:t>
            </w:r>
          </w:p>
        </w:tc>
        <w:tc>
          <w:tcPr>
            <w:tcW w:type="dxa" w:w="1296"/>
            <w:shd w:val="clear" w:color="auto" w:fill="F0F4F8"/>
            <w:vAlign w:val="center"/>
          </w:tcPr>
          <w:p>
            <w:pPr>
              <w:jc w:val="center"/>
              <w:spacing w:before="0" w:after="0"/>
            </w:pPr>
            <w:r>
              <w:rPr>
                <w:rFonts w:ascii="Calibri" w:hAnsi="Calibri"/>
                <w:color w:val="1A1A2E"/>
                <w:sz w:val="16"/>
              </w:rPr>
              <w:t>$311</w:t>
            </w:r>
          </w:p>
        </w:tc>
        <w:tc>
          <w:tcPr>
            <w:tcW w:type="dxa" w:w="1296"/>
            <w:shd w:val="clear" w:color="auto" w:fill="F0F4F8"/>
            <w:vAlign w:val="center"/>
          </w:tcPr>
          <w:p>
            <w:pPr>
              <w:jc w:val="center"/>
              <w:spacing w:before="0" w:after="0"/>
            </w:pPr>
            <w:r>
              <w:rPr>
                <w:rFonts w:ascii="Calibri" w:hAnsi="Calibri"/>
                <w:color w:val="1A1A2E"/>
                <w:sz w:val="16"/>
              </w:rPr>
              <w:t>$360</w:t>
            </w:r>
          </w:p>
        </w:tc>
        <w:tc>
          <w:tcPr>
            <w:tcW w:type="dxa" w:w="1296"/>
            <w:shd w:val="clear" w:color="auto" w:fill="F0F4F8"/>
            <w:vAlign w:val="center"/>
          </w:tcPr>
          <w:p>
            <w:pPr>
              <w:jc w:val="center"/>
              <w:spacing w:before="0" w:after="0"/>
            </w:pPr>
            <w:r>
              <w:rPr>
                <w:rFonts w:ascii="Calibri" w:hAnsi="Calibri"/>
                <w:color w:val="1A1A2E"/>
                <w:sz w:val="16"/>
              </w:rPr>
              <w:t>$400</w:t>
            </w:r>
          </w:p>
        </w:tc>
        <w:tc>
          <w:tcPr>
            <w:tcW w:type="dxa" w:w="1296"/>
            <w:shd w:val="clear" w:color="auto" w:fill="F0F4F8"/>
            <w:vAlign w:val="center"/>
          </w:tcPr>
          <w:p>
            <w:pPr>
              <w:jc w:val="center"/>
              <w:spacing w:before="0" w:after="0"/>
            </w:pPr>
            <w:r>
              <w:rPr>
                <w:rFonts w:ascii="Calibri" w:hAnsi="Calibri"/>
                <w:color w:val="1A1A2E"/>
                <w:sz w:val="16"/>
              </w:rPr>
              <w:t>$440–455</w:t>
            </w:r>
          </w:p>
        </w:tc>
      </w:tr>
      <w:tr>
        <w:tc>
          <w:tcPr>
            <w:tcW w:type="dxa" w:w="1296"/>
            <w:shd w:val="clear" w:color="auto" w:fill="FFFFFF"/>
            <w:vAlign w:val="center"/>
          </w:tcPr>
          <w:p>
            <w:pPr>
              <w:jc w:val="left"/>
              <w:spacing w:before="0" w:after="0"/>
            </w:pPr>
            <w:r>
              <w:rPr>
                <w:rFonts w:ascii="Calibri" w:hAnsi="Calibri"/>
                <w:color w:val="1A1A2E"/>
                <w:sz w:val="16"/>
              </w:rPr>
              <w:t>YoY Revenue Growth</w:t>
            </w:r>
          </w:p>
        </w:tc>
        <w:tc>
          <w:tcPr>
            <w:tcW w:type="dxa" w:w="1296"/>
            <w:shd w:val="clear" w:color="auto" w:fill="FFFFFF"/>
            <w:vAlign w:val="center"/>
          </w:tcPr>
          <w:p>
            <w:pPr>
              <w:jc w:val="center"/>
              <w:spacing w:before="0" w:after="0"/>
            </w:pPr>
            <w:r>
              <w:rPr>
                <w:rFonts w:ascii="Calibri" w:hAnsi="Calibri"/>
                <w:color w:val="1A1A2E"/>
                <w:sz w:val="16"/>
              </w:rPr>
              <w:t>—</w:t>
            </w:r>
          </w:p>
        </w:tc>
        <w:tc>
          <w:tcPr>
            <w:tcW w:type="dxa" w:w="1296"/>
            <w:shd w:val="clear" w:color="auto" w:fill="FFFFFF"/>
            <w:vAlign w:val="center"/>
          </w:tcPr>
          <w:p>
            <w:pPr>
              <w:jc w:val="center"/>
              <w:spacing w:before="0" w:after="0"/>
            </w:pPr>
            <w:r>
              <w:rPr>
                <w:rFonts w:ascii="Calibri" w:hAnsi="Calibri"/>
                <w:color w:val="1A1A2E"/>
                <w:sz w:val="16"/>
              </w:rPr>
              <w:t>+19%</w:t>
            </w:r>
          </w:p>
        </w:tc>
        <w:tc>
          <w:tcPr>
            <w:tcW w:type="dxa" w:w="1296"/>
            <w:shd w:val="clear" w:color="auto" w:fill="FFFFFF"/>
            <w:vAlign w:val="center"/>
          </w:tcPr>
          <w:p>
            <w:pPr>
              <w:jc w:val="center"/>
              <w:spacing w:before="0" w:after="0"/>
            </w:pPr>
            <w:r>
              <w:rPr>
                <w:rFonts w:ascii="Calibri" w:hAnsi="Calibri"/>
                <w:color w:val="1A1A2E"/>
                <w:sz w:val="16"/>
              </w:rPr>
              <w:t>+16%</w:t>
            </w:r>
          </w:p>
        </w:tc>
        <w:tc>
          <w:tcPr>
            <w:tcW w:type="dxa" w:w="1296"/>
            <w:shd w:val="clear" w:color="auto" w:fill="FFFFFF"/>
            <w:vAlign w:val="center"/>
          </w:tcPr>
          <w:p>
            <w:pPr>
              <w:jc w:val="center"/>
              <w:spacing w:before="0" w:after="0"/>
            </w:pPr>
            <w:r>
              <w:rPr>
                <w:rFonts w:ascii="Calibri" w:hAnsi="Calibri"/>
                <w:color w:val="1A1A2E"/>
                <w:sz w:val="16"/>
              </w:rPr>
              <w:t>+11%</w:t>
            </w:r>
          </w:p>
        </w:tc>
        <w:tc>
          <w:tcPr>
            <w:tcW w:type="dxa" w:w="1296"/>
            <w:shd w:val="clear" w:color="auto" w:fill="FFFFFF"/>
            <w:vAlign w:val="center"/>
          </w:tcPr>
          <w:p>
            <w:pPr>
              <w:jc w:val="center"/>
              <w:spacing w:before="0" w:after="0"/>
            </w:pPr>
            <w:r>
              <w:rPr>
                <w:rFonts w:ascii="Calibri" w:hAnsi="Calibri"/>
                <w:color w:val="1A1A2E"/>
                <w:sz w:val="16"/>
              </w:rPr>
              <w:t>+10–14%</w:t>
            </w:r>
          </w:p>
        </w:tc>
      </w:tr>
      <w:tr>
        <w:tc>
          <w:tcPr>
            <w:tcW w:type="dxa" w:w="1296"/>
            <w:shd w:val="clear" w:color="auto" w:fill="F0F4F8"/>
            <w:vAlign w:val="center"/>
          </w:tcPr>
          <w:p>
            <w:pPr>
              <w:jc w:val="left"/>
              <w:spacing w:before="0" w:after="0"/>
            </w:pPr>
            <w:r>
              <w:rPr>
                <w:rFonts w:ascii="Calibri" w:hAnsi="Calibri"/>
                <w:color w:val="1A1A2E"/>
                <w:sz w:val="16"/>
              </w:rPr>
              <w:t>ARR ($M)</w:t>
            </w:r>
          </w:p>
        </w:tc>
        <w:tc>
          <w:tcPr>
            <w:tcW w:type="dxa" w:w="1296"/>
            <w:shd w:val="clear" w:color="auto" w:fill="F0F4F8"/>
            <w:vAlign w:val="center"/>
          </w:tcPr>
          <w:p>
            <w:pPr>
              <w:jc w:val="center"/>
              <w:spacing w:before="0" w:after="0"/>
            </w:pPr>
            <w:r>
              <w:rPr>
                <w:rFonts w:ascii="Calibri" w:hAnsi="Calibri"/>
                <w:color w:val="1A1A2E"/>
                <w:sz w:val="16"/>
              </w:rPr>
              <w:t>$275</w:t>
            </w:r>
          </w:p>
        </w:tc>
        <w:tc>
          <w:tcPr>
            <w:tcW w:type="dxa" w:w="1296"/>
            <w:shd w:val="clear" w:color="auto" w:fill="F0F4F8"/>
            <w:vAlign w:val="center"/>
          </w:tcPr>
          <w:p>
            <w:pPr>
              <w:jc w:val="center"/>
              <w:spacing w:before="0" w:after="0"/>
            </w:pPr>
            <w:r>
              <w:rPr>
                <w:rFonts w:ascii="Calibri" w:hAnsi="Calibri"/>
                <w:color w:val="1A1A2E"/>
                <w:sz w:val="16"/>
              </w:rPr>
              <w:t>$328</w:t>
            </w:r>
          </w:p>
        </w:tc>
        <w:tc>
          <w:tcPr>
            <w:tcW w:type="dxa" w:w="1296"/>
            <w:shd w:val="clear" w:color="auto" w:fill="F0F4F8"/>
            <w:vAlign w:val="center"/>
          </w:tcPr>
          <w:p>
            <w:pPr>
              <w:jc w:val="center"/>
              <w:spacing w:before="0" w:after="0"/>
            </w:pPr>
            <w:r>
              <w:rPr>
                <w:rFonts w:ascii="Calibri" w:hAnsi="Calibri"/>
                <w:color w:val="1A1A2E"/>
                <w:sz w:val="16"/>
              </w:rPr>
              <w:t>$375</w:t>
            </w:r>
          </w:p>
        </w:tc>
        <w:tc>
          <w:tcPr>
            <w:tcW w:type="dxa" w:w="1296"/>
            <w:shd w:val="clear" w:color="auto" w:fill="F0F4F8"/>
            <w:vAlign w:val="center"/>
          </w:tcPr>
          <w:p>
            <w:pPr>
              <w:jc w:val="center"/>
              <w:spacing w:before="0" w:after="0"/>
            </w:pPr>
            <w:r>
              <w:rPr>
                <w:rFonts w:ascii="Calibri" w:hAnsi="Calibri"/>
                <w:color w:val="1A1A2E"/>
                <w:sz w:val="16"/>
              </w:rPr>
              <w:t>$413</w:t>
            </w:r>
          </w:p>
        </w:tc>
        <w:tc>
          <w:tcPr>
            <w:tcW w:type="dxa" w:w="1296"/>
            <w:shd w:val="clear" w:color="auto" w:fill="F0F4F8"/>
            <w:vAlign w:val="center"/>
          </w:tcPr>
          <w:p>
            <w:pPr>
              <w:jc w:val="center"/>
              <w:spacing w:before="0" w:after="0"/>
            </w:pPr>
            <w:r>
              <w:rPr>
                <w:rFonts w:ascii="Calibri" w:hAnsi="Calibri"/>
                <w:color w:val="1A1A2E"/>
                <w:sz w:val="16"/>
              </w:rPr>
              <w:t>—</w:t>
            </w:r>
          </w:p>
        </w:tc>
      </w:tr>
      <w:tr>
        <w:tc>
          <w:tcPr>
            <w:tcW w:type="dxa" w:w="1296"/>
            <w:shd w:val="clear" w:color="auto" w:fill="FFFFFF"/>
            <w:vAlign w:val="center"/>
          </w:tcPr>
          <w:p>
            <w:pPr>
              <w:jc w:val="left"/>
              <w:spacing w:before="0" w:after="0"/>
            </w:pPr>
            <w:r>
              <w:rPr>
                <w:rFonts w:ascii="Calibri" w:hAnsi="Calibri"/>
                <w:color w:val="1A1A2E"/>
                <w:sz w:val="16"/>
              </w:rPr>
              <w:t>Gross Margin</w:t>
            </w:r>
          </w:p>
        </w:tc>
        <w:tc>
          <w:tcPr>
            <w:tcW w:type="dxa" w:w="1296"/>
            <w:shd w:val="clear" w:color="auto" w:fill="FFFFFF"/>
            <w:vAlign w:val="center"/>
          </w:tcPr>
          <w:p>
            <w:pPr>
              <w:jc w:val="center"/>
              <w:spacing w:before="0" w:after="0"/>
            </w:pPr>
            <w:r>
              <w:rPr>
                <w:rFonts w:ascii="Calibri" w:hAnsi="Calibri"/>
                <w:color w:val="1A1A2E"/>
                <w:sz w:val="16"/>
              </w:rPr>
              <w:t>78.0%</w:t>
            </w:r>
          </w:p>
        </w:tc>
        <w:tc>
          <w:tcPr>
            <w:tcW w:type="dxa" w:w="1296"/>
            <w:shd w:val="clear" w:color="auto" w:fill="FFFFFF"/>
            <w:vAlign w:val="center"/>
          </w:tcPr>
          <w:p>
            <w:pPr>
              <w:jc w:val="center"/>
              <w:spacing w:before="0" w:after="0"/>
            </w:pPr>
            <w:r>
              <w:rPr>
                <w:rFonts w:ascii="Calibri" w:hAnsi="Calibri"/>
                <w:color w:val="1A1A2E"/>
                <w:sz w:val="16"/>
              </w:rPr>
              <w:t>78.6%</w:t>
            </w:r>
          </w:p>
        </w:tc>
        <w:tc>
          <w:tcPr>
            <w:tcW w:type="dxa" w:w="1296"/>
            <w:shd w:val="clear" w:color="auto" w:fill="FFFFFF"/>
            <w:vAlign w:val="center"/>
          </w:tcPr>
          <w:p>
            <w:pPr>
              <w:jc w:val="center"/>
              <w:spacing w:before="0" w:after="0"/>
            </w:pPr>
            <w:r>
              <w:rPr>
                <w:rFonts w:ascii="Calibri" w:hAnsi="Calibri"/>
                <w:color w:val="1A1A2E"/>
                <w:sz w:val="16"/>
              </w:rPr>
              <w:t>79.2%</w:t>
            </w:r>
          </w:p>
        </w:tc>
        <w:tc>
          <w:tcPr>
            <w:tcW w:type="dxa" w:w="1296"/>
            <w:shd w:val="clear" w:color="auto" w:fill="FFFFFF"/>
            <w:vAlign w:val="center"/>
          </w:tcPr>
          <w:p>
            <w:pPr>
              <w:jc w:val="center"/>
              <w:spacing w:before="0" w:after="0"/>
            </w:pPr>
            <w:r>
              <w:rPr>
                <w:rFonts w:ascii="Calibri" w:hAnsi="Calibri"/>
                <w:color w:val="1A1A2E"/>
                <w:sz w:val="16"/>
              </w:rPr>
              <w:t>79.6%</w:t>
            </w:r>
          </w:p>
        </w:tc>
        <w:tc>
          <w:tcPr>
            <w:tcW w:type="dxa" w:w="1296"/>
            <w:shd w:val="clear" w:color="auto" w:fill="FFFFFF"/>
            <w:vAlign w:val="center"/>
          </w:tcPr>
          <w:p>
            <w:pPr>
              <w:jc w:val="center"/>
              <w:spacing w:before="0" w:after="0"/>
            </w:pPr>
            <w:r>
              <w:rPr>
                <w:rFonts w:ascii="Calibri" w:hAnsi="Calibri"/>
                <w:color w:val="1A1A2E"/>
                <w:sz w:val="16"/>
              </w:rPr>
              <w:t>—</w:t>
            </w:r>
          </w:p>
        </w:tc>
      </w:tr>
      <w:tr>
        <w:tc>
          <w:tcPr>
            <w:tcW w:type="dxa" w:w="1296"/>
            <w:shd w:val="clear" w:color="auto" w:fill="F0F4F8"/>
            <w:vAlign w:val="center"/>
          </w:tcPr>
          <w:p>
            <w:pPr>
              <w:jc w:val="left"/>
              <w:spacing w:before="0" w:after="0"/>
            </w:pPr>
            <w:r>
              <w:rPr>
                <w:rFonts w:ascii="Calibri" w:hAnsi="Calibri"/>
                <w:color w:val="1A1A2E"/>
                <w:sz w:val="16"/>
              </w:rPr>
              <w:t>Operating Margin</w:t>
            </w:r>
          </w:p>
        </w:tc>
        <w:tc>
          <w:tcPr>
            <w:tcW w:type="dxa" w:w="1296"/>
            <w:shd w:val="clear" w:color="auto" w:fill="F0F4F8"/>
            <w:vAlign w:val="center"/>
          </w:tcPr>
          <w:p>
            <w:pPr>
              <w:jc w:val="center"/>
              <w:spacing w:before="0" w:after="0"/>
            </w:pPr>
            <w:r>
              <w:rPr>
                <w:rFonts w:ascii="Calibri" w:hAnsi="Calibri"/>
                <w:color w:val="1A1A2E"/>
                <w:sz w:val="16"/>
              </w:rPr>
              <w:t>5.1%</w:t>
            </w:r>
          </w:p>
        </w:tc>
        <w:tc>
          <w:tcPr>
            <w:tcW w:type="dxa" w:w="1296"/>
            <w:shd w:val="clear" w:color="auto" w:fill="F0F4F8"/>
            <w:vAlign w:val="center"/>
          </w:tcPr>
          <w:p>
            <w:pPr>
              <w:jc w:val="center"/>
              <w:spacing w:before="0" w:after="0"/>
            </w:pPr>
            <w:r>
              <w:rPr>
                <w:rFonts w:ascii="Calibri" w:hAnsi="Calibri"/>
                <w:color w:val="1A1A2E"/>
                <w:sz w:val="16"/>
              </w:rPr>
              <w:t>7.7%</w:t>
            </w:r>
          </w:p>
        </w:tc>
        <w:tc>
          <w:tcPr>
            <w:tcW w:type="dxa" w:w="1296"/>
            <w:shd w:val="clear" w:color="auto" w:fill="F0F4F8"/>
            <w:vAlign w:val="center"/>
          </w:tcPr>
          <w:p>
            <w:pPr>
              <w:jc w:val="center"/>
              <w:spacing w:before="0" w:after="0"/>
            </w:pPr>
            <w:r>
              <w:rPr>
                <w:rFonts w:ascii="Calibri" w:hAnsi="Calibri"/>
                <w:color w:val="1A1A2E"/>
                <w:sz w:val="16"/>
              </w:rPr>
              <w:t>10.0%</w:t>
            </w:r>
          </w:p>
        </w:tc>
        <w:tc>
          <w:tcPr>
            <w:tcW w:type="dxa" w:w="1296"/>
            <w:shd w:val="clear" w:color="auto" w:fill="F0F4F8"/>
            <w:vAlign w:val="center"/>
          </w:tcPr>
          <w:p>
            <w:pPr>
              <w:jc w:val="center"/>
              <w:spacing w:before="0" w:after="0"/>
            </w:pPr>
            <w:r>
              <w:rPr>
                <w:rFonts w:ascii="Calibri" w:hAnsi="Calibri"/>
                <w:color w:val="1A1A2E"/>
                <w:sz w:val="16"/>
              </w:rPr>
              <w:t>12.4%</w:t>
            </w:r>
          </w:p>
        </w:tc>
        <w:tc>
          <w:tcPr>
            <w:tcW w:type="dxa" w:w="1296"/>
            <w:shd w:val="clear" w:color="auto" w:fill="F0F4F8"/>
            <w:vAlign w:val="center"/>
          </w:tcPr>
          <w:p>
            <w:pPr>
              <w:jc w:val="center"/>
              <w:spacing w:before="0" w:after="0"/>
            </w:pPr>
            <w:r>
              <w:rPr>
                <w:rFonts w:ascii="Calibri" w:hAnsi="Calibri"/>
                <w:color w:val="1A1A2E"/>
                <w:sz w:val="16"/>
              </w:rPr>
              <w:t>14–15%</w:t>
            </w:r>
          </w:p>
        </w:tc>
      </w:tr>
      <w:tr>
        <w:tc>
          <w:tcPr>
            <w:tcW w:type="dxa" w:w="1296"/>
            <w:shd w:val="clear" w:color="auto" w:fill="FFFFFF"/>
            <w:vAlign w:val="center"/>
          </w:tcPr>
          <w:p>
            <w:pPr>
              <w:jc w:val="left"/>
              <w:spacing w:before="0" w:after="0"/>
            </w:pPr>
            <w:r>
              <w:rPr>
                <w:rFonts w:ascii="Calibri" w:hAnsi="Calibri"/>
                <w:color w:val="1A1A2E"/>
                <w:sz w:val="16"/>
              </w:rPr>
              <w:t>FCF Margin</w:t>
            </w:r>
          </w:p>
        </w:tc>
        <w:tc>
          <w:tcPr>
            <w:tcW w:type="dxa" w:w="1296"/>
            <w:shd w:val="clear" w:color="auto" w:fill="FFFFFF"/>
            <w:vAlign w:val="center"/>
          </w:tcPr>
          <w:p>
            <w:pPr>
              <w:jc w:val="center"/>
              <w:spacing w:before="0" w:after="0"/>
            </w:pPr>
            <w:r>
              <w:rPr>
                <w:rFonts w:ascii="Calibri" w:hAnsi="Calibri"/>
                <w:color w:val="1A1A2E"/>
                <w:sz w:val="16"/>
              </w:rPr>
              <w:t>10.4%</w:t>
            </w:r>
          </w:p>
        </w:tc>
        <w:tc>
          <w:tcPr>
            <w:tcW w:type="dxa" w:w="1296"/>
            <w:shd w:val="clear" w:color="auto" w:fill="FFFFFF"/>
            <w:vAlign w:val="center"/>
          </w:tcPr>
          <w:p>
            <w:pPr>
              <w:jc w:val="center"/>
              <w:spacing w:before="0" w:after="0"/>
            </w:pPr>
            <w:r>
              <w:rPr>
                <w:rFonts w:ascii="Calibri" w:hAnsi="Calibri"/>
                <w:color w:val="1A1A2E"/>
                <w:sz w:val="16"/>
              </w:rPr>
              <w:t>13.9%</w:t>
            </w:r>
          </w:p>
        </w:tc>
        <w:tc>
          <w:tcPr>
            <w:tcW w:type="dxa" w:w="1296"/>
            <w:shd w:val="clear" w:color="auto" w:fill="FFFFFF"/>
            <w:vAlign w:val="center"/>
          </w:tcPr>
          <w:p>
            <w:pPr>
              <w:jc w:val="center"/>
              <w:spacing w:before="0" w:after="0"/>
            </w:pPr>
            <w:r>
              <w:rPr>
                <w:rFonts w:ascii="Calibri" w:hAnsi="Calibri"/>
                <w:color w:val="1A1A2E"/>
                <w:sz w:val="16"/>
              </w:rPr>
              <w:t>16.2%</w:t>
            </w:r>
          </w:p>
        </w:tc>
        <w:tc>
          <w:tcPr>
            <w:tcW w:type="dxa" w:w="1296"/>
            <w:shd w:val="clear" w:color="auto" w:fill="FFFFFF"/>
            <w:vAlign w:val="center"/>
          </w:tcPr>
          <w:p>
            <w:pPr>
              <w:jc w:val="center"/>
              <w:spacing w:before="0" w:after="0"/>
            </w:pPr>
            <w:r>
              <w:rPr>
                <w:rFonts w:ascii="Calibri" w:hAnsi="Calibri"/>
                <w:color w:val="1A1A2E"/>
                <w:sz w:val="16"/>
              </w:rPr>
              <w:t>17.8%</w:t>
            </w:r>
          </w:p>
        </w:tc>
        <w:tc>
          <w:tcPr>
            <w:tcW w:type="dxa" w:w="1296"/>
            <w:shd w:val="clear" w:color="auto" w:fill="FFFFFF"/>
            <w:vAlign w:val="center"/>
          </w:tcPr>
          <w:p>
            <w:pPr>
              <w:jc w:val="center"/>
              <w:spacing w:before="0" w:after="0"/>
            </w:pPr>
            <w:r>
              <w:rPr>
                <w:rFonts w:ascii="Calibri" w:hAnsi="Calibri"/>
                <w:color w:val="1A1A2E"/>
                <w:sz w:val="16"/>
              </w:rPr>
              <w:t>—</w:t>
            </w:r>
          </w:p>
        </w:tc>
      </w:tr>
      <w:tr>
        <w:tc>
          <w:tcPr>
            <w:tcW w:type="dxa" w:w="1296"/>
            <w:shd w:val="clear" w:color="auto" w:fill="F0F4F8"/>
            <w:vAlign w:val="center"/>
          </w:tcPr>
          <w:p>
            <w:pPr>
              <w:jc w:val="left"/>
              <w:spacing w:before="0" w:after="0"/>
            </w:pPr>
            <w:r>
              <w:rPr>
                <w:rFonts w:ascii="Calibri" w:hAnsi="Calibri"/>
                <w:color w:val="1A1A2E"/>
                <w:sz w:val="16"/>
              </w:rPr>
              <w:t>Cash ($M)</w:t>
            </w:r>
          </w:p>
        </w:tc>
        <w:tc>
          <w:tcPr>
            <w:tcW w:type="dxa" w:w="1296"/>
            <w:shd w:val="clear" w:color="auto" w:fill="F0F4F8"/>
            <w:vAlign w:val="center"/>
          </w:tcPr>
          <w:p>
            <w:pPr>
              <w:jc w:val="center"/>
              <w:spacing w:before="0" w:after="0"/>
            </w:pPr>
            <w:r>
              <w:rPr>
                <w:rFonts w:ascii="Calibri" w:hAnsi="Calibri"/>
                <w:color w:val="1A1A2E"/>
                <w:sz w:val="16"/>
              </w:rPr>
              <w:t>$344</w:t>
            </w:r>
          </w:p>
        </w:tc>
        <w:tc>
          <w:tcPr>
            <w:tcW w:type="dxa" w:w="1296"/>
            <w:shd w:val="clear" w:color="auto" w:fill="F0F4F8"/>
            <w:vAlign w:val="center"/>
          </w:tcPr>
          <w:p>
            <w:pPr>
              <w:jc w:val="center"/>
              <w:spacing w:before="0" w:after="0"/>
            </w:pPr>
            <w:r>
              <w:rPr>
                <w:rFonts w:ascii="Calibri" w:hAnsi="Calibri"/>
                <w:color w:val="1A1A2E"/>
                <w:sz w:val="16"/>
              </w:rPr>
              <w:t>$392</w:t>
            </w:r>
          </w:p>
        </w:tc>
        <w:tc>
          <w:tcPr>
            <w:tcW w:type="dxa" w:w="1296"/>
            <w:shd w:val="clear" w:color="auto" w:fill="F0F4F8"/>
            <w:vAlign w:val="center"/>
          </w:tcPr>
          <w:p>
            <w:pPr>
              <w:jc w:val="center"/>
              <w:spacing w:before="0" w:after="0"/>
            </w:pPr>
            <w:r>
              <w:rPr>
                <w:rFonts w:ascii="Calibri" w:hAnsi="Calibri"/>
                <w:color w:val="1A1A2E"/>
                <w:sz w:val="16"/>
              </w:rPr>
              <w:t>$432</w:t>
            </w:r>
          </w:p>
        </w:tc>
        <w:tc>
          <w:tcPr>
            <w:tcW w:type="dxa" w:w="1296"/>
            <w:shd w:val="clear" w:color="auto" w:fill="F0F4F8"/>
            <w:vAlign w:val="center"/>
          </w:tcPr>
          <w:p>
            <w:pPr>
              <w:jc w:val="center"/>
              <w:spacing w:before="0" w:after="0"/>
            </w:pPr>
            <w:r>
              <w:rPr>
                <w:rFonts w:ascii="Calibri" w:hAnsi="Calibri"/>
                <w:color w:val="1A1A2E"/>
                <w:sz w:val="16"/>
              </w:rPr>
              <w:t>$463</w:t>
            </w:r>
          </w:p>
        </w:tc>
        <w:tc>
          <w:tcPr>
            <w:tcW w:type="dxa" w:w="1296"/>
            <w:shd w:val="clear" w:color="auto" w:fill="F0F4F8"/>
            <w:vAlign w:val="center"/>
          </w:tcPr>
          <w:p>
            <w:pPr>
              <w:jc w:val="center"/>
              <w:spacing w:before="0" w:after="0"/>
            </w:pPr>
            <w:r>
              <w:rPr>
                <w:rFonts w:ascii="Calibri" w:hAnsi="Calibri"/>
                <w:color w:val="1A1A2E"/>
                <w:sz w:val="16"/>
              </w:rPr>
              <w:t>—</w:t>
            </w:r>
          </w:p>
        </w:tc>
      </w:tr>
    </w:tbl>
    <w:p>
      <w:pPr>
        <w:spacing w:before="80" w:after="200"/>
        <w:ind w:left="288"/>
        <w:pBdr>
          <w:left w:val="single" w:sz="18" w:space="4" w:color="C89A2A"/>
        </w:pBdr>
      </w:pPr>
      <w:r>
        <w:rPr>
          <w:rFonts w:ascii="Calibri" w:hAnsi="Calibri"/>
          <w:i/>
          <w:color w:val="44546E"/>
          <w:sz w:val="18"/>
        </w:rPr>
        <w:t>Read: Revenue growth decelerates every year as margins expand. The business is more profitable and slower-growing simultaneously — a pattern that demands a deliberate strategic answer in 2026.</w:t>
      </w:r>
    </w:p>
    <w:p>
      <w:pPr>
        <w:spacing w:before="280" w:after="40"/>
      </w:pPr>
      <w:r>
        <w:rPr>
          <w:rFonts w:ascii="Calibri" w:hAnsi="Calibri"/>
          <w:b/>
          <w:color w:val="0D2B55"/>
          <w:sz w:val="17"/>
        </w:rPr>
        <w:t>FINANCIAL DASHBOARD — FIVE-PANEL SUMMARY</w:t>
      </w:r>
    </w:p>
    <w:p>
      <w:pPr>
        <w:spacing w:before="120" w:after="80"/>
      </w:pPr>
      <w:r>
        <w:rPr>
          <w:rFonts w:ascii="Calibri" w:hAnsi="Calibri"/>
          <w:i/>
          <w:color w:val="44546E"/>
          <w:sz w:val="18"/>
        </w:rPr>
        <w:t>The chart below consolidates the key financial trends across revenue growth, margin expansion, segment mix, net revenue retention, and AI Copilot ramp. Detailed exhibits follow in the body of this statement.</w:t>
      </w:r>
    </w:p>
    <w:p>
      <w:pPr>
        <w:spacing w:before="80" w:after="240"/>
        <w:jc w:val="center"/>
      </w:pPr>
      <w:r>
        <w:drawing>
          <wp:inline xmlns:a="http://schemas.openxmlformats.org/drawingml/2006/main" xmlns:pic="http://schemas.openxmlformats.org/drawingml/2006/picture">
            <wp:extent cx="5669280" cy="3523713"/>
            <wp:docPr id="1" name="Picture 1"/>
            <wp:cNvGraphicFramePr>
              <a:graphicFrameLocks noChangeAspect="1"/>
            </wp:cNvGraphicFramePr>
            <a:graphic>
              <a:graphicData uri="http://schemas.openxmlformats.org/drawingml/2006/picture">
                <pic:pic>
                  <pic:nvPicPr>
                    <pic:cNvPr id="0" name="meridian_board_chart.png"/>
                    <pic:cNvPicPr/>
                  </pic:nvPicPr>
                  <pic:blipFill>
                    <a:blip r:embed="rId9"/>
                    <a:stretch>
                      <a:fillRect/>
                    </a:stretch>
                  </pic:blipFill>
                  <pic:spPr>
                    <a:xfrm>
                      <a:off x="0" y="0"/>
                      <a:ext cx="5669280" cy="3523713"/>
                    </a:xfrm>
                    <a:prstGeom prst="rect"/>
                  </pic:spPr>
                </pic:pic>
              </a:graphicData>
            </a:graphic>
          </wp:inline>
        </w:drawing>
      </w:r>
    </w:p>
    <w:p>
      <w:pPr>
        <w:spacing w:before="280" w:after="40"/>
      </w:pPr>
      <w:r>
        <w:rPr>
          <w:rFonts w:ascii="Calibri" w:hAnsi="Calibri"/>
          <w:b/>
          <w:color w:val="0D2B55"/>
          <w:sz w:val="17"/>
        </w:rPr>
        <w:t>ISSUE 1 — GROWTH DECELERATION</w:t>
      </w:r>
    </w:p>
    <w:p>
      <w:pPr>
        <w:spacing w:before="0" w:after="120"/>
      </w:pPr>
      <w:r>
        <w:rPr>
          <w:rFonts w:ascii="Calibri" w:hAnsi="Calibri"/>
          <w:color w:val="1A1A2E"/>
          <w:sz w:val="22"/>
        </w:rPr>
        <w:t>The first issue is growth deceleration, and the segment picture explains it precisely. We are not one company — we are three businesses in one P&amp;L, and they are moving in very different directions.</w:t>
      </w:r>
    </w:p>
    <w:p>
      <w:pPr>
        <w:spacing w:before="280" w:after="40"/>
      </w:pPr>
      <w:r>
        <w:rPr>
          <w:rFonts w:ascii="Calibri" w:hAnsi="Calibri"/>
          <w:b/>
          <w:color w:val="0D2B55"/>
          <w:sz w:val="17"/>
        </w:rPr>
        <w:t>EXHIBIT 2 — SEGMENT ARR: THREE-YEAR MIX SHIFT</w:t>
      </w:r>
    </w:p>
    <w:tbl>
      <w:tblPr>
        <w:tblStyle w:val="TableGrid"/>
        <w:tblW w:type="auto" w:w="0"/>
        <w:tblLook w:firstColumn="1" w:firstRow="1" w:lastColumn="0" w:lastRow="0" w:noHBand="0" w:noVBand="1" w:val="04A0"/>
      </w:tblPr>
      <w:tblGrid>
        <w:gridCol w:w="1116"/>
        <w:gridCol w:w="1116"/>
        <w:gridCol w:w="1116"/>
        <w:gridCol w:w="1116"/>
        <w:gridCol w:w="1116"/>
        <w:gridCol w:w="1116"/>
        <w:gridCol w:w="1116"/>
        <w:gridCol w:w="1116"/>
      </w:tblGrid>
      <w:tr>
        <w:tc>
          <w:tcPr>
            <w:tcW w:type="dxa" w:w="1584"/>
            <w:shd w:val="clear" w:color="auto" w:fill="0D2B55"/>
            <w:vAlign w:val="center"/>
          </w:tcPr>
          <w:p>
            <w:pPr>
              <w:jc w:val="center"/>
              <w:spacing w:before="0" w:after="0"/>
            </w:pPr>
            <w:r>
              <w:rPr>
                <w:rFonts w:ascii="Calibri" w:hAnsi="Calibri"/>
                <w:b/>
                <w:color w:val="FFFFFF"/>
                <w:sz w:val="16"/>
              </w:rPr>
              <w:t>Segment</w:t>
            </w:r>
          </w:p>
        </w:tc>
        <w:tc>
          <w:tcPr>
            <w:tcW w:type="dxa" w:w="1325"/>
            <w:shd w:val="clear" w:color="auto" w:fill="0D2B55"/>
            <w:vAlign w:val="center"/>
          </w:tcPr>
          <w:p>
            <w:pPr>
              <w:jc w:val="center"/>
              <w:spacing w:before="0" w:after="0"/>
            </w:pPr>
            <w:r>
              <w:rPr>
                <w:rFonts w:ascii="Calibri" w:hAnsi="Calibri"/>
                <w:b/>
                <w:color w:val="FFFFFF"/>
                <w:sz w:val="16"/>
              </w:rPr>
              <w:t>ARR Q4 2022</w:t>
            </w:r>
          </w:p>
        </w:tc>
        <w:tc>
          <w:tcPr>
            <w:tcW w:type="dxa" w:w="749"/>
            <w:shd w:val="clear" w:color="auto" w:fill="0D2B55"/>
            <w:vAlign w:val="center"/>
          </w:tcPr>
          <w:p>
            <w:pPr>
              <w:jc w:val="center"/>
              <w:spacing w:before="0" w:after="0"/>
            </w:pPr>
            <w:r>
              <w:rPr>
                <w:rFonts w:ascii="Calibri" w:hAnsi="Calibri"/>
                <w:b/>
                <w:color w:val="FFFFFF"/>
                <w:sz w:val="16"/>
              </w:rPr>
              <w:t>Mix</w:t>
            </w:r>
          </w:p>
        </w:tc>
        <w:tc>
          <w:tcPr>
            <w:tcW w:type="dxa" w:w="1325"/>
            <w:shd w:val="clear" w:color="auto" w:fill="0D2B55"/>
            <w:vAlign w:val="center"/>
          </w:tcPr>
          <w:p>
            <w:pPr>
              <w:jc w:val="center"/>
              <w:spacing w:before="0" w:after="0"/>
            </w:pPr>
            <w:r>
              <w:rPr>
                <w:rFonts w:ascii="Calibri" w:hAnsi="Calibri"/>
                <w:b/>
                <w:color w:val="FFFFFF"/>
                <w:sz w:val="16"/>
              </w:rPr>
              <w:t>ARR Q4 2025</w:t>
            </w:r>
          </w:p>
        </w:tc>
        <w:tc>
          <w:tcPr>
            <w:tcW w:type="dxa" w:w="749"/>
            <w:shd w:val="clear" w:color="auto" w:fill="0D2B55"/>
            <w:vAlign w:val="center"/>
          </w:tcPr>
          <w:p>
            <w:pPr>
              <w:jc w:val="center"/>
              <w:spacing w:before="0" w:after="0"/>
            </w:pPr>
            <w:r>
              <w:rPr>
                <w:rFonts w:ascii="Calibri" w:hAnsi="Calibri"/>
                <w:b/>
                <w:color w:val="FFFFFF"/>
                <w:sz w:val="16"/>
              </w:rPr>
              <w:t>Mix</w:t>
            </w:r>
          </w:p>
        </w:tc>
        <w:tc>
          <w:tcPr>
            <w:tcW w:type="dxa" w:w="1224"/>
            <w:shd w:val="clear" w:color="auto" w:fill="0D2B55"/>
            <w:vAlign w:val="center"/>
          </w:tcPr>
          <w:p>
            <w:pPr>
              <w:jc w:val="center"/>
              <w:spacing w:before="0" w:after="0"/>
            </w:pPr>
            <w:r>
              <w:rPr>
                <w:rFonts w:ascii="Calibri" w:hAnsi="Calibri"/>
                <w:b/>
                <w:color w:val="FFFFFF"/>
                <w:sz w:val="16"/>
              </w:rPr>
              <w:t>YoY Growth</w:t>
            </w:r>
          </w:p>
        </w:tc>
        <w:tc>
          <w:tcPr>
            <w:tcW w:type="dxa" w:w="893"/>
            <w:shd w:val="clear" w:color="auto" w:fill="0D2B55"/>
            <w:vAlign w:val="center"/>
          </w:tcPr>
          <w:p>
            <w:pPr>
              <w:jc w:val="center"/>
              <w:spacing w:before="0" w:after="0"/>
            </w:pPr>
            <w:r>
              <w:rPr>
                <w:rFonts w:ascii="Calibri" w:hAnsi="Calibri"/>
                <w:b/>
                <w:color w:val="FFFFFF"/>
                <w:sz w:val="16"/>
              </w:rPr>
              <w:t>NRR</w:t>
            </w:r>
          </w:p>
        </w:tc>
        <w:tc>
          <w:tcPr>
            <w:tcW w:type="dxa" w:w="1181"/>
            <w:shd w:val="clear" w:color="auto" w:fill="0D2B55"/>
            <w:vAlign w:val="center"/>
          </w:tcPr>
          <w:p>
            <w:pPr>
              <w:jc w:val="center"/>
              <w:spacing w:before="0" w:after="0"/>
            </w:pPr>
            <w:r>
              <w:rPr>
                <w:rFonts w:ascii="Calibri" w:hAnsi="Calibri"/>
                <w:b/>
                <w:color w:val="FFFFFF"/>
                <w:sz w:val="16"/>
              </w:rPr>
              <w:t>Logo Churn</w:t>
            </w:r>
          </w:p>
        </w:tc>
      </w:tr>
      <w:tr>
        <w:tc>
          <w:tcPr>
            <w:tcW w:type="dxa" w:w="1181"/>
            <w:shd w:val="clear" w:color="auto" w:fill="F0F4F8"/>
            <w:vAlign w:val="center"/>
          </w:tcPr>
          <w:p>
            <w:pPr>
              <w:jc w:val="left"/>
              <w:spacing w:before="0" w:after="0"/>
            </w:pPr>
            <w:r>
              <w:rPr>
                <w:rFonts w:ascii="Calibri" w:hAnsi="Calibri"/>
                <w:color w:val="1A1A2E"/>
                <w:sz w:val="16"/>
              </w:rPr>
              <w:t>Enterprise</w:t>
            </w:r>
          </w:p>
        </w:tc>
        <w:tc>
          <w:tcPr>
            <w:tcW w:type="dxa" w:w="1181"/>
            <w:shd w:val="clear" w:color="auto" w:fill="F0F4F8"/>
            <w:vAlign w:val="center"/>
          </w:tcPr>
          <w:p>
            <w:pPr>
              <w:jc w:val="center"/>
              <w:spacing w:before="0" w:after="0"/>
            </w:pPr>
            <w:r>
              <w:rPr>
                <w:rFonts w:ascii="Calibri" w:hAnsi="Calibri"/>
                <w:color w:val="1A1A2E"/>
                <w:sz w:val="16"/>
              </w:rPr>
              <w:t>~$74M</w:t>
            </w:r>
          </w:p>
        </w:tc>
        <w:tc>
          <w:tcPr>
            <w:tcW w:type="dxa" w:w="1181"/>
            <w:shd w:val="clear" w:color="auto" w:fill="F0F4F8"/>
            <w:vAlign w:val="center"/>
          </w:tcPr>
          <w:p>
            <w:pPr>
              <w:jc w:val="center"/>
              <w:spacing w:before="0" w:after="0"/>
            </w:pPr>
            <w:r>
              <w:rPr>
                <w:rFonts w:ascii="Calibri" w:hAnsi="Calibri"/>
                <w:color w:val="1A1A2E"/>
                <w:sz w:val="16"/>
              </w:rPr>
              <w:t>27%</w:t>
            </w:r>
          </w:p>
        </w:tc>
        <w:tc>
          <w:tcPr>
            <w:tcW w:type="dxa" w:w="1181"/>
            <w:shd w:val="clear" w:color="auto" w:fill="F0F4F8"/>
            <w:vAlign w:val="center"/>
          </w:tcPr>
          <w:p>
            <w:pPr>
              <w:jc w:val="center"/>
              <w:spacing w:before="0" w:after="0"/>
            </w:pPr>
            <w:r>
              <w:rPr>
                <w:rFonts w:ascii="Calibri" w:hAnsi="Calibri"/>
                <w:color w:val="1A1A2E"/>
                <w:sz w:val="16"/>
              </w:rPr>
              <w:t>~$167M</w:t>
            </w:r>
          </w:p>
        </w:tc>
        <w:tc>
          <w:tcPr>
            <w:tcW w:type="dxa" w:w="1181"/>
            <w:shd w:val="clear" w:color="auto" w:fill="F0F4F8"/>
            <w:vAlign w:val="center"/>
          </w:tcPr>
          <w:p>
            <w:pPr>
              <w:jc w:val="center"/>
              <w:spacing w:before="0" w:after="0"/>
            </w:pPr>
            <w:r>
              <w:rPr>
                <w:rFonts w:ascii="Calibri" w:hAnsi="Calibri"/>
                <w:color w:val="1A1A2E"/>
                <w:sz w:val="16"/>
              </w:rPr>
              <w:t>40%</w:t>
            </w:r>
          </w:p>
        </w:tc>
        <w:tc>
          <w:tcPr>
            <w:tcW w:type="dxa" w:w="1181"/>
            <w:shd w:val="clear" w:color="auto" w:fill="F0F4F8"/>
            <w:vAlign w:val="center"/>
          </w:tcPr>
          <w:p>
            <w:pPr>
              <w:jc w:val="center"/>
              <w:spacing w:before="0" w:after="0"/>
            </w:pPr>
            <w:r>
              <w:rPr>
                <w:rFonts w:ascii="Calibri" w:hAnsi="Calibri"/>
                <w:color w:val="1A1A2E"/>
                <w:sz w:val="16"/>
              </w:rPr>
              <w:t>+21%</w:t>
            </w:r>
          </w:p>
        </w:tc>
        <w:tc>
          <w:tcPr>
            <w:tcW w:type="dxa" w:w="1181"/>
            <w:shd w:val="clear" w:color="auto" w:fill="F0F4F8"/>
            <w:vAlign w:val="center"/>
          </w:tcPr>
          <w:p>
            <w:pPr>
              <w:jc w:val="center"/>
              <w:spacing w:before="0" w:after="0"/>
            </w:pPr>
            <w:r>
              <w:rPr>
                <w:rFonts w:ascii="Calibri" w:hAnsi="Calibri"/>
                <w:color w:val="1A1A2E"/>
                <w:sz w:val="16"/>
              </w:rPr>
              <w:t>125%</w:t>
            </w:r>
          </w:p>
        </w:tc>
        <w:tc>
          <w:tcPr>
            <w:tcW w:type="dxa" w:w="1181"/>
            <w:shd w:val="clear" w:color="auto" w:fill="F0F4F8"/>
            <w:vAlign w:val="center"/>
          </w:tcPr>
          <w:p>
            <w:pPr>
              <w:jc w:val="center"/>
              <w:spacing w:before="0" w:after="0"/>
            </w:pPr>
            <w:r>
              <w:rPr>
                <w:rFonts w:ascii="Calibri" w:hAnsi="Calibri"/>
                <w:color w:val="1A1A2E"/>
                <w:sz w:val="16"/>
              </w:rPr>
              <w:t>2.6%</w:t>
            </w:r>
          </w:p>
        </w:tc>
      </w:tr>
      <w:tr>
        <w:tc>
          <w:tcPr>
            <w:tcW w:type="dxa" w:w="1181"/>
            <w:shd w:val="clear" w:color="auto" w:fill="FFFFFF"/>
            <w:vAlign w:val="center"/>
          </w:tcPr>
          <w:p>
            <w:pPr>
              <w:jc w:val="left"/>
              <w:spacing w:before="0" w:after="0"/>
            </w:pPr>
            <w:r>
              <w:rPr>
                <w:rFonts w:ascii="Calibri" w:hAnsi="Calibri"/>
                <w:color w:val="1A1A2E"/>
                <w:sz w:val="16"/>
              </w:rPr>
              <w:t>Mid-market</w:t>
            </w:r>
          </w:p>
        </w:tc>
        <w:tc>
          <w:tcPr>
            <w:tcW w:type="dxa" w:w="1181"/>
            <w:shd w:val="clear" w:color="auto" w:fill="FFFFFF"/>
            <w:vAlign w:val="center"/>
          </w:tcPr>
          <w:p>
            <w:pPr>
              <w:jc w:val="center"/>
              <w:spacing w:before="0" w:after="0"/>
            </w:pPr>
            <w:r>
              <w:rPr>
                <w:rFonts w:ascii="Calibri" w:hAnsi="Calibri"/>
                <w:color w:val="1A1A2E"/>
                <w:sz w:val="16"/>
              </w:rPr>
              <w:t>~$96M</w:t>
            </w:r>
          </w:p>
        </w:tc>
        <w:tc>
          <w:tcPr>
            <w:tcW w:type="dxa" w:w="1181"/>
            <w:shd w:val="clear" w:color="auto" w:fill="FFFFFF"/>
            <w:vAlign w:val="center"/>
          </w:tcPr>
          <w:p>
            <w:pPr>
              <w:jc w:val="center"/>
              <w:spacing w:before="0" w:after="0"/>
            </w:pPr>
            <w:r>
              <w:rPr>
                <w:rFonts w:ascii="Calibri" w:hAnsi="Calibri"/>
                <w:color w:val="1A1A2E"/>
                <w:sz w:val="16"/>
              </w:rPr>
              <w:t>35%</w:t>
            </w:r>
          </w:p>
        </w:tc>
        <w:tc>
          <w:tcPr>
            <w:tcW w:type="dxa" w:w="1181"/>
            <w:shd w:val="clear" w:color="auto" w:fill="FFFFFF"/>
            <w:vAlign w:val="center"/>
          </w:tcPr>
          <w:p>
            <w:pPr>
              <w:jc w:val="center"/>
              <w:spacing w:before="0" w:after="0"/>
            </w:pPr>
            <w:r>
              <w:rPr>
                <w:rFonts w:ascii="Calibri" w:hAnsi="Calibri"/>
                <w:color w:val="1A1A2E"/>
                <w:sz w:val="16"/>
              </w:rPr>
              <w:t>~$194M</w:t>
            </w:r>
          </w:p>
        </w:tc>
        <w:tc>
          <w:tcPr>
            <w:tcW w:type="dxa" w:w="1181"/>
            <w:shd w:val="clear" w:color="auto" w:fill="FFFFFF"/>
            <w:vAlign w:val="center"/>
          </w:tcPr>
          <w:p>
            <w:pPr>
              <w:jc w:val="center"/>
              <w:spacing w:before="0" w:after="0"/>
            </w:pPr>
            <w:r>
              <w:rPr>
                <w:rFonts w:ascii="Calibri" w:hAnsi="Calibri"/>
                <w:color w:val="1A1A2E"/>
                <w:sz w:val="16"/>
              </w:rPr>
              <w:t>47%</w:t>
            </w:r>
          </w:p>
        </w:tc>
        <w:tc>
          <w:tcPr>
            <w:tcW w:type="dxa" w:w="1181"/>
            <w:shd w:val="clear" w:color="auto" w:fill="FFFFFF"/>
            <w:vAlign w:val="center"/>
          </w:tcPr>
          <w:p>
            <w:pPr>
              <w:jc w:val="center"/>
              <w:spacing w:before="0" w:after="0"/>
            </w:pPr>
            <w:r>
              <w:rPr>
                <w:rFonts w:ascii="Calibri" w:hAnsi="Calibri"/>
                <w:color w:val="1A1A2E"/>
                <w:sz w:val="16"/>
              </w:rPr>
              <w:t>+6%</w:t>
            </w:r>
          </w:p>
        </w:tc>
        <w:tc>
          <w:tcPr>
            <w:tcW w:type="dxa" w:w="1181"/>
            <w:shd w:val="clear" w:color="auto" w:fill="FFFFFF"/>
            <w:vAlign w:val="center"/>
          </w:tcPr>
          <w:p>
            <w:pPr>
              <w:jc w:val="center"/>
              <w:spacing w:before="0" w:after="0"/>
            </w:pPr>
            <w:r>
              <w:rPr>
                <w:rFonts w:ascii="Calibri" w:hAnsi="Calibri"/>
                <w:color w:val="1A1A2E"/>
                <w:sz w:val="16"/>
              </w:rPr>
              <w:t>102%</w:t>
            </w:r>
          </w:p>
        </w:tc>
        <w:tc>
          <w:tcPr>
            <w:tcW w:type="dxa" w:w="1181"/>
            <w:shd w:val="clear" w:color="auto" w:fill="FFFFFF"/>
            <w:vAlign w:val="center"/>
          </w:tcPr>
          <w:p>
            <w:pPr>
              <w:jc w:val="center"/>
              <w:spacing w:before="0" w:after="0"/>
            </w:pPr>
            <w:r>
              <w:rPr>
                <w:rFonts w:ascii="Calibri" w:hAnsi="Calibri"/>
                <w:color w:val="1A1A2E"/>
                <w:sz w:val="16"/>
              </w:rPr>
              <w:t>10.2%</w:t>
            </w:r>
          </w:p>
        </w:tc>
      </w:tr>
      <w:tr>
        <w:tc>
          <w:tcPr>
            <w:tcW w:type="dxa" w:w="1181"/>
            <w:shd w:val="clear" w:color="auto" w:fill="F0F4F8"/>
            <w:vAlign w:val="center"/>
          </w:tcPr>
          <w:p>
            <w:pPr>
              <w:jc w:val="left"/>
              <w:spacing w:before="0" w:after="0"/>
            </w:pPr>
            <w:r>
              <w:rPr>
                <w:rFonts w:ascii="Calibri" w:hAnsi="Calibri"/>
                <w:color w:val="1A1A2E"/>
                <w:sz w:val="16"/>
              </w:rPr>
              <w:t>SMB</w:t>
            </w:r>
          </w:p>
        </w:tc>
        <w:tc>
          <w:tcPr>
            <w:tcW w:type="dxa" w:w="1181"/>
            <w:shd w:val="clear" w:color="auto" w:fill="F0F4F8"/>
            <w:vAlign w:val="center"/>
          </w:tcPr>
          <w:p>
            <w:pPr>
              <w:jc w:val="center"/>
              <w:spacing w:before="0" w:after="0"/>
            </w:pPr>
            <w:r>
              <w:rPr>
                <w:rFonts w:ascii="Calibri" w:hAnsi="Calibri"/>
                <w:color w:val="1A1A2E"/>
                <w:sz w:val="16"/>
              </w:rPr>
              <w:t>~$105M</w:t>
            </w:r>
          </w:p>
        </w:tc>
        <w:tc>
          <w:tcPr>
            <w:tcW w:type="dxa" w:w="1181"/>
            <w:shd w:val="clear" w:color="auto" w:fill="F0F4F8"/>
            <w:vAlign w:val="center"/>
          </w:tcPr>
          <w:p>
            <w:pPr>
              <w:jc w:val="center"/>
              <w:spacing w:before="0" w:after="0"/>
            </w:pPr>
            <w:r>
              <w:rPr>
                <w:rFonts w:ascii="Calibri" w:hAnsi="Calibri"/>
                <w:color w:val="1A1A2E"/>
                <w:sz w:val="16"/>
              </w:rPr>
              <w:t>38%</w:t>
            </w:r>
          </w:p>
        </w:tc>
        <w:tc>
          <w:tcPr>
            <w:tcW w:type="dxa" w:w="1181"/>
            <w:shd w:val="clear" w:color="auto" w:fill="F0F4F8"/>
            <w:vAlign w:val="center"/>
          </w:tcPr>
          <w:p>
            <w:pPr>
              <w:jc w:val="center"/>
              <w:spacing w:before="0" w:after="0"/>
            </w:pPr>
            <w:r>
              <w:rPr>
                <w:rFonts w:ascii="Calibri" w:hAnsi="Calibri"/>
                <w:color w:val="1A1A2E"/>
                <w:sz w:val="16"/>
              </w:rPr>
              <w:t>~$52M</w:t>
            </w:r>
          </w:p>
        </w:tc>
        <w:tc>
          <w:tcPr>
            <w:tcW w:type="dxa" w:w="1181"/>
            <w:shd w:val="clear" w:color="auto" w:fill="F0F4F8"/>
            <w:vAlign w:val="center"/>
          </w:tcPr>
          <w:p>
            <w:pPr>
              <w:jc w:val="center"/>
              <w:spacing w:before="0" w:after="0"/>
            </w:pPr>
            <w:r>
              <w:rPr>
                <w:rFonts w:ascii="Calibri" w:hAnsi="Calibri"/>
                <w:color w:val="1A1A2E"/>
                <w:sz w:val="16"/>
              </w:rPr>
              <w:t>13%</w:t>
            </w:r>
          </w:p>
        </w:tc>
        <w:tc>
          <w:tcPr>
            <w:tcW w:type="dxa" w:w="1181"/>
            <w:shd w:val="clear" w:color="auto" w:fill="F0F4F8"/>
            <w:vAlign w:val="center"/>
          </w:tcPr>
          <w:p>
            <w:pPr>
              <w:jc w:val="center"/>
              <w:spacing w:before="0" w:after="0"/>
            </w:pPr>
            <w:r>
              <w:rPr>
                <w:rFonts w:ascii="Calibri" w:hAnsi="Calibri"/>
                <w:color w:val="1A1A2E"/>
                <w:sz w:val="16"/>
              </w:rPr>
              <w:t>-23%</w:t>
            </w:r>
          </w:p>
        </w:tc>
        <w:tc>
          <w:tcPr>
            <w:tcW w:type="dxa" w:w="1181"/>
            <w:shd w:val="clear" w:color="auto" w:fill="F0F4F8"/>
            <w:vAlign w:val="center"/>
          </w:tcPr>
          <w:p>
            <w:pPr>
              <w:jc w:val="center"/>
              <w:spacing w:before="0" w:after="0"/>
            </w:pPr>
            <w:r>
              <w:rPr>
                <w:rFonts w:ascii="Calibri" w:hAnsi="Calibri"/>
                <w:color w:val="1A1A2E"/>
                <w:sz w:val="16"/>
              </w:rPr>
              <w:t>84%</w:t>
            </w:r>
          </w:p>
        </w:tc>
        <w:tc>
          <w:tcPr>
            <w:tcW w:type="dxa" w:w="1181"/>
            <w:shd w:val="clear" w:color="auto" w:fill="F0F4F8"/>
            <w:vAlign w:val="center"/>
          </w:tcPr>
          <w:p>
            <w:pPr>
              <w:jc w:val="center"/>
              <w:spacing w:before="0" w:after="0"/>
            </w:pPr>
            <w:r>
              <w:rPr>
                <w:rFonts w:ascii="Calibri" w:hAnsi="Calibri"/>
                <w:color w:val="1A1A2E"/>
                <w:sz w:val="16"/>
              </w:rPr>
              <w:t>22.1%</w:t>
            </w:r>
          </w:p>
        </w:tc>
      </w:tr>
      <w:tr>
        <w:tc>
          <w:tcPr>
            <w:tcW w:type="dxa" w:w="1181"/>
            <w:shd w:val="clear" w:color="auto" w:fill="FFFFFF"/>
            <w:vAlign w:val="center"/>
          </w:tcPr>
          <w:p>
            <w:pPr>
              <w:jc w:val="left"/>
              <w:spacing w:before="0" w:after="0"/>
            </w:pPr>
            <w:r>
              <w:rPr>
                <w:rFonts w:ascii="Calibri" w:hAnsi="Calibri"/>
                <w:color w:val="1A1A2E"/>
                <w:sz w:val="16"/>
              </w:rPr>
              <w:t>Total</w:t>
            </w:r>
          </w:p>
        </w:tc>
        <w:tc>
          <w:tcPr>
            <w:tcW w:type="dxa" w:w="1181"/>
            <w:shd w:val="clear" w:color="auto" w:fill="FFFFFF"/>
            <w:vAlign w:val="center"/>
          </w:tcPr>
          <w:p>
            <w:pPr>
              <w:jc w:val="center"/>
              <w:spacing w:before="0" w:after="0"/>
            </w:pPr>
            <w:r>
              <w:rPr>
                <w:rFonts w:ascii="Calibri" w:hAnsi="Calibri"/>
                <w:color w:val="1A1A2E"/>
                <w:sz w:val="16"/>
              </w:rPr>
              <w:t>~$275M</w:t>
            </w:r>
          </w:p>
        </w:tc>
        <w:tc>
          <w:tcPr>
            <w:tcW w:type="dxa" w:w="1181"/>
            <w:shd w:val="clear" w:color="auto" w:fill="FFFFFF"/>
            <w:vAlign w:val="center"/>
          </w:tcPr>
          <w:p>
            <w:pPr>
              <w:jc w:val="center"/>
              <w:spacing w:before="0" w:after="0"/>
            </w:pPr>
            <w:r>
              <w:rPr>
                <w:rFonts w:ascii="Calibri" w:hAnsi="Calibri"/>
                <w:color w:val="1A1A2E"/>
                <w:sz w:val="16"/>
              </w:rPr>
              <w:t>100%</w:t>
            </w:r>
          </w:p>
        </w:tc>
        <w:tc>
          <w:tcPr>
            <w:tcW w:type="dxa" w:w="1181"/>
            <w:shd w:val="clear" w:color="auto" w:fill="FFFFFF"/>
            <w:vAlign w:val="center"/>
          </w:tcPr>
          <w:p>
            <w:pPr>
              <w:jc w:val="center"/>
              <w:spacing w:before="0" w:after="0"/>
            </w:pPr>
            <w:r>
              <w:rPr>
                <w:rFonts w:ascii="Calibri" w:hAnsi="Calibri"/>
                <w:color w:val="1A1A2E"/>
                <w:sz w:val="16"/>
              </w:rPr>
              <w:t>~$413M</w:t>
            </w:r>
          </w:p>
        </w:tc>
        <w:tc>
          <w:tcPr>
            <w:tcW w:type="dxa" w:w="1181"/>
            <w:shd w:val="clear" w:color="auto" w:fill="FFFFFF"/>
            <w:vAlign w:val="center"/>
          </w:tcPr>
          <w:p>
            <w:pPr>
              <w:jc w:val="center"/>
              <w:spacing w:before="0" w:after="0"/>
            </w:pPr>
            <w:r>
              <w:rPr>
                <w:rFonts w:ascii="Calibri" w:hAnsi="Calibri"/>
                <w:color w:val="1A1A2E"/>
                <w:sz w:val="16"/>
              </w:rPr>
              <w:t>100%</w:t>
            </w:r>
          </w:p>
        </w:tc>
        <w:tc>
          <w:tcPr>
            <w:tcW w:type="dxa" w:w="1181"/>
            <w:shd w:val="clear" w:color="auto" w:fill="FFFFFF"/>
            <w:vAlign w:val="center"/>
          </w:tcPr>
          <w:p>
            <w:pPr>
              <w:jc w:val="center"/>
              <w:spacing w:before="0" w:after="0"/>
            </w:pPr>
            <w:r>
              <w:rPr>
                <w:rFonts w:ascii="Calibri" w:hAnsi="Calibri"/>
                <w:color w:val="1A1A2E"/>
                <w:sz w:val="16"/>
              </w:rPr>
              <w:t>+10%</w:t>
            </w:r>
          </w:p>
        </w:tc>
        <w:tc>
          <w:tcPr>
            <w:tcW w:type="dxa" w:w="1181"/>
            <w:shd w:val="clear" w:color="auto" w:fill="FFFFFF"/>
            <w:vAlign w:val="center"/>
          </w:tcPr>
          <w:p>
            <w:pPr>
              <w:jc w:val="center"/>
              <w:spacing w:before="0" w:after="0"/>
            </w:pPr>
            <w:r>
              <w:rPr>
                <w:rFonts w:ascii="Calibri" w:hAnsi="Calibri"/>
                <w:color w:val="1A1A2E"/>
                <w:sz w:val="16"/>
              </w:rPr>
              <w:t>109%</w:t>
            </w:r>
          </w:p>
        </w:tc>
        <w:tc>
          <w:tcPr>
            <w:tcW w:type="dxa" w:w="1181"/>
            <w:shd w:val="clear" w:color="auto" w:fill="FFFFFF"/>
            <w:vAlign w:val="center"/>
          </w:tcPr>
          <w:p>
            <w:pPr>
              <w:jc w:val="center"/>
              <w:spacing w:before="0" w:after="0"/>
            </w:pPr>
            <w:r>
              <w:rPr>
                <w:rFonts w:ascii="Calibri" w:hAnsi="Calibri"/>
                <w:color w:val="1A1A2E"/>
                <w:sz w:val="16"/>
              </w:rPr>
              <w:t>—</w:t>
            </w:r>
          </w:p>
        </w:tc>
      </w:tr>
    </w:tbl>
    <w:p>
      <w:pPr>
        <w:spacing w:before="80" w:after="200"/>
        <w:ind w:left="288"/>
        <w:pBdr>
          <w:left w:val="single" w:sz="18" w:space="4" w:color="C89A2A"/>
        </w:pBdr>
      </w:pPr>
      <w:r>
        <w:rPr>
          <w:rFonts w:ascii="Calibri" w:hAnsi="Calibri"/>
          <w:i/>
          <w:color w:val="44546E"/>
          <w:sz w:val="18"/>
        </w:rPr>
        <w:t>Read: Enterprise has nearly doubled its ARR share (27% → 40%) and is the engine of the business. SMB has collapsed (38% → 13%) and is an active drag. Mid-market, at 47% of ARR, is the swing segment — and at 6% growth with NRR of 102%, it is barely treading water.</w:t>
      </w:r>
    </w:p>
    <w:p>
      <w:pPr>
        <w:spacing w:before="0" w:after="160"/>
      </w:pPr>
      <w:r>
        <w:rPr>
          <w:rFonts w:ascii="Calibri" w:hAnsi="Calibri"/>
          <w:color w:val="1A1A2E"/>
          <w:sz w:val="22"/>
        </w:rPr>
        <w:t>The SMB decline costs us approximately thirty million dollars of growth headwind in 2026 alone. I have made the decision to run SMB on a self-funded basis. The segment will stand on its own economics or we will manage it down in a controlled way. We will not subsidize it from enterprise margins.</w:t>
      </w:r>
    </w:p>
    <w:p>
      <w:pPr>
        <w:spacing w:before="280" w:after="40"/>
      </w:pPr>
      <w:r>
        <w:rPr>
          <w:rFonts w:ascii="Calibri" w:hAnsi="Calibri"/>
          <w:b/>
          <w:color w:val="0D2B55"/>
          <w:sz w:val="17"/>
        </w:rPr>
        <w:t>ISSUE 2 — AI COMPETITIVE POSITION</w:t>
      </w:r>
    </w:p>
    <w:p>
      <w:pPr>
        <w:spacing w:before="0" w:after="120"/>
      </w:pPr>
      <w:r>
        <w:rPr>
          <w:rFonts w:ascii="Calibri" w:hAnsi="Calibri"/>
          <w:color w:val="1A1A2E"/>
          <w:sz w:val="22"/>
        </w:rPr>
        <w:t>The second issue is AI. I will not soften this: we were late. Asana shipped their agent in the fall of 2024. We shipped AI Copilot to general availability in September 2025. Asana has since bundled AI into their standard tier. Monday is now larger than us by ARR. ClearAI Work raised a hundred-and-twenty-million-dollar round at a billion-dollar valuation and is taking our SMB.</w:t>
      </w:r>
    </w:p>
    <w:p>
      <w:pPr>
        <w:spacing w:before="0" w:after="120"/>
      </w:pPr>
      <w:r>
        <w:rPr>
          <w:rFonts w:ascii="Calibri" w:hAnsi="Calibri"/>
          <w:color w:val="1A1A2E"/>
          <w:sz w:val="22"/>
        </w:rPr>
        <w:t>And yet — the early Copilot numbers give me genuine confidence that we can compete. Seven hundred ten paying seats at year-end, against an internal target of six hundred. A forty-four-percent attach rate on enterprise renewals in Q4, against a target of forty percent. The Helio Labs acquisition — twenty-eight engineers from leading AI labs, a working agent framework — compressed our roadmap by an estimated fifteen months.</w:t>
      </w:r>
    </w:p>
    <w:p>
      <w:pPr>
        <w:spacing w:before="280" w:after="40"/>
      </w:pPr>
      <w:r>
        <w:rPr>
          <w:rFonts w:ascii="Calibri" w:hAnsi="Calibri"/>
          <w:b/>
          <w:color w:val="0D2B55"/>
          <w:sz w:val="17"/>
        </w:rPr>
        <w:t>EXHIBIT 3 — AI COPILOT RAMP</w:t>
      </w:r>
    </w:p>
    <w:tbl>
      <w:tblPr>
        <w:tblStyle w:val="TableGrid"/>
        <w:tblW w:type="auto" w:w="0"/>
        <w:tblLook w:firstColumn="1" w:firstRow="1" w:lastColumn="0" w:lastRow="0" w:noHBand="0" w:noVBand="1" w:val="04A0"/>
      </w:tblPr>
      <w:tblGrid>
        <w:gridCol w:w="2232"/>
        <w:gridCol w:w="2232"/>
        <w:gridCol w:w="2232"/>
        <w:gridCol w:w="2232"/>
      </w:tblGrid>
      <w:tr>
        <w:tc>
          <w:tcPr>
            <w:tcW w:type="dxa" w:w="1728"/>
            <w:shd w:val="clear" w:color="auto" w:fill="0D2B55"/>
            <w:vAlign w:val="center"/>
          </w:tcPr>
          <w:p>
            <w:pPr>
              <w:jc w:val="center"/>
              <w:spacing w:before="0" w:after="0"/>
            </w:pPr>
            <w:r>
              <w:rPr>
                <w:rFonts w:ascii="Calibri" w:hAnsi="Calibri"/>
                <w:b/>
                <w:color w:val="FFFFFF"/>
                <w:sz w:val="16"/>
              </w:rPr>
              <w:t>Quarter</w:t>
            </w:r>
          </w:p>
        </w:tc>
        <w:tc>
          <w:tcPr>
            <w:tcW w:type="dxa" w:w="1728"/>
            <w:shd w:val="clear" w:color="auto" w:fill="0D2B55"/>
            <w:vAlign w:val="center"/>
          </w:tcPr>
          <w:p>
            <w:pPr>
              <w:jc w:val="center"/>
              <w:spacing w:before="0" w:after="0"/>
            </w:pPr>
            <w:r>
              <w:rPr>
                <w:rFonts w:ascii="Calibri" w:hAnsi="Calibri"/>
                <w:b/>
                <w:color w:val="FFFFFF"/>
                <w:sz w:val="16"/>
              </w:rPr>
              <w:t>Paying Seats</w:t>
            </w:r>
          </w:p>
        </w:tc>
        <w:tc>
          <w:tcPr>
            <w:tcW w:type="dxa" w:w="2232"/>
            <w:shd w:val="clear" w:color="auto" w:fill="0D2B55"/>
            <w:vAlign w:val="center"/>
          </w:tcPr>
          <w:p>
            <w:pPr>
              <w:jc w:val="center"/>
              <w:spacing w:before="0" w:after="0"/>
            </w:pPr>
            <w:r>
              <w:rPr>
                <w:rFonts w:ascii="Calibri" w:hAnsi="Calibri"/>
                <w:b/>
                <w:color w:val="FFFFFF"/>
                <w:sz w:val="16"/>
              </w:rPr>
              <w:t>ARR Contribution</w:t>
            </w:r>
          </w:p>
        </w:tc>
        <w:tc>
          <w:tcPr>
            <w:tcW w:type="dxa" w:w="2664"/>
            <w:shd w:val="clear" w:color="auto" w:fill="0D2B55"/>
            <w:vAlign w:val="center"/>
          </w:tcPr>
          <w:p>
            <w:pPr>
              <w:jc w:val="center"/>
              <w:spacing w:before="0" w:after="0"/>
            </w:pPr>
            <w:r>
              <w:rPr>
                <w:rFonts w:ascii="Calibri" w:hAnsi="Calibri"/>
                <w:b/>
                <w:color w:val="FFFFFF"/>
                <w:sz w:val="16"/>
              </w:rPr>
              <w:t>Enterprise Attach Rate</w:t>
            </w:r>
          </w:p>
        </w:tc>
      </w:tr>
      <w:tr>
        <w:tc>
          <w:tcPr>
            <w:tcW w:type="dxa" w:w="2664"/>
            <w:shd w:val="clear" w:color="auto" w:fill="F0F4F8"/>
            <w:vAlign w:val="center"/>
          </w:tcPr>
          <w:p>
            <w:pPr>
              <w:jc w:val="left"/>
              <w:spacing w:before="0" w:after="0"/>
            </w:pPr>
            <w:r>
              <w:rPr>
                <w:rFonts w:ascii="Calibri" w:hAnsi="Calibri"/>
                <w:color w:val="1A1A2E"/>
                <w:sz w:val="16"/>
              </w:rPr>
              <w:t>Q4 2024 (closed beta)</w:t>
            </w:r>
          </w:p>
        </w:tc>
        <w:tc>
          <w:tcPr>
            <w:tcW w:type="dxa" w:w="2664"/>
            <w:shd w:val="clear" w:color="auto" w:fill="F0F4F8"/>
            <w:vAlign w:val="center"/>
          </w:tcPr>
          <w:p>
            <w:pPr>
              <w:jc w:val="center"/>
              <w:spacing w:before="0" w:after="0"/>
            </w:pPr>
            <w:r>
              <w:rPr>
                <w:rFonts w:ascii="Calibri" w:hAnsi="Calibri"/>
                <w:color w:val="1A1A2E"/>
                <w:sz w:val="16"/>
              </w:rPr>
              <w:t>0</w:t>
            </w:r>
          </w:p>
        </w:tc>
        <w:tc>
          <w:tcPr>
            <w:tcW w:type="dxa" w:w="2664"/>
            <w:shd w:val="clear" w:color="auto" w:fill="F0F4F8"/>
            <w:vAlign w:val="center"/>
          </w:tcPr>
          <w:p>
            <w:pPr>
              <w:jc w:val="center"/>
              <w:spacing w:before="0" w:after="0"/>
            </w:pPr>
            <w:r>
              <w:rPr>
                <w:rFonts w:ascii="Calibri" w:hAnsi="Calibri"/>
                <w:color w:val="1A1A2E"/>
                <w:sz w:val="16"/>
              </w:rPr>
              <w:t>$0</w:t>
            </w:r>
          </w:p>
        </w:tc>
        <w:tc>
          <w:tcPr>
            <w:tcW w:type="dxa" w:w="2664"/>
            <w:shd w:val="clear" w:color="auto" w:fill="F0F4F8"/>
            <w:vAlign w:val="center"/>
          </w:tcPr>
          <w:p>
            <w:pPr>
              <w:jc w:val="center"/>
              <w:spacing w:before="0" w:after="0"/>
            </w:pPr>
            <w:r>
              <w:rPr>
                <w:rFonts w:ascii="Calibri" w:hAnsi="Calibri"/>
                <w:color w:val="1A1A2E"/>
                <w:sz w:val="16"/>
              </w:rPr>
              <w:t>—</w:t>
            </w:r>
          </w:p>
        </w:tc>
      </w:tr>
      <w:tr>
        <w:tc>
          <w:tcPr>
            <w:tcW w:type="dxa" w:w="2664"/>
            <w:shd w:val="clear" w:color="auto" w:fill="FFFFFF"/>
            <w:vAlign w:val="center"/>
          </w:tcPr>
          <w:p>
            <w:pPr>
              <w:jc w:val="left"/>
              <w:spacing w:before="0" w:after="0"/>
            </w:pPr>
            <w:r>
              <w:rPr>
                <w:rFonts w:ascii="Calibri" w:hAnsi="Calibri"/>
                <w:color w:val="1A1A2E"/>
                <w:sz w:val="16"/>
              </w:rPr>
              <w:t>Q1 2025</w:t>
            </w:r>
          </w:p>
        </w:tc>
        <w:tc>
          <w:tcPr>
            <w:tcW w:type="dxa" w:w="2664"/>
            <w:shd w:val="clear" w:color="auto" w:fill="FFFFFF"/>
            <w:vAlign w:val="center"/>
          </w:tcPr>
          <w:p>
            <w:pPr>
              <w:jc w:val="center"/>
              <w:spacing w:before="0" w:after="0"/>
            </w:pPr>
            <w:r>
              <w:rPr>
                <w:rFonts w:ascii="Calibri" w:hAnsi="Calibri"/>
                <w:color w:val="1A1A2E"/>
                <w:sz w:val="16"/>
              </w:rPr>
              <w:t>0</w:t>
            </w:r>
          </w:p>
        </w:tc>
        <w:tc>
          <w:tcPr>
            <w:tcW w:type="dxa" w:w="2664"/>
            <w:shd w:val="clear" w:color="auto" w:fill="FFFFFF"/>
            <w:vAlign w:val="center"/>
          </w:tcPr>
          <w:p>
            <w:pPr>
              <w:jc w:val="center"/>
              <w:spacing w:before="0" w:after="0"/>
            </w:pPr>
            <w:r>
              <w:rPr>
                <w:rFonts w:ascii="Calibri" w:hAnsi="Calibri"/>
                <w:color w:val="1A1A2E"/>
                <w:sz w:val="16"/>
              </w:rPr>
              <w:t>$0</w:t>
            </w:r>
          </w:p>
        </w:tc>
        <w:tc>
          <w:tcPr>
            <w:tcW w:type="dxa" w:w="2664"/>
            <w:shd w:val="clear" w:color="auto" w:fill="FFFFFF"/>
            <w:vAlign w:val="center"/>
          </w:tcPr>
          <w:p>
            <w:pPr>
              <w:jc w:val="center"/>
              <w:spacing w:before="0" w:after="0"/>
            </w:pPr>
            <w:r>
              <w:rPr>
                <w:rFonts w:ascii="Calibri" w:hAnsi="Calibri"/>
                <w:color w:val="1A1A2E"/>
                <w:sz w:val="16"/>
              </w:rPr>
              <w:t>—</w:t>
            </w:r>
          </w:p>
        </w:tc>
      </w:tr>
      <w:tr>
        <w:tc>
          <w:tcPr>
            <w:tcW w:type="dxa" w:w="2664"/>
            <w:shd w:val="clear" w:color="auto" w:fill="F0F4F8"/>
            <w:vAlign w:val="center"/>
          </w:tcPr>
          <w:p>
            <w:pPr>
              <w:jc w:val="left"/>
              <w:spacing w:before="0" w:after="0"/>
            </w:pPr>
            <w:r>
              <w:rPr>
                <w:rFonts w:ascii="Calibri" w:hAnsi="Calibri"/>
                <w:color w:val="1A1A2E"/>
                <w:sz w:val="16"/>
              </w:rPr>
              <w:t>Q2 2025 (open beta)</w:t>
            </w:r>
          </w:p>
        </w:tc>
        <w:tc>
          <w:tcPr>
            <w:tcW w:type="dxa" w:w="2664"/>
            <w:shd w:val="clear" w:color="auto" w:fill="F0F4F8"/>
            <w:vAlign w:val="center"/>
          </w:tcPr>
          <w:p>
            <w:pPr>
              <w:jc w:val="center"/>
              <w:spacing w:before="0" w:after="0"/>
            </w:pPr>
            <w:r>
              <w:rPr>
                <w:rFonts w:ascii="Calibri" w:hAnsi="Calibri"/>
                <w:color w:val="1A1A2E"/>
                <w:sz w:val="16"/>
              </w:rPr>
              <w:t>140</w:t>
            </w:r>
          </w:p>
        </w:tc>
        <w:tc>
          <w:tcPr>
            <w:tcW w:type="dxa" w:w="2664"/>
            <w:shd w:val="clear" w:color="auto" w:fill="F0F4F8"/>
            <w:vAlign w:val="center"/>
          </w:tcPr>
          <w:p>
            <w:pPr>
              <w:jc w:val="center"/>
              <w:spacing w:before="0" w:after="0"/>
            </w:pPr>
            <w:r>
              <w:rPr>
                <w:rFonts w:ascii="Calibri" w:hAnsi="Calibri"/>
                <w:color w:val="1A1A2E"/>
                <w:sz w:val="16"/>
              </w:rPr>
              <w:t>~$0.7M</w:t>
            </w:r>
          </w:p>
        </w:tc>
        <w:tc>
          <w:tcPr>
            <w:tcW w:type="dxa" w:w="2664"/>
            <w:shd w:val="clear" w:color="auto" w:fill="F0F4F8"/>
            <w:vAlign w:val="center"/>
          </w:tcPr>
          <w:p>
            <w:pPr>
              <w:jc w:val="center"/>
              <w:spacing w:before="0" w:after="0"/>
            </w:pPr>
            <w:r>
              <w:rPr>
                <w:rFonts w:ascii="Calibri" w:hAnsi="Calibri"/>
                <w:color w:val="1A1A2E"/>
                <w:sz w:val="16"/>
              </w:rPr>
              <w:t>—</w:t>
            </w:r>
          </w:p>
        </w:tc>
      </w:tr>
      <w:tr>
        <w:tc>
          <w:tcPr>
            <w:tcW w:type="dxa" w:w="2664"/>
            <w:shd w:val="clear" w:color="auto" w:fill="FFFFFF"/>
            <w:vAlign w:val="center"/>
          </w:tcPr>
          <w:p>
            <w:pPr>
              <w:jc w:val="left"/>
              <w:spacing w:before="0" w:after="0"/>
            </w:pPr>
            <w:r>
              <w:rPr>
                <w:rFonts w:ascii="Calibri" w:hAnsi="Calibri"/>
                <w:color w:val="1A1A2E"/>
                <w:sz w:val="16"/>
              </w:rPr>
              <w:t>Q3 2025 (GA Sep)</w:t>
            </w:r>
          </w:p>
        </w:tc>
        <w:tc>
          <w:tcPr>
            <w:tcW w:type="dxa" w:w="2664"/>
            <w:shd w:val="clear" w:color="auto" w:fill="FFFFFF"/>
            <w:vAlign w:val="center"/>
          </w:tcPr>
          <w:p>
            <w:pPr>
              <w:jc w:val="center"/>
              <w:spacing w:before="0" w:after="0"/>
            </w:pPr>
            <w:r>
              <w:rPr>
                <w:rFonts w:ascii="Calibri" w:hAnsi="Calibri"/>
                <w:color w:val="1A1A2E"/>
                <w:sz w:val="16"/>
              </w:rPr>
              <w:t>420</w:t>
            </w:r>
          </w:p>
        </w:tc>
        <w:tc>
          <w:tcPr>
            <w:tcW w:type="dxa" w:w="2664"/>
            <w:shd w:val="clear" w:color="auto" w:fill="FFFFFF"/>
            <w:vAlign w:val="center"/>
          </w:tcPr>
          <w:p>
            <w:pPr>
              <w:jc w:val="center"/>
              <w:spacing w:before="0" w:after="0"/>
            </w:pPr>
            <w:r>
              <w:rPr>
                <w:rFonts w:ascii="Calibri" w:hAnsi="Calibri"/>
                <w:color w:val="1A1A2E"/>
                <w:sz w:val="16"/>
              </w:rPr>
              <w:t>~$2.0M</w:t>
            </w:r>
          </w:p>
        </w:tc>
        <w:tc>
          <w:tcPr>
            <w:tcW w:type="dxa" w:w="2664"/>
            <w:shd w:val="clear" w:color="auto" w:fill="FFFFFF"/>
            <w:vAlign w:val="center"/>
          </w:tcPr>
          <w:p>
            <w:pPr>
              <w:jc w:val="center"/>
              <w:spacing w:before="0" w:after="0"/>
            </w:pPr>
            <w:r>
              <w:rPr>
                <w:rFonts w:ascii="Calibri" w:hAnsi="Calibri"/>
                <w:color w:val="1A1A2E"/>
                <w:sz w:val="16"/>
              </w:rPr>
              <w:t>—</w:t>
            </w:r>
          </w:p>
        </w:tc>
      </w:tr>
      <w:tr>
        <w:tc>
          <w:tcPr>
            <w:tcW w:type="dxa" w:w="2664"/>
            <w:shd w:val="clear" w:color="auto" w:fill="F0F4F8"/>
            <w:vAlign w:val="center"/>
          </w:tcPr>
          <w:p>
            <w:pPr>
              <w:jc w:val="left"/>
              <w:spacing w:before="0" w:after="0"/>
            </w:pPr>
            <w:r>
              <w:rPr>
                <w:rFonts w:ascii="Calibri" w:hAnsi="Calibri"/>
                <w:color w:val="1A1A2E"/>
                <w:sz w:val="16"/>
              </w:rPr>
              <w:t>Q4 2025</w:t>
            </w:r>
          </w:p>
        </w:tc>
        <w:tc>
          <w:tcPr>
            <w:tcW w:type="dxa" w:w="2664"/>
            <w:shd w:val="clear" w:color="auto" w:fill="F0F4F8"/>
            <w:vAlign w:val="center"/>
          </w:tcPr>
          <w:p>
            <w:pPr>
              <w:jc w:val="center"/>
              <w:spacing w:before="0" w:after="0"/>
            </w:pPr>
            <w:r>
              <w:rPr>
                <w:rFonts w:ascii="Calibri" w:hAnsi="Calibri"/>
                <w:color w:val="1A1A2E"/>
                <w:sz w:val="16"/>
              </w:rPr>
              <w:t>710</w:t>
            </w:r>
          </w:p>
        </w:tc>
        <w:tc>
          <w:tcPr>
            <w:tcW w:type="dxa" w:w="2664"/>
            <w:shd w:val="clear" w:color="auto" w:fill="F0F4F8"/>
            <w:vAlign w:val="center"/>
          </w:tcPr>
          <w:p>
            <w:pPr>
              <w:jc w:val="center"/>
              <w:spacing w:before="0" w:after="0"/>
            </w:pPr>
            <w:r>
              <w:rPr>
                <w:rFonts w:ascii="Calibri" w:hAnsi="Calibri"/>
                <w:color w:val="1A1A2E"/>
                <w:sz w:val="16"/>
              </w:rPr>
              <w:t>~$3.5M</w:t>
            </w:r>
          </w:p>
        </w:tc>
        <w:tc>
          <w:tcPr>
            <w:tcW w:type="dxa" w:w="2664"/>
            <w:shd w:val="clear" w:color="auto" w:fill="F0F4F8"/>
            <w:vAlign w:val="center"/>
          </w:tcPr>
          <w:p>
            <w:pPr>
              <w:jc w:val="center"/>
              <w:spacing w:before="0" w:after="0"/>
            </w:pPr>
            <w:r>
              <w:rPr>
                <w:rFonts w:ascii="Calibri" w:hAnsi="Calibri"/>
                <w:color w:val="1A1A2E"/>
                <w:sz w:val="16"/>
              </w:rPr>
              <w:t>44%  ✓ (target: 40%)</w:t>
            </w:r>
          </w:p>
        </w:tc>
      </w:tr>
    </w:tbl>
    <w:p>
      <w:pPr>
        <w:spacing w:before="80" w:after="200"/>
        <w:ind w:left="288"/>
        <w:pBdr>
          <w:left w:val="single" w:sz="18" w:space="4" w:color="C89A2A"/>
        </w:pBdr>
      </w:pPr>
      <w:r>
        <w:rPr>
          <w:rFonts w:ascii="Calibri" w:hAnsi="Calibri"/>
          <w:i/>
          <w:color w:val="44546E"/>
          <w:sz w:val="18"/>
        </w:rPr>
        <w:t>Read: Copilot is early-stage at $3.5M ARR, but the Q4 attach rate of 44% is the most important leading indicator in this business. If it holds as the enterprise renewal base cycles through 2026, AI becomes a material growth driver — not a cost.</w:t>
      </w:r>
    </w:p>
    <w:p>
      <w:pPr>
        <w:spacing w:before="0" w:after="160"/>
      </w:pPr>
      <w:r>
        <w:rPr>
          <w:rFonts w:ascii="Calibri" w:hAnsi="Calibri"/>
          <w:color w:val="1A1A2E"/>
          <w:sz w:val="22"/>
        </w:rPr>
        <w:t>I will share the full AI roadmap at Investor Day on March eleventh. What I will say here is that our enterprise differentiation — FedRAMP Moderate, HIPAA, the governance and audit features that regulated industries require — is where we win, and where Asana does not. We will build our AI strategy around that moat.</w:t>
      </w:r>
    </w:p>
    <w:p>
      <w:pPr>
        <w:spacing w:before="280" w:after="40"/>
      </w:pPr>
      <w:r>
        <w:rPr>
          <w:rFonts w:ascii="Calibri" w:hAnsi="Calibri"/>
          <w:b/>
          <w:color w:val="0D2B55"/>
          <w:sz w:val="17"/>
        </w:rPr>
        <w:t>ISSUE 3 — ORGANIZATIONAL READINESS</w:t>
      </w:r>
    </w:p>
    <w:p>
      <w:pPr>
        <w:spacing w:before="0" w:after="120"/>
      </w:pPr>
      <w:r>
        <w:rPr>
          <w:rFonts w:ascii="Calibri" w:hAnsi="Calibri"/>
          <w:color w:val="1A1A2E"/>
          <w:sz w:val="22"/>
        </w:rPr>
        <w:t>The third issue is internal, and the one I am most focused on. The October employee survey — eighty-one percent response rate — was candid. Thirty-one percent of engineering open-ends cited roadmap thrash as their primary frustration. Nineteen percent of all employees said they cannot clearly articulate what makes Meridian different from Asana with AI. Twenty-seven percent of senior engineers said their compensation is not keeping pace with the market.</w:t>
      </w:r>
    </w:p>
    <w:p>
      <w:pPr>
        <w:spacing w:before="280" w:after="40"/>
      </w:pPr>
      <w:r>
        <w:rPr>
          <w:rFonts w:ascii="Calibri" w:hAnsi="Calibri"/>
          <w:b/>
          <w:color w:val="0D2B55"/>
          <w:sz w:val="17"/>
        </w:rPr>
        <w:t>EXHIBIT 4 — SALES EFFICIENCY TREND</w:t>
      </w:r>
    </w:p>
    <w:tbl>
      <w:tblPr>
        <w:tblStyle w:val="TableGrid"/>
        <w:tblW w:type="auto" w:w="0"/>
        <w:tblLook w:firstColumn="1" w:firstRow="1" w:lastColumn="0" w:lastRow="0" w:noHBand="0" w:noVBand="1" w:val="04A0"/>
      </w:tblPr>
      <w:tblGrid>
        <w:gridCol w:w="1275"/>
        <w:gridCol w:w="1275"/>
        <w:gridCol w:w="1275"/>
        <w:gridCol w:w="1275"/>
        <w:gridCol w:w="1275"/>
        <w:gridCol w:w="1275"/>
        <w:gridCol w:w="1275"/>
      </w:tblGrid>
      <w:tr>
        <w:tc>
          <w:tcPr>
            <w:tcW w:type="dxa" w:w="2736"/>
            <w:shd w:val="clear" w:color="auto" w:fill="0D2B55"/>
            <w:vAlign w:val="center"/>
          </w:tcPr>
          <w:p>
            <w:pPr>
              <w:jc w:val="center"/>
              <w:spacing w:before="0" w:after="0"/>
            </w:pPr>
            <w:r>
              <w:rPr>
                <w:rFonts w:ascii="Calibri" w:hAnsi="Calibri"/>
                <w:b/>
                <w:color w:val="FFFFFF"/>
                <w:sz w:val="16"/>
              </w:rPr>
              <w:t>Metric</w:t>
            </w:r>
          </w:p>
        </w:tc>
        <w:tc>
          <w:tcPr>
            <w:tcW w:type="dxa" w:w="1080"/>
            <w:shd w:val="clear" w:color="auto" w:fill="0D2B55"/>
            <w:vAlign w:val="center"/>
          </w:tcPr>
          <w:p>
            <w:pPr>
              <w:jc w:val="center"/>
              <w:spacing w:before="0" w:after="0"/>
            </w:pPr>
            <w:r>
              <w:rPr>
                <w:rFonts w:ascii="Calibri" w:hAnsi="Calibri"/>
                <w:b/>
                <w:color w:val="FFFFFF"/>
                <w:sz w:val="16"/>
              </w:rPr>
              <w:t>Q1 2024</w:t>
            </w:r>
          </w:p>
        </w:tc>
        <w:tc>
          <w:tcPr>
            <w:tcW w:type="dxa" w:w="1080"/>
            <w:shd w:val="clear" w:color="auto" w:fill="0D2B55"/>
            <w:vAlign w:val="center"/>
          </w:tcPr>
          <w:p>
            <w:pPr>
              <w:jc w:val="center"/>
              <w:spacing w:before="0" w:after="0"/>
            </w:pPr>
            <w:r>
              <w:rPr>
                <w:rFonts w:ascii="Calibri" w:hAnsi="Calibri"/>
                <w:b/>
                <w:color w:val="FFFFFF"/>
                <w:sz w:val="16"/>
              </w:rPr>
              <w:t>Q2 2024</w:t>
            </w:r>
          </w:p>
        </w:tc>
        <w:tc>
          <w:tcPr>
            <w:tcW w:type="dxa" w:w="1080"/>
            <w:shd w:val="clear" w:color="auto" w:fill="0D2B55"/>
            <w:vAlign w:val="center"/>
          </w:tcPr>
          <w:p>
            <w:pPr>
              <w:jc w:val="center"/>
              <w:spacing w:before="0" w:after="0"/>
            </w:pPr>
            <w:r>
              <w:rPr>
                <w:rFonts w:ascii="Calibri" w:hAnsi="Calibri"/>
                <w:b/>
                <w:color w:val="FFFFFF"/>
                <w:sz w:val="16"/>
              </w:rPr>
              <w:t>Q3 2024</w:t>
            </w:r>
          </w:p>
        </w:tc>
        <w:tc>
          <w:tcPr>
            <w:tcW w:type="dxa" w:w="1080"/>
            <w:shd w:val="clear" w:color="auto" w:fill="0D2B55"/>
            <w:vAlign w:val="center"/>
          </w:tcPr>
          <w:p>
            <w:pPr>
              <w:jc w:val="center"/>
              <w:spacing w:before="0" w:after="0"/>
            </w:pPr>
            <w:r>
              <w:rPr>
                <w:rFonts w:ascii="Calibri" w:hAnsi="Calibri"/>
                <w:b/>
                <w:color w:val="FFFFFF"/>
                <w:sz w:val="16"/>
              </w:rPr>
              <w:t>Q4 2024</w:t>
            </w:r>
          </w:p>
        </w:tc>
        <w:tc>
          <w:tcPr>
            <w:tcW w:type="dxa" w:w="1080"/>
            <w:shd w:val="clear" w:color="auto" w:fill="0D2B55"/>
            <w:vAlign w:val="center"/>
          </w:tcPr>
          <w:p>
            <w:pPr>
              <w:jc w:val="center"/>
              <w:spacing w:before="0" w:after="0"/>
            </w:pPr>
            <w:r>
              <w:rPr>
                <w:rFonts w:ascii="Calibri" w:hAnsi="Calibri"/>
                <w:b/>
                <w:color w:val="FFFFFF"/>
                <w:sz w:val="16"/>
              </w:rPr>
              <w:t>Q1 2025</w:t>
            </w:r>
          </w:p>
        </w:tc>
        <w:tc>
          <w:tcPr>
            <w:tcW w:type="dxa" w:w="1080"/>
            <w:shd w:val="clear" w:color="auto" w:fill="0D2B55"/>
            <w:vAlign w:val="center"/>
          </w:tcPr>
          <w:p>
            <w:pPr>
              <w:jc w:val="center"/>
              <w:spacing w:before="0" w:after="0"/>
            </w:pPr>
            <w:r>
              <w:rPr>
                <w:rFonts w:ascii="Calibri" w:hAnsi="Calibri"/>
                <w:b/>
                <w:color w:val="FFFFFF"/>
                <w:sz w:val="16"/>
              </w:rPr>
              <w:t>Q4 2025</w:t>
            </w:r>
          </w:p>
        </w:tc>
      </w:tr>
      <w:tr>
        <w:tc>
          <w:tcPr>
            <w:tcW w:type="dxa" w:w="1080"/>
            <w:shd w:val="clear" w:color="auto" w:fill="F0F4F8"/>
            <w:vAlign w:val="center"/>
          </w:tcPr>
          <w:p>
            <w:pPr>
              <w:jc w:val="left"/>
              <w:spacing w:before="0" w:after="0"/>
            </w:pPr>
            <w:r>
              <w:rPr>
                <w:rFonts w:ascii="Calibri" w:hAnsi="Calibri"/>
                <w:color w:val="1A1A2E"/>
                <w:sz w:val="16"/>
              </w:rPr>
              <w:t>Magic Number</w:t>
            </w:r>
          </w:p>
        </w:tc>
        <w:tc>
          <w:tcPr>
            <w:tcW w:type="dxa" w:w="1080"/>
            <w:shd w:val="clear" w:color="auto" w:fill="F0F4F8"/>
            <w:vAlign w:val="center"/>
          </w:tcPr>
          <w:p>
            <w:pPr>
              <w:jc w:val="center"/>
              <w:spacing w:before="0" w:after="0"/>
            </w:pPr>
            <w:r>
              <w:rPr>
                <w:rFonts w:ascii="Calibri" w:hAnsi="Calibri"/>
                <w:color w:val="1A1A2E"/>
                <w:sz w:val="16"/>
              </w:rPr>
              <w:t>1.20</w:t>
            </w:r>
          </w:p>
        </w:tc>
        <w:tc>
          <w:tcPr>
            <w:tcW w:type="dxa" w:w="1080"/>
            <w:shd w:val="clear" w:color="auto" w:fill="F0F4F8"/>
            <w:vAlign w:val="center"/>
          </w:tcPr>
          <w:p>
            <w:pPr>
              <w:jc w:val="center"/>
              <w:spacing w:before="0" w:after="0"/>
            </w:pPr>
            <w:r>
              <w:rPr>
                <w:rFonts w:ascii="Calibri" w:hAnsi="Calibri"/>
                <w:color w:val="1A1A2E"/>
                <w:sz w:val="16"/>
              </w:rPr>
              <w:t>1.16</w:t>
            </w:r>
          </w:p>
        </w:tc>
        <w:tc>
          <w:tcPr>
            <w:tcW w:type="dxa" w:w="1080"/>
            <w:shd w:val="clear" w:color="auto" w:fill="F0F4F8"/>
            <w:vAlign w:val="center"/>
          </w:tcPr>
          <w:p>
            <w:pPr>
              <w:jc w:val="center"/>
              <w:spacing w:before="0" w:after="0"/>
            </w:pPr>
            <w:r>
              <w:rPr>
                <w:rFonts w:ascii="Calibri" w:hAnsi="Calibri"/>
                <w:color w:val="1A1A2E"/>
                <w:sz w:val="16"/>
              </w:rPr>
              <w:t>1.10</w:t>
            </w:r>
          </w:p>
        </w:tc>
        <w:tc>
          <w:tcPr>
            <w:tcW w:type="dxa" w:w="1080"/>
            <w:shd w:val="clear" w:color="auto" w:fill="F0F4F8"/>
            <w:vAlign w:val="center"/>
          </w:tcPr>
          <w:p>
            <w:pPr>
              <w:jc w:val="center"/>
              <w:spacing w:before="0" w:after="0"/>
            </w:pPr>
            <w:r>
              <w:rPr>
                <w:rFonts w:ascii="Calibri" w:hAnsi="Calibri"/>
                <w:color w:val="1A1A2E"/>
                <w:sz w:val="16"/>
              </w:rPr>
              <w:t>1.05</w:t>
            </w:r>
          </w:p>
        </w:tc>
        <w:tc>
          <w:tcPr>
            <w:tcW w:type="dxa" w:w="1080"/>
            <w:shd w:val="clear" w:color="auto" w:fill="F0F4F8"/>
            <w:vAlign w:val="center"/>
          </w:tcPr>
          <w:p>
            <w:pPr>
              <w:jc w:val="center"/>
              <w:spacing w:before="0" w:after="0"/>
            </w:pPr>
            <w:r>
              <w:rPr>
                <w:rFonts w:ascii="Calibri" w:hAnsi="Calibri"/>
                <w:color w:val="1A1A2E"/>
                <w:sz w:val="16"/>
              </w:rPr>
              <w:t>1.02</w:t>
            </w:r>
          </w:p>
        </w:tc>
        <w:tc>
          <w:tcPr>
            <w:tcW w:type="dxa" w:w="1080"/>
            <w:shd w:val="clear" w:color="auto" w:fill="F0F4F8"/>
            <w:vAlign w:val="center"/>
          </w:tcPr>
          <w:p>
            <w:pPr>
              <w:jc w:val="center"/>
              <w:spacing w:before="0" w:after="0"/>
            </w:pPr>
            <w:r>
              <w:rPr>
                <w:rFonts w:ascii="Calibri" w:hAnsi="Calibri"/>
                <w:color w:val="1A1A2E"/>
                <w:sz w:val="16"/>
              </w:rPr>
              <w:t>0.92</w:t>
            </w:r>
          </w:p>
        </w:tc>
      </w:tr>
      <w:tr>
        <w:tc>
          <w:tcPr>
            <w:tcW w:type="dxa" w:w="1080"/>
            <w:shd w:val="clear" w:color="auto" w:fill="FFFFFF"/>
            <w:vAlign w:val="center"/>
          </w:tcPr>
          <w:p>
            <w:pPr>
              <w:jc w:val="left"/>
              <w:spacing w:before="0" w:after="0"/>
            </w:pPr>
            <w:r>
              <w:rPr>
                <w:rFonts w:ascii="Calibri" w:hAnsi="Calibri"/>
                <w:color w:val="1A1A2E"/>
                <w:sz w:val="16"/>
              </w:rPr>
              <w:t>CAC Payback (months)</w:t>
            </w:r>
          </w:p>
        </w:tc>
        <w:tc>
          <w:tcPr>
            <w:tcW w:type="dxa" w:w="1080"/>
            <w:shd w:val="clear" w:color="auto" w:fill="FFFFFF"/>
            <w:vAlign w:val="center"/>
          </w:tcPr>
          <w:p>
            <w:pPr>
              <w:jc w:val="center"/>
              <w:spacing w:before="0" w:after="0"/>
            </w:pPr>
            <w:r>
              <w:rPr>
                <w:rFonts w:ascii="Calibri" w:hAnsi="Calibri"/>
                <w:color w:val="1A1A2E"/>
                <w:sz w:val="16"/>
              </w:rPr>
              <w:t>18.2</w:t>
            </w:r>
          </w:p>
        </w:tc>
        <w:tc>
          <w:tcPr>
            <w:tcW w:type="dxa" w:w="1080"/>
            <w:shd w:val="clear" w:color="auto" w:fill="FFFFFF"/>
            <w:vAlign w:val="center"/>
          </w:tcPr>
          <w:p>
            <w:pPr>
              <w:jc w:val="center"/>
              <w:spacing w:before="0" w:after="0"/>
            </w:pPr>
            <w:r>
              <w:rPr>
                <w:rFonts w:ascii="Calibri" w:hAnsi="Calibri"/>
                <w:color w:val="1A1A2E"/>
                <w:sz w:val="16"/>
              </w:rPr>
              <w:t>18.9</w:t>
            </w:r>
          </w:p>
        </w:tc>
        <w:tc>
          <w:tcPr>
            <w:tcW w:type="dxa" w:w="1080"/>
            <w:shd w:val="clear" w:color="auto" w:fill="FFFFFF"/>
            <w:vAlign w:val="center"/>
          </w:tcPr>
          <w:p>
            <w:pPr>
              <w:jc w:val="center"/>
              <w:spacing w:before="0" w:after="0"/>
            </w:pPr>
            <w:r>
              <w:rPr>
                <w:rFonts w:ascii="Calibri" w:hAnsi="Calibri"/>
                <w:color w:val="1A1A2E"/>
                <w:sz w:val="16"/>
              </w:rPr>
              <w:t>19.5</w:t>
            </w:r>
          </w:p>
        </w:tc>
        <w:tc>
          <w:tcPr>
            <w:tcW w:type="dxa" w:w="1080"/>
            <w:shd w:val="clear" w:color="auto" w:fill="FFFFFF"/>
            <w:vAlign w:val="center"/>
          </w:tcPr>
          <w:p>
            <w:pPr>
              <w:jc w:val="center"/>
              <w:spacing w:before="0" w:after="0"/>
            </w:pPr>
            <w:r>
              <w:rPr>
                <w:rFonts w:ascii="Calibri" w:hAnsi="Calibri"/>
                <w:color w:val="1A1A2E"/>
                <w:sz w:val="16"/>
              </w:rPr>
              <w:t>20.4</w:t>
            </w:r>
          </w:p>
        </w:tc>
        <w:tc>
          <w:tcPr>
            <w:tcW w:type="dxa" w:w="1080"/>
            <w:shd w:val="clear" w:color="auto" w:fill="FFFFFF"/>
            <w:vAlign w:val="center"/>
          </w:tcPr>
          <w:p>
            <w:pPr>
              <w:jc w:val="center"/>
              <w:spacing w:before="0" w:after="0"/>
            </w:pPr>
            <w:r>
              <w:rPr>
                <w:rFonts w:ascii="Calibri" w:hAnsi="Calibri"/>
                <w:color w:val="1A1A2E"/>
                <w:sz w:val="16"/>
              </w:rPr>
              <w:t>21.1</w:t>
            </w:r>
          </w:p>
        </w:tc>
        <w:tc>
          <w:tcPr>
            <w:tcW w:type="dxa" w:w="1080"/>
            <w:shd w:val="clear" w:color="auto" w:fill="FFFFFF"/>
            <w:vAlign w:val="center"/>
          </w:tcPr>
          <w:p>
            <w:pPr>
              <w:jc w:val="center"/>
              <w:spacing w:before="0" w:after="0"/>
            </w:pPr>
            <w:r>
              <w:rPr>
                <w:rFonts w:ascii="Calibri" w:hAnsi="Calibri"/>
                <w:color w:val="1A1A2E"/>
                <w:sz w:val="16"/>
              </w:rPr>
              <w:t>22.4</w:t>
            </w:r>
          </w:p>
        </w:tc>
      </w:tr>
      <w:tr>
        <w:tc>
          <w:tcPr>
            <w:tcW w:type="dxa" w:w="1080"/>
            <w:shd w:val="clear" w:color="auto" w:fill="F0F4F8"/>
            <w:vAlign w:val="center"/>
          </w:tcPr>
          <w:p>
            <w:pPr>
              <w:jc w:val="left"/>
              <w:spacing w:before="0" w:after="0"/>
            </w:pPr>
            <w:r>
              <w:rPr>
                <w:rFonts w:ascii="Calibri" w:hAnsi="Calibri"/>
                <w:color w:val="1A1A2E"/>
                <w:sz w:val="16"/>
              </w:rPr>
              <w:t>New ARR / Quota Rep ($K)</w:t>
            </w:r>
          </w:p>
        </w:tc>
        <w:tc>
          <w:tcPr>
            <w:tcW w:type="dxa" w:w="1080"/>
            <w:shd w:val="clear" w:color="auto" w:fill="F0F4F8"/>
            <w:vAlign w:val="center"/>
          </w:tcPr>
          <w:p>
            <w:pPr>
              <w:jc w:val="center"/>
              <w:spacing w:before="0" w:after="0"/>
            </w:pPr>
            <w:r>
              <w:rPr>
                <w:rFonts w:ascii="Calibri" w:hAnsi="Calibri"/>
                <w:color w:val="1A1A2E"/>
                <w:sz w:val="16"/>
              </w:rPr>
              <w:t>$1,320</w:t>
            </w:r>
          </w:p>
        </w:tc>
        <w:tc>
          <w:tcPr>
            <w:tcW w:type="dxa" w:w="1080"/>
            <w:shd w:val="clear" w:color="auto" w:fill="F0F4F8"/>
            <w:vAlign w:val="center"/>
          </w:tcPr>
          <w:p>
            <w:pPr>
              <w:jc w:val="center"/>
              <w:spacing w:before="0" w:after="0"/>
            </w:pPr>
            <w:r>
              <w:rPr>
                <w:rFonts w:ascii="Calibri" w:hAnsi="Calibri"/>
                <w:color w:val="1A1A2E"/>
                <w:sz w:val="16"/>
              </w:rPr>
              <w:t>$1,290</w:t>
            </w:r>
          </w:p>
        </w:tc>
        <w:tc>
          <w:tcPr>
            <w:tcW w:type="dxa" w:w="1080"/>
            <w:shd w:val="clear" w:color="auto" w:fill="F0F4F8"/>
            <w:vAlign w:val="center"/>
          </w:tcPr>
          <w:p>
            <w:pPr>
              <w:jc w:val="center"/>
              <w:spacing w:before="0" w:after="0"/>
            </w:pPr>
            <w:r>
              <w:rPr>
                <w:rFonts w:ascii="Calibri" w:hAnsi="Calibri"/>
                <w:color w:val="1A1A2E"/>
                <w:sz w:val="16"/>
              </w:rPr>
              <w:t>$1,255</w:t>
            </w:r>
          </w:p>
        </w:tc>
        <w:tc>
          <w:tcPr>
            <w:tcW w:type="dxa" w:w="1080"/>
            <w:shd w:val="clear" w:color="auto" w:fill="F0F4F8"/>
            <w:vAlign w:val="center"/>
          </w:tcPr>
          <w:p>
            <w:pPr>
              <w:jc w:val="center"/>
              <w:spacing w:before="0" w:after="0"/>
            </w:pPr>
            <w:r>
              <w:rPr>
                <w:rFonts w:ascii="Calibri" w:hAnsi="Calibri"/>
                <w:color w:val="1A1A2E"/>
                <w:sz w:val="16"/>
              </w:rPr>
              <w:t>$1,210</w:t>
            </w:r>
          </w:p>
        </w:tc>
        <w:tc>
          <w:tcPr>
            <w:tcW w:type="dxa" w:w="1080"/>
            <w:shd w:val="clear" w:color="auto" w:fill="F0F4F8"/>
            <w:vAlign w:val="center"/>
          </w:tcPr>
          <w:p>
            <w:pPr>
              <w:jc w:val="center"/>
              <w:spacing w:before="0" w:after="0"/>
            </w:pPr>
            <w:r>
              <w:rPr>
                <w:rFonts w:ascii="Calibri" w:hAnsi="Calibri"/>
                <w:color w:val="1A1A2E"/>
                <w:sz w:val="16"/>
              </w:rPr>
              <w:t>$1,180</w:t>
            </w:r>
          </w:p>
        </w:tc>
        <w:tc>
          <w:tcPr>
            <w:tcW w:type="dxa" w:w="1080"/>
            <w:shd w:val="clear" w:color="auto" w:fill="F0F4F8"/>
            <w:vAlign w:val="center"/>
          </w:tcPr>
          <w:p>
            <w:pPr>
              <w:jc w:val="center"/>
              <w:spacing w:before="0" w:after="0"/>
            </w:pPr>
            <w:r>
              <w:rPr>
                <w:rFonts w:ascii="Calibri" w:hAnsi="Calibri"/>
                <w:color w:val="1A1A2E"/>
                <w:sz w:val="16"/>
              </w:rPr>
              <w:t>$1,110</w:t>
            </w:r>
          </w:p>
        </w:tc>
      </w:tr>
      <w:tr>
        <w:tc>
          <w:tcPr>
            <w:tcW w:type="dxa" w:w="1080"/>
            <w:shd w:val="clear" w:color="auto" w:fill="FFFFFF"/>
            <w:vAlign w:val="center"/>
          </w:tcPr>
          <w:p>
            <w:pPr>
              <w:jc w:val="left"/>
              <w:spacing w:before="0" w:after="0"/>
            </w:pPr>
            <w:r>
              <w:rPr>
                <w:rFonts w:ascii="Calibri" w:hAnsi="Calibri"/>
                <w:color w:val="1A1A2E"/>
                <w:sz w:val="16"/>
              </w:rPr>
              <w:t>NRR — Overall</w:t>
            </w:r>
          </w:p>
        </w:tc>
        <w:tc>
          <w:tcPr>
            <w:tcW w:type="dxa" w:w="1080"/>
            <w:shd w:val="clear" w:color="auto" w:fill="FFFFFF"/>
            <w:vAlign w:val="center"/>
          </w:tcPr>
          <w:p>
            <w:pPr>
              <w:jc w:val="center"/>
              <w:spacing w:before="0" w:after="0"/>
            </w:pPr>
            <w:r>
              <w:rPr>
                <w:rFonts w:ascii="Calibri" w:hAnsi="Calibri"/>
                <w:color w:val="1A1A2E"/>
                <w:sz w:val="16"/>
              </w:rPr>
              <w:t>114%</w:t>
            </w:r>
          </w:p>
        </w:tc>
        <w:tc>
          <w:tcPr>
            <w:tcW w:type="dxa" w:w="1080"/>
            <w:shd w:val="clear" w:color="auto" w:fill="FFFFFF"/>
            <w:vAlign w:val="center"/>
          </w:tcPr>
          <w:p>
            <w:pPr>
              <w:jc w:val="center"/>
              <w:spacing w:before="0" w:after="0"/>
            </w:pPr>
            <w:r>
              <w:rPr>
                <w:rFonts w:ascii="Calibri" w:hAnsi="Calibri"/>
                <w:color w:val="1A1A2E"/>
                <w:sz w:val="16"/>
              </w:rPr>
              <w:t>113%</w:t>
            </w:r>
          </w:p>
        </w:tc>
        <w:tc>
          <w:tcPr>
            <w:tcW w:type="dxa" w:w="1080"/>
            <w:shd w:val="clear" w:color="auto" w:fill="FFFFFF"/>
            <w:vAlign w:val="center"/>
          </w:tcPr>
          <w:p>
            <w:pPr>
              <w:jc w:val="center"/>
              <w:spacing w:before="0" w:after="0"/>
            </w:pPr>
            <w:r>
              <w:rPr>
                <w:rFonts w:ascii="Calibri" w:hAnsi="Calibri"/>
                <w:color w:val="1A1A2E"/>
                <w:sz w:val="16"/>
              </w:rPr>
              <w:t>112%</w:t>
            </w:r>
          </w:p>
        </w:tc>
        <w:tc>
          <w:tcPr>
            <w:tcW w:type="dxa" w:w="1080"/>
            <w:shd w:val="clear" w:color="auto" w:fill="FFFFFF"/>
            <w:vAlign w:val="center"/>
          </w:tcPr>
          <w:p>
            <w:pPr>
              <w:jc w:val="center"/>
              <w:spacing w:before="0" w:after="0"/>
            </w:pPr>
            <w:r>
              <w:rPr>
                <w:rFonts w:ascii="Calibri" w:hAnsi="Calibri"/>
                <w:color w:val="1A1A2E"/>
                <w:sz w:val="16"/>
              </w:rPr>
              <w:t>111%</w:t>
            </w:r>
          </w:p>
        </w:tc>
        <w:tc>
          <w:tcPr>
            <w:tcW w:type="dxa" w:w="1080"/>
            <w:shd w:val="clear" w:color="auto" w:fill="FFFFFF"/>
            <w:vAlign w:val="center"/>
          </w:tcPr>
          <w:p>
            <w:pPr>
              <w:jc w:val="center"/>
              <w:spacing w:before="0" w:after="0"/>
            </w:pPr>
            <w:r>
              <w:rPr>
                <w:rFonts w:ascii="Calibri" w:hAnsi="Calibri"/>
                <w:color w:val="1A1A2E"/>
                <w:sz w:val="16"/>
              </w:rPr>
              <w:t>110%</w:t>
            </w:r>
          </w:p>
        </w:tc>
        <w:tc>
          <w:tcPr>
            <w:tcW w:type="dxa" w:w="1080"/>
            <w:shd w:val="clear" w:color="auto" w:fill="FFFFFF"/>
            <w:vAlign w:val="center"/>
          </w:tcPr>
          <w:p>
            <w:pPr>
              <w:jc w:val="center"/>
              <w:spacing w:before="0" w:after="0"/>
            </w:pPr>
            <w:r>
              <w:rPr>
                <w:rFonts w:ascii="Calibri" w:hAnsi="Calibri"/>
                <w:color w:val="1A1A2E"/>
                <w:sz w:val="16"/>
              </w:rPr>
              <w:t>109%</w:t>
            </w:r>
          </w:p>
        </w:tc>
      </w:tr>
      <w:tr>
        <w:tc>
          <w:tcPr>
            <w:tcW w:type="dxa" w:w="1080"/>
            <w:shd w:val="clear" w:color="auto" w:fill="F0F4F8"/>
            <w:vAlign w:val="center"/>
          </w:tcPr>
          <w:p>
            <w:pPr>
              <w:jc w:val="left"/>
              <w:spacing w:before="0" w:after="0"/>
            </w:pPr>
            <w:r>
              <w:rPr>
                <w:rFonts w:ascii="Calibri" w:hAnsi="Calibri"/>
                <w:color w:val="1A1A2E"/>
                <w:sz w:val="16"/>
              </w:rPr>
              <w:t>NRR — Mid-market</w:t>
            </w:r>
          </w:p>
        </w:tc>
        <w:tc>
          <w:tcPr>
            <w:tcW w:type="dxa" w:w="1080"/>
            <w:shd w:val="clear" w:color="auto" w:fill="F0F4F8"/>
            <w:vAlign w:val="center"/>
          </w:tcPr>
          <w:p>
            <w:pPr>
              <w:jc w:val="center"/>
              <w:spacing w:before="0" w:after="0"/>
            </w:pPr>
            <w:r>
              <w:rPr>
                <w:rFonts w:ascii="Calibri" w:hAnsi="Calibri"/>
                <w:color w:val="1A1A2E"/>
                <w:sz w:val="16"/>
              </w:rPr>
              <w:t>108%</w:t>
            </w:r>
          </w:p>
        </w:tc>
        <w:tc>
          <w:tcPr>
            <w:tcW w:type="dxa" w:w="1080"/>
            <w:shd w:val="clear" w:color="auto" w:fill="F0F4F8"/>
            <w:vAlign w:val="center"/>
          </w:tcPr>
          <w:p>
            <w:pPr>
              <w:jc w:val="center"/>
              <w:spacing w:before="0" w:after="0"/>
            </w:pPr>
            <w:r>
              <w:rPr>
                <w:rFonts w:ascii="Calibri" w:hAnsi="Calibri"/>
                <w:color w:val="1A1A2E"/>
                <w:sz w:val="16"/>
              </w:rPr>
              <w:t>107%</w:t>
            </w:r>
          </w:p>
        </w:tc>
        <w:tc>
          <w:tcPr>
            <w:tcW w:type="dxa" w:w="1080"/>
            <w:shd w:val="clear" w:color="auto" w:fill="F0F4F8"/>
            <w:vAlign w:val="center"/>
          </w:tcPr>
          <w:p>
            <w:pPr>
              <w:jc w:val="center"/>
              <w:spacing w:before="0" w:after="0"/>
            </w:pPr>
            <w:r>
              <w:rPr>
                <w:rFonts w:ascii="Calibri" w:hAnsi="Calibri"/>
                <w:color w:val="1A1A2E"/>
                <w:sz w:val="16"/>
              </w:rPr>
              <w:t>106%</w:t>
            </w:r>
          </w:p>
        </w:tc>
        <w:tc>
          <w:tcPr>
            <w:tcW w:type="dxa" w:w="1080"/>
            <w:shd w:val="clear" w:color="auto" w:fill="F0F4F8"/>
            <w:vAlign w:val="center"/>
          </w:tcPr>
          <w:p>
            <w:pPr>
              <w:jc w:val="center"/>
              <w:spacing w:before="0" w:after="0"/>
            </w:pPr>
            <w:r>
              <w:rPr>
                <w:rFonts w:ascii="Calibri" w:hAnsi="Calibri"/>
                <w:color w:val="1A1A2E"/>
                <w:sz w:val="16"/>
              </w:rPr>
              <w:t>105%</w:t>
            </w:r>
          </w:p>
        </w:tc>
        <w:tc>
          <w:tcPr>
            <w:tcW w:type="dxa" w:w="1080"/>
            <w:shd w:val="clear" w:color="auto" w:fill="F0F4F8"/>
            <w:vAlign w:val="center"/>
          </w:tcPr>
          <w:p>
            <w:pPr>
              <w:jc w:val="center"/>
              <w:spacing w:before="0" w:after="0"/>
            </w:pPr>
            <w:r>
              <w:rPr>
                <w:rFonts w:ascii="Calibri" w:hAnsi="Calibri"/>
                <w:color w:val="1A1A2E"/>
                <w:sz w:val="16"/>
              </w:rPr>
              <w:t>104%</w:t>
            </w:r>
          </w:p>
        </w:tc>
        <w:tc>
          <w:tcPr>
            <w:tcW w:type="dxa" w:w="1080"/>
            <w:shd w:val="clear" w:color="auto" w:fill="F0F4F8"/>
            <w:vAlign w:val="center"/>
          </w:tcPr>
          <w:p>
            <w:pPr>
              <w:jc w:val="center"/>
              <w:spacing w:before="0" w:after="0"/>
            </w:pPr>
            <w:r>
              <w:rPr>
                <w:rFonts w:ascii="Calibri" w:hAnsi="Calibri"/>
                <w:color w:val="1A1A2E"/>
                <w:sz w:val="16"/>
              </w:rPr>
              <w:t>102%</w:t>
            </w:r>
          </w:p>
        </w:tc>
      </w:tr>
    </w:tbl>
    <w:p>
      <w:pPr>
        <w:spacing w:before="80" w:after="200"/>
        <w:ind w:left="288"/>
        <w:pBdr>
          <w:left w:val="single" w:sz="18" w:space="4" w:color="C89A2A"/>
        </w:pBdr>
      </w:pPr>
      <w:r>
        <w:rPr>
          <w:rFonts w:ascii="Calibri" w:hAnsi="Calibri"/>
          <w:i/>
          <w:color w:val="44546E"/>
          <w:sz w:val="18"/>
        </w:rPr>
        <w:t>Read: Sales efficiency has declined every single quarter for two years. The magic number at 0.92 is a caution signal (below 1.0). Adding quota-carrying headcount is not the answer — productivity per rep must improve.</w:t>
      </w:r>
    </w:p>
    <w:p>
      <w:pPr>
        <w:spacing w:before="0" w:after="160"/>
      </w:pPr>
      <w:r>
        <w:rPr>
          <w:rFonts w:ascii="Calibri" w:hAnsi="Calibri"/>
          <w:color w:val="1A1A2E"/>
          <w:sz w:val="22"/>
        </w:rPr>
        <w:t>These numbers tell me that the organization ran hard through a disorienting period — a CEO transition, an AI pivot, a segment reorg, an acquisition — and it is tired. My commitment, starting now, is to give this team a clear strategic direction and to hold it. No more pivots. The direction we set at Investor Day is the direction we execute against for three years.</w:t>
      </w:r>
    </w:p>
    <w:p>
      <w:pPr>
        <w:spacing w:before="280" w:after="40"/>
      </w:pPr>
      <w:r>
        <w:rPr>
          <w:rFonts w:ascii="Calibri" w:hAnsi="Calibri"/>
          <w:b/>
          <w:color w:val="0D2B55"/>
          <w:sz w:val="17"/>
        </w:rPr>
        <w:t>WHAT I AM ASKING FROM THIS BOARD</w:t>
      </w:r>
    </w:p>
    <w:p>
      <w:pPr>
        <w:spacing w:before="0" w:after="80"/>
      </w:pPr>
      <w:r>
        <w:rPr>
          <w:rFonts w:ascii="Calibri" w:hAnsi="Calibri"/>
          <w:color w:val="1A1A2E"/>
          <w:sz w:val="22"/>
        </w:rPr>
        <w:t>Three things, specifically.</w:t>
      </w:r>
    </w:p>
    <w:p>
      <w:pPr>
        <w:spacing w:before="80" w:after="40"/>
      </w:pPr>
      <w:r>
        <w:rPr>
          <w:rFonts w:ascii="Calibri" w:hAnsi="Calibri"/>
          <w:b/>
          <w:color w:val="1A1A2E"/>
          <w:sz w:val="22"/>
        </w:rPr>
        <w:t>1.  Alignment on the strategic framing.</w:t>
      </w:r>
    </w:p>
    <w:p>
      <w:pPr>
        <w:spacing w:before="0" w:after="160"/>
      </w:pPr>
      <w:r>
        <w:rPr>
          <w:rFonts w:ascii="Calibri" w:hAnsi="Calibri"/>
          <w:color w:val="1A1A2E"/>
          <w:sz w:val="22"/>
        </w:rPr>
        <w:t>At Investor Day I will answer the question "what is Meridian" — project management tool with AI features, or agentic work platform with PM as one surface. The board needs to be aligned before that answer goes public. I am asking for that conversation today.</w:t>
      </w:r>
    </w:p>
    <w:p>
      <w:pPr>
        <w:spacing w:before="80" w:after="40"/>
      </w:pPr>
      <w:r>
        <w:rPr>
          <w:rFonts w:ascii="Calibri" w:hAnsi="Calibri"/>
          <w:b/>
          <w:color w:val="1A1A2E"/>
          <w:sz w:val="22"/>
        </w:rPr>
        <w:t>2.  Guidance on the M&amp;A question.</w:t>
      </w:r>
    </w:p>
    <w:p>
      <w:pPr>
        <w:spacing w:before="0" w:after="160"/>
      </w:pPr>
      <w:r>
        <w:rPr>
          <w:rFonts w:ascii="Calibri" w:hAnsi="Calibri"/>
          <w:color w:val="1A1A2E"/>
          <w:sz w:val="22"/>
        </w:rPr>
        <w:t>We have two acquisition targets in early diligence. We have four hundred sixty-three million in cash and no debt. The board authorized a buyback; I believe the better use of capital in the next twelve months is targeted acquisition of AI capability. I would like the board's read on risk tolerance and deal size before I bring a specific recommendation.</w:t>
      </w:r>
    </w:p>
    <w:p>
      <w:pPr>
        <w:spacing w:before="80" w:after="40"/>
      </w:pPr>
      <w:r>
        <w:rPr>
          <w:rFonts w:ascii="Calibri" w:hAnsi="Calibri"/>
          <w:b/>
          <w:color w:val="1A1A2E"/>
          <w:sz w:val="22"/>
        </w:rPr>
        <w:t>3.  Support on talent.</w:t>
      </w:r>
    </w:p>
    <w:p>
      <w:pPr>
        <w:spacing w:before="0" w:after="160"/>
      </w:pPr>
      <w:r>
        <w:rPr>
          <w:rFonts w:ascii="Calibri" w:hAnsi="Calibri"/>
          <w:color w:val="1A1A2E"/>
          <w:sz w:val="22"/>
        </w:rPr>
        <w:t>I am requesting board approval to refresh senior engineering compensation in Q1. The People and Compensation Committee has the details. The risk of inaction — losing fifteen to twenty-five senior engineers in a market where AI talent is scarce — is more expensive than the cost of acting.</w:t>
      </w:r>
    </w:p>
    <w:p>
      <w:pPr>
        <w:spacing w:before="0" w:after="0"/>
        <w:pBdr>
          <w:bottom w:val="single" w:sz="8" w:space="1" w:color="C89A2A"/>
        </w:pBdr>
      </w:pPr>
    </w:p>
    <w:p>
      <w:pPr>
        <w:spacing w:before="200" w:after="120"/>
      </w:pPr>
      <w:r>
        <w:rPr>
          <w:rFonts w:ascii="Calibri" w:hAnsi="Calibri"/>
          <w:color w:val="1A1A2E"/>
          <w:sz w:val="22"/>
        </w:rPr>
        <w:t>The deceleration is real. The enterprise franchise is a genuine asset. The AI gap is closing. The organization needs a steady hand and a clear story. That is what I am here to provide.</w:t>
      </w:r>
    </w:p>
    <w:p>
      <w:pPr>
        <w:spacing w:before="0" w:after="400"/>
      </w:pPr>
      <w:r>
        <w:rPr>
          <w:rFonts w:ascii="Calibri" w:hAnsi="Calibri"/>
          <w:color w:val="1A1A2E"/>
          <w:sz w:val="22"/>
        </w:rPr>
        <w:t>Let's get to work.</w:t>
      </w:r>
    </w:p>
    <w:p>
      <w:pPr>
        <w:spacing w:before="0" w:after="40"/>
      </w:pPr>
      <w:r>
        <w:rPr>
          <w:rFonts w:ascii="Calibri" w:hAnsi="Calibri"/>
          <w:b/>
          <w:color w:val="1A1A2E"/>
          <w:sz w:val="22"/>
        </w:rPr>
        <w:t>Catherine Park</w:t>
      </w:r>
    </w:p>
    <w:p>
      <w:pPr>
        <w:spacing w:before="0" w:after="120"/>
      </w:pPr>
      <w:r>
        <w:rPr>
          <w:rFonts w:ascii="Calibri" w:hAnsi="Calibri"/>
          <w:color w:val="1A1A2E"/>
          <w:sz w:val="20"/>
        </w:rPr>
        <w:t>President &amp; Chief Executive Officer, Meridian Technologies</w:t>
      </w:r>
    </w:p>
    <w:p>
      <w:pPr>
        <w:spacing w:before="0" w:after="120"/>
      </w:pPr>
      <w:r>
        <w:rPr>
          <w:rFonts w:ascii="Calibri" w:hAnsi="Calibri"/>
          <w:color w:val="1A1A2E"/>
          <w:sz w:val="20"/>
        </w:rPr>
        <w:t>May 2026</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