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TaskFlow — Yekun İş Hesabatı</w:t>
      </w:r>
    </w:p>
    <w:p>
      <w:pPr>
        <w:jc w:val="center"/>
      </w:pPr>
      <w:r>
        <w:rPr>
          <w:b/>
        </w:rPr>
        <w:t>Project Key, Livewire təhlükəsizliyi və test nəticələri</w:t>
      </w:r>
    </w:p>
    <w:p>
      <w:pPr>
        <w:jc w:val="center"/>
      </w:pPr>
      <w:r>
        <w:rPr>
          <w:i/>
        </w:rPr>
        <w:t>Hazırlanmış texniki hesabat</w:t>
      </w:r>
    </w:p>
    <w:p>
      <w:pPr>
        <w:pStyle w:val="Heading1"/>
      </w:pPr>
      <w:r>
        <w:t>1. Aşkar edilən problemlər</w:t>
      </w:r>
    </w:p>
    <w:p>
      <w:pPr>
        <w:pStyle w:val="Heading2"/>
      </w:pPr>
      <w:r>
        <w:t>Project Key validasiya problemi</w:t>
      </w:r>
    </w:p>
    <w:p>
      <w:r>
        <w:t>Project yaradılması zamanı daxil edilən açarın görünüşü ilə real dəyəri arasında uyğunsuzluq müşahidə olunurdu. Məsələn, istifadəçi kiçik hərflərlə açar yazdıqda interfeys onu böyük hərflə göstərirdi, lakin input-un faktiki value-si dəyişmirdi. HTML pattern isə yalnız böyük hərfləri qəbul etdiyindən sorğu serverə göndərilməzdən əvvəl browser tərəfindən rədd edilirdi. Burada əsas səbəb yalnız CSS vasitəsilə görünüşün dəyişdirilməsi idi.</w:t>
      </w:r>
    </w:p>
    <w:p>
      <w:pPr>
        <w:pStyle w:val="Heading2"/>
      </w:pPr>
      <w:r>
        <w:t>Suspend edilmiş hesabın Livewire sorğuları</w:t>
      </w:r>
    </w:p>
    <w:p>
      <w:r>
        <w:t>Digər problem artıq autentifikasiya olunmuş istifadəçinin sonradan administrator tərəfindən suspend edilməsi ilə bağlı idi. Adi Web sorğuları aktiv istifadəçi yoxlamasından keçsə də, köhnə session saxlanıldığı halda bəzi Livewire update sorğuları işləyə bilirdi. Bunun nəticəsində suspend edilmiş hesab üçün komponent məlumatlarına çıxış riski yaranırdı.</w:t>
      </w:r>
    </w:p>
    <w:p>
      <w:pPr>
        <w:pStyle w:val="Heading1"/>
      </w:pPr>
      <w:r>
        <w:t>2. Görülən dəyişikliklər</w:t>
      </w:r>
    </w:p>
    <w:tbl>
      <w:tblPr>
        <w:tblStyle w:val="TableGrid"/>
        <w:tblW w:type="auto" w:w="0"/>
        <w:jc w:val="center"/>
        <w:tblLook w:firstColumn="1" w:firstRow="1" w:lastColumn="0" w:lastRow="0" w:noHBand="0" w:noVBand="1" w:val="04A0"/>
      </w:tblPr>
      <w:tblGrid>
        <w:gridCol w:w="5040"/>
        <w:gridCol w:w="5040"/>
      </w:tblGrid>
      <w:tr>
        <w:tc>
          <w:tcPr>
            <w:tcW w:type="dxa" w:w="5040"/>
          </w:tcPr>
          <w:p>
            <w:r>
              <w:t>Sahə</w:t>
            </w:r>
          </w:p>
        </w:tc>
        <w:tc>
          <w:tcPr>
            <w:tcW w:type="dxa" w:w="5040"/>
          </w:tcPr>
          <w:p>
            <w:r>
              <w:t>Görülən iş</w:t>
            </w:r>
          </w:p>
        </w:tc>
      </w:tr>
      <w:tr>
        <w:tc>
          <w:tcPr>
            <w:tcW w:type="dxa" w:w="5040"/>
            <w:vAlign w:val="center"/>
          </w:tcPr>
          <w:p>
            <w:r>
              <w:t>Project formu</w:t>
            </w:r>
          </w:p>
        </w:tc>
        <w:tc>
          <w:tcPr>
            <w:tcW w:type="dxa" w:w="5040"/>
            <w:vAlign w:val="center"/>
          </w:tcPr>
          <w:p>
            <w:r>
              <w:t>Project Key üçün browser pattern yeniləndi və kiçik/böyük hərflə daxil edilən dəyərlərin düzgün işlənməsi təmin edildi.</w:t>
            </w:r>
          </w:p>
        </w:tc>
      </w:tr>
      <w:tr>
        <w:tc>
          <w:tcPr>
            <w:tcW w:type="dxa" w:w="5040"/>
            <w:vAlign w:val="center"/>
          </w:tcPr>
          <w:p>
            <w:r>
              <w:t>Frontend normalizasiya</w:t>
            </w:r>
          </w:p>
        </w:tc>
        <w:tc>
          <w:tcPr>
            <w:tcW w:type="dxa" w:w="5040"/>
            <w:vAlign w:val="center"/>
          </w:tcPr>
          <w:p>
            <w:r>
              <w:t>JavaScript aktiv olduqda istifadəçinin daxil etdiyi Project Key real input value səviyyəsində böyük hərflərə çevrilir.</w:t>
            </w:r>
          </w:p>
        </w:tc>
      </w:tr>
      <w:tr>
        <w:tc>
          <w:tcPr>
            <w:tcW w:type="dxa" w:w="5040"/>
            <w:vAlign w:val="center"/>
          </w:tcPr>
          <w:p>
            <w:r>
              <w:t>Project testləri</w:t>
            </w:r>
          </w:p>
        </w:tc>
        <w:tc>
          <w:tcPr>
            <w:tcW w:type="dxa" w:w="5040"/>
            <w:vAlign w:val="center"/>
          </w:tcPr>
          <w:p>
            <w:r>
              <w:t>Lowercase, uppercase, mixed-case, yanlış format və duplicate key hallarını əhatə edən regression ssenariləri genişləndirildi.</w:t>
            </w:r>
          </w:p>
        </w:tc>
      </w:tr>
      <w:tr>
        <w:tc>
          <w:tcPr>
            <w:tcW w:type="dxa" w:w="5040"/>
            <w:vAlign w:val="center"/>
          </w:tcPr>
          <w:p>
            <w:r>
              <w:t>Livewire qoruması</w:t>
            </w:r>
          </w:p>
        </w:tc>
        <w:tc>
          <w:tcPr>
            <w:tcW w:type="dxa" w:w="5040"/>
            <w:vAlign w:val="center"/>
          </w:tcPr>
          <w:p>
            <w:r>
              <w:t>EnsureActiveUser yoxlaması Livewire üçün persistent middleware kimi qeydiyyata alındı.</w:t>
            </w:r>
          </w:p>
        </w:tc>
      </w:tr>
      <w:tr>
        <w:tc>
          <w:tcPr>
            <w:tcW w:type="dxa" w:w="5040"/>
            <w:vAlign w:val="center"/>
          </w:tcPr>
          <w:p>
            <w:r>
              <w:t>Security testləri</w:t>
            </w:r>
          </w:p>
        </w:tc>
        <w:tc>
          <w:tcPr>
            <w:tcW w:type="dxa" w:w="5040"/>
            <w:vAlign w:val="center"/>
          </w:tcPr>
          <w:p>
            <w:r>
              <w:t>Aktiv, suspend edilmiş və üzvlüyü silinmiş hesablarla Livewire update davranışını yoxlayan testlər əlavə edildi.</w:t>
            </w:r>
          </w:p>
        </w:tc>
      </w:tr>
      <w:tr>
        <w:tc>
          <w:tcPr>
            <w:tcW w:type="dxa" w:w="5040"/>
            <w:vAlign w:val="center"/>
          </w:tcPr>
          <w:p>
            <w:r>
              <w:t>E2E testləri</w:t>
            </w:r>
          </w:p>
        </w:tc>
        <w:tc>
          <w:tcPr>
            <w:tcW w:type="dxa" w:w="5040"/>
            <w:vAlign w:val="center"/>
          </w:tcPr>
          <w:p>
            <w:r>
              <w:t>Desktop/mobile, JavaScript aktiv/deaktiv və suspend edilmiş session ssenariləri browser testlərinə daxil edildi.</w:t>
            </w:r>
          </w:p>
        </w:tc>
      </w:tr>
      <w:tr>
        <w:tc>
          <w:tcPr>
            <w:tcW w:type="dxa" w:w="5040"/>
            <w:vAlign w:val="center"/>
          </w:tcPr>
          <w:p>
            <w:r>
              <w:t>Sənədləşmə</w:t>
            </w:r>
          </w:p>
        </w:tc>
        <w:tc>
          <w:tcPr>
            <w:tcW w:type="dxa" w:w="5040"/>
            <w:vAlign w:val="center"/>
          </w:tcPr>
          <w:p>
            <w:r>
              <w:t>Security, business rules, testing, environment və host application sənədlərində uyğun davranışlar yeniləndi.</w:t>
            </w:r>
          </w:p>
        </w:tc>
      </w:tr>
    </w:tbl>
    <w:p>
      <w:r>
        <w:t>Vendor koduna toxunulmayıb. Eyni zamanda verilən məlumatlara əsasən database schema və migration strukturu dəyişdirilməyib.</w:t>
      </w:r>
    </w:p>
    <w:p>
      <w:pPr>
        <w:pStyle w:val="Heading1"/>
      </w:pPr>
      <w:r>
        <w:t>3. Test və yoxlama nəticələri</w:t>
      </w:r>
    </w:p>
    <w:p>
      <w:r>
        <w:t>Dəyişikliklərdən sonra həm avtomatlaşdırılmış, həm də manual yoxlamalar aparılıb. Əsas məqsəd düzəlişlərin mövcud funksionallığı pozmadığını və təhlükəsizlik sərhədinin qorunduğunu təsdiqləmək olub.</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Alət / sahə</w:t>
            </w:r>
          </w:p>
        </w:tc>
        <w:tc>
          <w:tcPr>
            <w:tcW w:type="dxa" w:w="3360"/>
          </w:tcPr>
          <w:p>
            <w:r>
              <w:t>Yoxlama</w:t>
            </w:r>
          </w:p>
        </w:tc>
        <w:tc>
          <w:tcPr>
            <w:tcW w:type="dxa" w:w="3360"/>
          </w:tcPr>
          <w:p>
            <w:r>
              <w:t>Nəticə</w:t>
            </w:r>
          </w:p>
        </w:tc>
      </w:tr>
      <w:tr>
        <w:tc>
          <w:tcPr>
            <w:tcW w:type="dxa" w:w="3360"/>
          </w:tcPr>
          <w:p>
            <w:r>
              <w:t>Pest</w:t>
            </w:r>
          </w:p>
        </w:tc>
        <w:tc>
          <w:tcPr>
            <w:tcW w:type="dxa" w:w="3360"/>
          </w:tcPr>
          <w:p>
            <w:r>
              <w:t>Tam test suite</w:t>
            </w:r>
          </w:p>
        </w:tc>
        <w:tc>
          <w:tcPr>
            <w:tcW w:type="dxa" w:w="3360"/>
          </w:tcPr>
          <w:p>
            <w:r>
              <w:t>PASS</w:t>
            </w:r>
          </w:p>
        </w:tc>
      </w:tr>
      <w:tr>
        <w:tc>
          <w:tcPr>
            <w:tcW w:type="dxa" w:w="3360"/>
          </w:tcPr>
          <w:p>
            <w:r>
              <w:t>Pest</w:t>
            </w:r>
          </w:p>
        </w:tc>
        <w:tc>
          <w:tcPr>
            <w:tcW w:type="dxa" w:w="3360"/>
          </w:tcPr>
          <w:p>
            <w:r>
              <w:t>Əlaqəli regression testləri</w:t>
            </w:r>
          </w:p>
        </w:tc>
        <w:tc>
          <w:tcPr>
            <w:tcW w:type="dxa" w:w="3360"/>
          </w:tcPr>
          <w:p>
            <w:r>
              <w:t>PASS</w:t>
            </w:r>
          </w:p>
        </w:tc>
      </w:tr>
      <w:tr>
        <w:tc>
          <w:tcPr>
            <w:tcW w:type="dxa" w:w="3360"/>
          </w:tcPr>
          <w:p>
            <w:r>
              <w:t>Playwright</w:t>
            </w:r>
          </w:p>
        </w:tc>
        <w:tc>
          <w:tcPr>
            <w:tcW w:type="dxa" w:w="3360"/>
          </w:tcPr>
          <w:p>
            <w:r>
              <w:t>Desktop və mobile E2E ssenariləri</w:t>
            </w:r>
          </w:p>
        </w:tc>
        <w:tc>
          <w:tcPr>
            <w:tcW w:type="dxa" w:w="3360"/>
          </w:tcPr>
          <w:p>
            <w:r>
              <w:t>PASS</w:t>
            </w:r>
          </w:p>
        </w:tc>
      </w:tr>
      <w:tr>
        <w:tc>
          <w:tcPr>
            <w:tcW w:type="dxa" w:w="3360"/>
          </w:tcPr>
          <w:p>
            <w:r>
              <w:t>Project Key</w:t>
            </w:r>
          </w:p>
        </w:tc>
        <w:tc>
          <w:tcPr>
            <w:tcW w:type="dxa" w:w="3360"/>
          </w:tcPr>
          <w:p>
            <w:r>
              <w:t>Browser və JavaScript-siz ssenarilər</w:t>
            </w:r>
          </w:p>
        </w:tc>
        <w:tc>
          <w:tcPr>
            <w:tcW w:type="dxa" w:w="3360"/>
          </w:tcPr>
          <w:p>
            <w:r>
              <w:t>PASS</w:t>
            </w:r>
          </w:p>
        </w:tc>
      </w:tr>
      <w:tr>
        <w:tc>
          <w:tcPr>
            <w:tcW w:type="dxa" w:w="3360"/>
          </w:tcPr>
          <w:p>
            <w:r>
              <w:t>Livewire</w:t>
            </w:r>
          </w:p>
        </w:tc>
        <w:tc>
          <w:tcPr>
            <w:tcW w:type="dxa" w:w="3360"/>
          </w:tcPr>
          <w:p>
            <w:r>
              <w:t>Suspend edilmiş session yoxlamaları</w:t>
            </w:r>
          </w:p>
        </w:tc>
        <w:tc>
          <w:tcPr>
            <w:tcW w:type="dxa" w:w="3360"/>
          </w:tcPr>
          <w:p>
            <w:r>
              <w:t>PASS</w:t>
            </w:r>
          </w:p>
        </w:tc>
      </w:tr>
      <w:tr>
        <w:tc>
          <w:tcPr>
            <w:tcW w:type="dxa" w:w="3360"/>
          </w:tcPr>
          <w:p>
            <w:r>
              <w:t>Laravel Pint</w:t>
            </w:r>
          </w:p>
        </w:tc>
        <w:tc>
          <w:tcPr>
            <w:tcW w:type="dxa" w:w="3360"/>
          </w:tcPr>
          <w:p>
            <w:r>
              <w:t>Kod formatı</w:t>
            </w:r>
          </w:p>
        </w:tc>
        <w:tc>
          <w:tcPr>
            <w:tcW w:type="dxa" w:w="3360"/>
          </w:tcPr>
          <w:p>
            <w:r>
              <w:t>PASS</w:t>
            </w:r>
          </w:p>
        </w:tc>
      </w:tr>
      <w:tr>
        <w:tc>
          <w:tcPr>
            <w:tcW w:type="dxa" w:w="3360"/>
          </w:tcPr>
          <w:p>
            <w:r>
              <w:t>Vite</w:t>
            </w:r>
          </w:p>
        </w:tc>
        <w:tc>
          <w:tcPr>
            <w:tcW w:type="dxa" w:w="3360"/>
          </w:tcPr>
          <w:p>
            <w:r>
              <w:t>Production build</w:t>
            </w:r>
          </w:p>
        </w:tc>
        <w:tc>
          <w:tcPr>
            <w:tcW w:type="dxa" w:w="3360"/>
          </w:tcPr>
          <w:p>
            <w:r>
              <w:t>PASS</w:t>
            </w:r>
          </w:p>
        </w:tc>
      </w:tr>
    </w:tbl>
    <w:p>
      <w:r>
        <w:t>Hesabatlarda göstərilən avtomatlaşdırılmış yoxlamaların hamısı uğurlu nəticə verib. Playwright testlərində desktop və mobile variantları ayrıca nəzərə alınıb.</w:t>
      </w:r>
    </w:p>
    <w:p>
      <w:pPr>
        <w:pStyle w:val="Heading1"/>
      </w:pPr>
      <w:r>
        <w:t>4. Manual yoxlamalar</w:t>
      </w:r>
    </w:p>
    <w:p>
      <w:pPr/>
      <w:r>
        <w:t>• İstifadəçi yaratma, suspend/reactivate və password reset əməliyyatları</w:t>
      </w:r>
    </w:p>
    <w:p>
      <w:pPr/>
      <w:r>
        <w:t>• Project yaratma və üzvlük icazələri</w:t>
      </w:r>
    </w:p>
    <w:p>
      <w:pPr/>
      <w:r>
        <w:t>• Manager və Member permission fərqləri</w:t>
      </w:r>
    </w:p>
    <w:p>
      <w:pPr/>
      <w:r>
        <w:t>• Task/subtask yaradılması və status keçidləri</w:t>
      </w:r>
    </w:p>
    <w:p>
      <w:pPr/>
      <w:r>
        <w:t>• Backlog və board sıralaması</w:t>
      </w:r>
    </w:p>
    <w:p>
      <w:pPr/>
      <w:r>
        <w:t>• Label, watcher, comment və notification axınları</w:t>
      </w:r>
    </w:p>
    <w:p>
      <w:pPr/>
      <w:r>
        <w:t>• Media upload, preview, private download və silinmə</w:t>
      </w:r>
    </w:p>
    <w:p>
      <w:pPr/>
      <w:r>
        <w:t>• Activity və Dashboard görünüşləri</w:t>
      </w:r>
    </w:p>
    <w:p>
      <w:pPr/>
      <w:r>
        <w:t>• API token ability və Policy authorization</w:t>
      </w:r>
    </w:p>
    <w:p>
      <w:pPr/>
      <w:r>
        <w:t>• Desktop/mobile görünüş və JavaScript-siz project formu</w:t>
      </w:r>
    </w:p>
    <w:p>
      <w:pPr>
        <w:pStyle w:val="Heading1"/>
      </w:pPr>
      <w:r>
        <w:t>5. Təhlükəsizlik və məlumat təsiri</w:t>
      </w:r>
    </w:p>
    <w:p>
      <w:r>
        <w:t>Livewire düzəlişindən sonra hesabın statusu hər uyğun update sorğusunda yenidən yoxlanılır. İstifadəçi başqa session-da suspend edilibsə, köhnə session-un mövcud olması artıq sorğunun davam etməsinə imkan vermir. Bu yanaşma həm dəyişiklik əməliyyatlarının, həm də komponent cavabında qorunan məlumatların əldə edilməsinin qarşısını almağa yönəlib.</w:t>
      </w:r>
    </w:p>
    <w:p>
      <w:r>
        <w:t>Authorization qaydalarının əsas Policy/Gate strukturu dəyişdirilməyib. Project Key isə əvvəlki business qaydaya uyğun olaraq database-də canonical uppercase formada saxlanılır. PAY-42 ayrıca task üçün yaradılan key olduğundan Project Key kimi qəbul edilmir. Schema və migration dəyişikliyi tələb olunmayıb.</w:t>
      </w:r>
    </w:p>
    <w:p>
      <w:pPr>
        <w:pStyle w:val="Heading1"/>
      </w:pPr>
      <w:r>
        <w:t>6. Project Key düzəlişinin işləmə məntiqi</w:t>
      </w:r>
    </w:p>
    <w:p>
      <w:r>
        <w:t>Əvvəlki davranışda istifadəçinin yazdığı dəyərin yalnız ekranda böyük hərflə göstərilməsi browser validation ilə ziddiyyət yaradırdı. Yeni yanaşmada JavaScript aktivdirsə faktiki input value dəyişdirilir. JavaScript söndürülmüş halda isə HTML pattern kiçik hərfli girişə də imkan verir. Nəticədə backend-ə çatan dəyər mövcud qaydaya əsasən uppercase formatında saxlanılır.</w:t>
      </w:r>
    </w:p>
    <w:p>
      <w:pPr>
        <w:pStyle w:val="Heading1"/>
      </w:pPr>
      <w:r>
        <w:t>7. Livewire düzəlişinin işləmə məntiqi</w:t>
      </w:r>
    </w:p>
    <w:p>
      <w:r>
        <w:t>EnsureActiveUser artıq Livewire persistent middleware kimi tətbiq edilir. Buna görə ilkin səhifə yükləndikdən sonra göndərilən Livewire update sorğusunda istifadəçinin hazırkı statusu yenidən yoxlanılır. Hesab suspend edilibsə, komponentin məlumat hazırlaması və cavab qaytarması mərhələsinə keçilmədən sorğu dayandırılır.</w:t>
      </w:r>
    </w:p>
    <w:p>
      <w:pPr>
        <w:pStyle w:val="Heading1"/>
      </w:pPr>
      <w:r>
        <w:t>8. Açıq qalan məsələlər</w:t>
      </w:r>
    </w:p>
    <w:p>
      <w:r>
        <w:t>• Rəsmi acceptance mühiti Windows + Laravel Herd olduğundan tam suite-in həmin mühitdə ayrıca yoxlanılması faydalıdır.</w:t>
      </w:r>
    </w:p>
    <w:p>
      <w:r>
        <w:t>• Task səhifəsində bəzi Livewire status dəyişikliklərindən sonra yuxarı status badge və activity hissəsinin refresh edilənədək köhnə dəyəri göstərməsi ayrıca araşdırılmalıdır.</w:t>
      </w:r>
    </w:p>
    <w:p>
      <w:r>
        <w:t>• Watcher backend və API səviyyəsində işləsə də, task detail səhifəsində aydın Watch/Unwatch idarəsinin görünməməsi sənədləşmə ilə UI arasında uyğunsuzluq yaradır.</w:t>
      </w:r>
    </w:p>
    <w:p>
      <w:pPr>
        <w:pStyle w:val="Heading1"/>
      </w:pPr>
      <w:r>
        <w:t>9. Yekun</w:t>
      </w:r>
    </w:p>
    <w:p>
      <w:r>
        <w:t>Aparılan işlər nəticəsində Project Key girişində browser validation problemi aradan qaldırılıb və həm JavaScript aktiv, həm də deaktiv vəziyyətdə formun işləməsi təmin edilib. Eyni zamanda suspend edilmiş istifadəçinin köhnə session vasitəsilə Livewire update-lərindən istifadə etməsinin qarşısı alınıb. Avtomatlaşdırılmış testlər müsbət nəticə verib, manual yoxlamalarda əsas funksional axınlar nəzərdən keçirilib. Database schema və vendor kodunda dəyişiklik edilməyib.</w:t>
      </w:r>
    </w:p>
    <w:p/>
    <w:p>
      <w:pPr>
        <w:jc w:val="right"/>
      </w:pPr>
      <w:r>
        <w:rPr>
          <w:i/>
        </w:rPr>
        <w:t>Hesabatın sonu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