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D65F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Supplementary Table S6</w:t>
      </w:r>
      <w:r/>
    </w:p>
    <w:p w14:paraId="69FBC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Supplementary Table S6. Pangenome statistics from OrthoFinder analysis.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02"/>
        <w:gridCol w:w="3239"/>
        <w:gridCol w:w="2129"/>
        <w:gridCol w:w="1279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0334BCA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Category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7DE7C4F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Definition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26A5B4F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Number of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9" w:type="dxa"/>
            <w:vAlign w:val="center"/>
          </w:tcPr>
          <w:p w14:paraId="6CEB3E8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Percentage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6343E77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Core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5624D5D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Present in all 32 genomes (100%)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7F1F62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1,043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79" w:type="dxa"/>
            <w:vAlign w:val="center"/>
          </w:tcPr>
          <w:p w14:paraId="7D881F7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12.74%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68F4F76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Soft-core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7EB4C64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Present in ≥95% of genomes (≥31/32)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1E03637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230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79" w:type="dxa"/>
            <w:vAlign w:val="center"/>
          </w:tcPr>
          <w:p w14:paraId="77015AF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2.81%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5D5FE2D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Accessory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7459C59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Present in 2-31 genomes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1847B50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7,140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79" w:type="dxa"/>
            <w:vAlign w:val="center"/>
          </w:tcPr>
          <w:p w14:paraId="3CC7357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87.24%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6F644A7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Strain-specific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169134C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Present in only 1 genome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35B507A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0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79" w:type="dxa"/>
            <w:vAlign w:val="center"/>
          </w:tcPr>
          <w:p w14:paraId="491F32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0%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4D69801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Total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65F8230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All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00D00B1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8,184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79" w:type="dxa"/>
            <w:vAlign w:val="center"/>
          </w:tcPr>
          <w:p w14:paraId="3026749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100%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02" w:type="dxa"/>
            <w:vAlign w:val="center"/>
          </w:tcPr>
          <w:p w14:paraId="72B4038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Lineage-specific orthogroups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39" w:type="dxa"/>
            <w:vAlign w:val="center"/>
          </w:tcPr>
          <w:p w14:paraId="4357E43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Uniquely in both </w:t>
            </w:r>
            <w:r>
              <w:rPr>
                <w:rFonts w:ascii="Arial" w:hAnsi="Arial" w:eastAsia="Arial" w:cs="Arial"/>
                <w:i/>
                <w:color w:val="000000"/>
                <w:sz w:val="23"/>
              </w:rPr>
              <w:t xml:space="preserve">X. guizotiae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strains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9" w:type="dxa"/>
            <w:vAlign w:val="center"/>
          </w:tcPr>
          <w:p w14:paraId="02432B0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0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79" w:type="dxa"/>
            <w:vAlign w:val="center"/>
          </w:tcPr>
          <w:p w14:paraId="53468F1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N/A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2026-07-11T23:00:02Z</dcterms:modified>
</cp:coreProperties>
</file>