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45C3057C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Supplementary Table S9. Summary of functional annotation generated using eggNOG-mapper for the genomes analyzed in this study.</w:t>
      </w:r>
      <w:r/>
    </w:p>
    <w:tbl>
      <w:tblPr>
        <w:tblStyle w:val="12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1926"/>
        <w:gridCol w:w="1572"/>
        <w:gridCol w:w="1368"/>
        <w:gridCol w:w="1513"/>
        <w:gridCol w:w="1223"/>
        <w:gridCol w:w="1753"/>
      </w:tblGrid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926" w:type="dxa"/>
            <w:vAlign w:val="center"/>
          </w:tcPr>
          <w:p w14:paraId="75C77748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Genome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572" w:type="dxa"/>
            <w:vAlign w:val="center"/>
          </w:tcPr>
          <w:p w14:paraId="630B5513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Predicted proteins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368" w:type="dxa"/>
            <w:vAlign w:val="center"/>
          </w:tcPr>
          <w:p w14:paraId="21027436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COG annotated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513" w:type="dxa"/>
            <w:vAlign w:val="center"/>
          </w:tcPr>
          <w:p w14:paraId="6B9AFA1A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KEGG annotated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223" w:type="dxa"/>
            <w:vAlign w:val="center"/>
          </w:tcPr>
          <w:p w14:paraId="5C1BB9EE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GO annotated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753" w:type="dxa"/>
            <w:vAlign w:val="center"/>
          </w:tcPr>
          <w:p w14:paraId="104FD362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Annotation rate (%)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926" w:type="dxa"/>
            <w:vAlign w:val="center"/>
          </w:tcPr>
          <w:p w14:paraId="66A32AEB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DSM18808 (outgroup)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572" w:type="dxa"/>
            <w:vAlign w:val="center"/>
          </w:tcPr>
          <w:p w14:paraId="4265C87B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5,275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368" w:type="dxa"/>
            <w:vAlign w:val="center"/>
          </w:tcPr>
          <w:p w14:paraId="5FE28079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5,272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513" w:type="dxa"/>
            <w:vAlign w:val="center"/>
          </w:tcPr>
          <w:p w14:paraId="6E62C3F5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5,272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223" w:type="dxa"/>
            <w:vAlign w:val="center"/>
          </w:tcPr>
          <w:p w14:paraId="11D9FF43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5,272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753" w:type="dxa"/>
            <w:vAlign w:val="center"/>
          </w:tcPr>
          <w:p w14:paraId="1BFE870C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99.9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926" w:type="dxa"/>
            <w:vAlign w:val="center"/>
          </w:tcPr>
          <w:p w14:paraId="608394CE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CFBP3336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572" w:type="dxa"/>
            <w:vAlign w:val="center"/>
          </w:tcPr>
          <w:p w14:paraId="0763D70B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4,680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368" w:type="dxa"/>
            <w:vAlign w:val="center"/>
          </w:tcPr>
          <w:p w14:paraId="2A69236C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4,677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513" w:type="dxa"/>
            <w:vAlign w:val="center"/>
          </w:tcPr>
          <w:p w14:paraId="16607135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4,677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223" w:type="dxa"/>
            <w:vAlign w:val="center"/>
          </w:tcPr>
          <w:p w14:paraId="443DC7AF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4,677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753" w:type="dxa"/>
            <w:vAlign w:val="center"/>
          </w:tcPr>
          <w:p w14:paraId="2C37534F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99.9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926" w:type="dxa"/>
            <w:vAlign w:val="center"/>
          </w:tcPr>
          <w:p w14:paraId="25FFB9D9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CFBP4122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572" w:type="dxa"/>
            <w:vAlign w:val="center"/>
          </w:tcPr>
          <w:p w14:paraId="3363DE58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4,208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368" w:type="dxa"/>
            <w:vAlign w:val="center"/>
          </w:tcPr>
          <w:p w14:paraId="7FC990EE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4,205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513" w:type="dxa"/>
            <w:vAlign w:val="center"/>
          </w:tcPr>
          <w:p w14:paraId="678C8182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4,205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223" w:type="dxa"/>
            <w:vAlign w:val="center"/>
          </w:tcPr>
          <w:p w14:paraId="26531A15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4,205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753" w:type="dxa"/>
            <w:vAlign w:val="center"/>
          </w:tcPr>
          <w:p w14:paraId="1B09272E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99.9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926" w:type="dxa"/>
            <w:vAlign w:val="center"/>
          </w:tcPr>
          <w:p w14:paraId="218F119D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CPBF554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572" w:type="dxa"/>
            <w:vAlign w:val="center"/>
          </w:tcPr>
          <w:p w14:paraId="29ED8A06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4,171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368" w:type="dxa"/>
            <w:vAlign w:val="center"/>
          </w:tcPr>
          <w:p w14:paraId="08C48578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4,168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513" w:type="dxa"/>
            <w:vAlign w:val="center"/>
          </w:tcPr>
          <w:p w14:paraId="3088DB0B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4,168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223" w:type="dxa"/>
            <w:vAlign w:val="center"/>
          </w:tcPr>
          <w:p w14:paraId="22D755B4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4,168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753" w:type="dxa"/>
            <w:vAlign w:val="center"/>
          </w:tcPr>
          <w:p w14:paraId="1428A634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99.9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926" w:type="dxa"/>
            <w:vAlign w:val="center"/>
          </w:tcPr>
          <w:p w14:paraId="752F844E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CFBP1846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572" w:type="dxa"/>
            <w:vAlign w:val="center"/>
          </w:tcPr>
          <w:p w14:paraId="072C7679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4,152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368" w:type="dxa"/>
            <w:vAlign w:val="center"/>
          </w:tcPr>
          <w:p w14:paraId="2D1DBD73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4,149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513" w:type="dxa"/>
            <w:vAlign w:val="center"/>
          </w:tcPr>
          <w:p w14:paraId="38A4119A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4,149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223" w:type="dxa"/>
            <w:vAlign w:val="center"/>
          </w:tcPr>
          <w:p w14:paraId="3A97D5F6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4,149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753" w:type="dxa"/>
            <w:vAlign w:val="center"/>
          </w:tcPr>
          <w:p w14:paraId="1E7F73EF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99.9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926" w:type="dxa"/>
            <w:vAlign w:val="center"/>
          </w:tcPr>
          <w:p w14:paraId="5FDECE0D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A7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572" w:type="dxa"/>
            <w:vAlign w:val="center"/>
          </w:tcPr>
          <w:p w14:paraId="4B30840B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4,116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368" w:type="dxa"/>
            <w:vAlign w:val="center"/>
          </w:tcPr>
          <w:p w14:paraId="309617CB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4,113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513" w:type="dxa"/>
            <w:vAlign w:val="center"/>
          </w:tcPr>
          <w:p w14:paraId="6D139685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4,113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223" w:type="dxa"/>
            <w:vAlign w:val="center"/>
          </w:tcPr>
          <w:p w14:paraId="163D3BA6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4,113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753" w:type="dxa"/>
            <w:vAlign w:val="center"/>
          </w:tcPr>
          <w:p w14:paraId="4901704F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99.9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926" w:type="dxa"/>
            <w:vAlign w:val="center"/>
          </w:tcPr>
          <w:p w14:paraId="58801DCE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CFBP2565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572" w:type="dxa"/>
            <w:vAlign w:val="center"/>
          </w:tcPr>
          <w:p w14:paraId="744FAC6B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4,074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368" w:type="dxa"/>
            <w:vAlign w:val="center"/>
          </w:tcPr>
          <w:p w14:paraId="0C3F0483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4,071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513" w:type="dxa"/>
            <w:vAlign w:val="center"/>
          </w:tcPr>
          <w:p w14:paraId="01169FD6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4,071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223" w:type="dxa"/>
            <w:vAlign w:val="center"/>
          </w:tcPr>
          <w:p w14:paraId="77B13A14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4,071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753" w:type="dxa"/>
            <w:vAlign w:val="center"/>
          </w:tcPr>
          <w:p w14:paraId="5ECDE6DA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99.9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926" w:type="dxa"/>
            <w:vAlign w:val="center"/>
          </w:tcPr>
          <w:p w14:paraId="224E034B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ATCC33913 (outgroup)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572" w:type="dxa"/>
            <w:vAlign w:val="center"/>
          </w:tcPr>
          <w:p w14:paraId="1541D5CA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4,028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368" w:type="dxa"/>
            <w:vAlign w:val="center"/>
          </w:tcPr>
          <w:p w14:paraId="39A1A0DB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4,025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513" w:type="dxa"/>
            <w:vAlign w:val="center"/>
          </w:tcPr>
          <w:p w14:paraId="1C86857C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4,025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223" w:type="dxa"/>
            <w:vAlign w:val="center"/>
          </w:tcPr>
          <w:p w14:paraId="5B9808FC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4,025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753" w:type="dxa"/>
            <w:vAlign w:val="center"/>
          </w:tcPr>
          <w:p w14:paraId="3D7790D7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99.9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926" w:type="dxa"/>
            <w:vAlign w:val="center"/>
          </w:tcPr>
          <w:p w14:paraId="5D5FA0E3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Corylina strain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572" w:type="dxa"/>
            <w:vAlign w:val="center"/>
          </w:tcPr>
          <w:p w14:paraId="1ED26ECD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4,013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368" w:type="dxa"/>
            <w:vAlign w:val="center"/>
          </w:tcPr>
          <w:p w14:paraId="58481D90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4,010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513" w:type="dxa"/>
            <w:vAlign w:val="center"/>
          </w:tcPr>
          <w:p w14:paraId="49F072A1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4,010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223" w:type="dxa"/>
            <w:vAlign w:val="center"/>
          </w:tcPr>
          <w:p w14:paraId="41D16672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4,010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753" w:type="dxa"/>
            <w:vAlign w:val="center"/>
          </w:tcPr>
          <w:p w14:paraId="5E50D564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99.9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926" w:type="dxa"/>
            <w:vAlign w:val="center"/>
          </w:tcPr>
          <w:p w14:paraId="0A9C0F3E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CFBP2528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572" w:type="dxa"/>
            <w:vAlign w:val="center"/>
          </w:tcPr>
          <w:p w14:paraId="7A11D989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3,975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368" w:type="dxa"/>
            <w:vAlign w:val="center"/>
          </w:tcPr>
          <w:p w14:paraId="0316283A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3,972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513" w:type="dxa"/>
            <w:vAlign w:val="center"/>
          </w:tcPr>
          <w:p w14:paraId="04502324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3,972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223" w:type="dxa"/>
            <w:vAlign w:val="center"/>
          </w:tcPr>
          <w:p w14:paraId="5328F66D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3,972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753" w:type="dxa"/>
            <w:vAlign w:val="center"/>
          </w:tcPr>
          <w:p w14:paraId="425E558F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99.9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926" w:type="dxa"/>
            <w:vAlign w:val="center"/>
          </w:tcPr>
          <w:p w14:paraId="54CA227B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CFBP7408ᵀ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572" w:type="dxa"/>
            <w:vAlign w:val="center"/>
          </w:tcPr>
          <w:p w14:paraId="7D1C7CFA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3,943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368" w:type="dxa"/>
            <w:vAlign w:val="center"/>
          </w:tcPr>
          <w:p w14:paraId="473927D3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3,940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513" w:type="dxa"/>
            <w:vAlign w:val="center"/>
          </w:tcPr>
          <w:p w14:paraId="03FB7CBC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3,940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223" w:type="dxa"/>
            <w:vAlign w:val="center"/>
          </w:tcPr>
          <w:p w14:paraId="1746BEFD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3,940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753" w:type="dxa"/>
            <w:vAlign w:val="center"/>
          </w:tcPr>
          <w:p w14:paraId="40601654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99.9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926" w:type="dxa"/>
            <w:vAlign w:val="center"/>
          </w:tcPr>
          <w:p w14:paraId="050FF94F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CFBP8139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572" w:type="dxa"/>
            <w:vAlign w:val="center"/>
          </w:tcPr>
          <w:p w14:paraId="2DB6C7C5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3,869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368" w:type="dxa"/>
            <w:vAlign w:val="center"/>
          </w:tcPr>
          <w:p w14:paraId="632E0BF1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3,866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513" w:type="dxa"/>
            <w:vAlign w:val="center"/>
          </w:tcPr>
          <w:p w14:paraId="39B0065A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3,866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223" w:type="dxa"/>
            <w:vAlign w:val="center"/>
          </w:tcPr>
          <w:p w14:paraId="5B8632FD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3,866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753" w:type="dxa"/>
            <w:vAlign w:val="center"/>
          </w:tcPr>
          <w:p w14:paraId="456B38FE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99.9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926" w:type="dxa"/>
            <w:vAlign w:val="center"/>
          </w:tcPr>
          <w:p w14:paraId="641A7D16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CFBP7409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572" w:type="dxa"/>
            <w:vAlign w:val="center"/>
          </w:tcPr>
          <w:p w14:paraId="63732D9F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3,786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368" w:type="dxa"/>
            <w:vAlign w:val="center"/>
          </w:tcPr>
          <w:p w14:paraId="76CD4CCD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3,783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513" w:type="dxa"/>
            <w:vAlign w:val="center"/>
          </w:tcPr>
          <w:p w14:paraId="67C29544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3,783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223" w:type="dxa"/>
            <w:vAlign w:val="center"/>
          </w:tcPr>
          <w:p w14:paraId="24F9725F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3,783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753" w:type="dxa"/>
            <w:vAlign w:val="center"/>
          </w:tcPr>
          <w:p w14:paraId="693C11F8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99.9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926" w:type="dxa"/>
            <w:vAlign w:val="center"/>
          </w:tcPr>
          <w:p w14:paraId="3BE1FBDA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CFBP3122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572" w:type="dxa"/>
            <w:vAlign w:val="center"/>
          </w:tcPr>
          <w:p w14:paraId="5C0A963B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3,731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368" w:type="dxa"/>
            <w:vAlign w:val="center"/>
          </w:tcPr>
          <w:p w14:paraId="1F08BF2E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3,728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513" w:type="dxa"/>
            <w:vAlign w:val="center"/>
          </w:tcPr>
          <w:p w14:paraId="3478B2EF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3,728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223" w:type="dxa"/>
            <w:vAlign w:val="center"/>
          </w:tcPr>
          <w:p w14:paraId="72AB6FE4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3,728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753" w:type="dxa"/>
            <w:vAlign w:val="center"/>
          </w:tcPr>
          <w:p w14:paraId="5FB1D232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99.9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926" w:type="dxa"/>
            <w:vAlign w:val="center"/>
          </w:tcPr>
          <w:p w14:paraId="03286865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CITA44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572" w:type="dxa"/>
            <w:vAlign w:val="center"/>
          </w:tcPr>
          <w:p w14:paraId="5EB2329F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3,726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368" w:type="dxa"/>
            <w:vAlign w:val="center"/>
          </w:tcPr>
          <w:p w14:paraId="0F34EFC2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3,723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513" w:type="dxa"/>
            <w:vAlign w:val="center"/>
          </w:tcPr>
          <w:p w14:paraId="7A525C81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3,723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223" w:type="dxa"/>
            <w:vAlign w:val="center"/>
          </w:tcPr>
          <w:p w14:paraId="02AC9FB7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3,723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753" w:type="dxa"/>
            <w:vAlign w:val="center"/>
          </w:tcPr>
          <w:p w14:paraId="35F3EDCB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99.9</w:t>
            </w:r>
            <w:r/>
          </w:p>
        </w:tc>
      </w:tr>
    </w:tbl>
    <w:p w14:paraId="11B2D57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Abbreviations: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COG, Clusters of Orthologous Groups; KEGG, Kyoto Encyclopedia of Genes and Genomes; GO, Gene Ontology. Functional annotation was performed using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eggNOG-mapper v2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 </w:t>
      </w:r>
      <w:r>
        <w:rPr>
          <w:rFonts w:ascii="Times New Roman" w:hAnsi="Times New Roman" w:eastAsia="Times New Roman" w:cs="Times New Roman"/>
          <w:i/>
          <w:color w:val="000000"/>
          <w:sz w:val="24"/>
        </w:rPr>
        <w:t xml:space="preserve">Predicted proteins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correspond to the total number of protein-coding sequences submitted for annotation. </w:t>
      </w:r>
      <w:r>
        <w:rPr>
          <w:rFonts w:ascii="Times New Roman" w:hAnsi="Times New Roman" w:eastAsia="Times New Roman" w:cs="Times New Roman"/>
          <w:i/>
          <w:color w:val="000000"/>
          <w:sz w:val="24"/>
        </w:rPr>
        <w:t xml:space="preserve">Annotation rate (%)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was calculated as the proportion of predicted proteins assigned at least one functional annotation. The superscript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ᵀ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denotes the type strain, and genomes labeled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outgroup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were included exclusively for comparative analyses.</w:t>
      </w:r>
      <w:r/>
    </w:p>
    <w:p>
      <w:pPr>
        <w:pBdr/>
        <w:spacing/>
        <w:ind/>
        <w:rPr/>
      </w:pPr>
      <w:r/>
      <w:r/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2026-07-13T13:05:33Z</dcterms:modified>
</cp:coreProperties>
</file>